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03CEE">
      <w:pPr>
        <w:rPr>
          <w:color w:val="auto"/>
          <w:highlight w:val="none"/>
          <w:lang w:val="zh-CN"/>
        </w:rPr>
      </w:pPr>
      <w:r>
        <w:rPr>
          <w:rFonts w:hint="eastAsia"/>
          <w:color w:val="auto"/>
          <w:highlight w:val="none"/>
        </w:rPr>
        <w:drawing>
          <wp:anchor distT="0" distB="0" distL="0" distR="0" simplePos="0" relativeHeight="251659264" behindDoc="0" locked="0" layoutInCell="1" allowOverlap="1">
            <wp:simplePos x="0" y="0"/>
            <wp:positionH relativeFrom="column">
              <wp:posOffset>-23495</wp:posOffset>
            </wp:positionH>
            <wp:positionV relativeFrom="paragraph">
              <wp:posOffset>96520</wp:posOffset>
            </wp:positionV>
            <wp:extent cx="1356995" cy="789305"/>
            <wp:effectExtent l="0" t="0" r="14605" b="10795"/>
            <wp:wrapTopAndBottom/>
            <wp:docPr id="1026" name="图片 3" descr="公司标志"/>
            <wp:cNvGraphicFramePr/>
            <a:graphic xmlns:a="http://schemas.openxmlformats.org/drawingml/2006/main">
              <a:graphicData uri="http://schemas.openxmlformats.org/drawingml/2006/picture">
                <pic:pic xmlns:pic="http://schemas.openxmlformats.org/drawingml/2006/picture">
                  <pic:nvPicPr>
                    <pic:cNvPr id="1026" name="图片 3" descr="公司标志"/>
                    <pic:cNvPicPr/>
                  </pic:nvPicPr>
                  <pic:blipFill>
                    <a:blip r:embed="rId8" cstate="print"/>
                    <a:srcRect/>
                    <a:stretch>
                      <a:fillRect/>
                    </a:stretch>
                  </pic:blipFill>
                  <pic:spPr>
                    <a:xfrm>
                      <a:off x="0" y="0"/>
                      <a:ext cx="1356995" cy="789305"/>
                    </a:xfrm>
                    <a:prstGeom prst="rect">
                      <a:avLst/>
                    </a:prstGeom>
                    <a:ln>
                      <a:noFill/>
                    </a:ln>
                  </pic:spPr>
                </pic:pic>
              </a:graphicData>
            </a:graphic>
          </wp:anchor>
        </w:drawing>
      </w:r>
    </w:p>
    <w:p w14:paraId="7A468100">
      <w:pPr>
        <w:rPr>
          <w:color w:val="auto"/>
          <w:highlight w:val="none"/>
          <w:lang w:val="zh-CN"/>
        </w:rPr>
      </w:pPr>
    </w:p>
    <w:p w14:paraId="27A88E33">
      <w:pPr>
        <w:rPr>
          <w:color w:val="auto"/>
          <w:highlight w:val="none"/>
          <w:lang w:val="zh-CN"/>
        </w:rPr>
      </w:pPr>
    </w:p>
    <w:p w14:paraId="48799A99">
      <w:pPr>
        <w:rPr>
          <w:color w:val="auto"/>
          <w:highlight w:val="none"/>
          <w:lang w:val="zh-CN"/>
        </w:rPr>
      </w:pPr>
    </w:p>
    <w:p w14:paraId="50380925">
      <w:pPr>
        <w:jc w:val="center"/>
        <w:rPr>
          <w:rFonts w:hint="eastAsia" w:ascii="方正小标宋简体" w:hAnsi="方正小标宋简体" w:eastAsia="方正小标宋简体" w:cs="方正小标宋简体"/>
          <w:color w:val="auto"/>
          <w:sz w:val="52"/>
          <w:szCs w:val="48"/>
          <w:highlight w:val="none"/>
          <w:lang w:val="zh-CN"/>
        </w:rPr>
      </w:pPr>
      <w:r>
        <w:rPr>
          <w:rFonts w:hint="eastAsia" w:ascii="方正小标宋简体" w:hAnsi="方正小标宋简体" w:eastAsia="方正小标宋简体" w:cs="方正小标宋简体"/>
          <w:color w:val="auto"/>
          <w:sz w:val="52"/>
          <w:szCs w:val="48"/>
          <w:highlight w:val="none"/>
          <w:lang w:val="zh-CN"/>
        </w:rPr>
        <w:t>北京首新航空地面服务有限公司</w:t>
      </w:r>
    </w:p>
    <w:p w14:paraId="618BF966">
      <w:pPr>
        <w:jc w:val="center"/>
        <w:rPr>
          <w:rFonts w:hint="eastAsia" w:ascii="方正小标宋简体" w:hAnsi="方正小标宋简体" w:eastAsia="方正小标宋简体" w:cs="方正小标宋简体"/>
          <w:color w:val="auto"/>
          <w:sz w:val="52"/>
          <w:szCs w:val="48"/>
          <w:highlight w:val="none"/>
          <w:lang w:val="zh-CN"/>
        </w:rPr>
      </w:pPr>
      <w:r>
        <w:rPr>
          <w:rFonts w:hint="eastAsia" w:ascii="方正小标宋简体" w:hAnsi="方正小标宋简体" w:eastAsia="方正小标宋简体" w:cs="方正小标宋简体"/>
          <w:color w:val="auto"/>
          <w:sz w:val="52"/>
          <w:szCs w:val="48"/>
          <w:highlight w:val="none"/>
          <w:lang w:val="zh-CN"/>
        </w:rPr>
        <w:t>软件开发运维服务采购项目</w:t>
      </w:r>
    </w:p>
    <w:p w14:paraId="65D96A6C">
      <w:pPr>
        <w:spacing w:line="600" w:lineRule="exact"/>
        <w:jc w:val="center"/>
        <w:rPr>
          <w:rFonts w:hint="eastAsia" w:ascii="方正小标宋简体" w:hAnsi="方正小标宋简体" w:eastAsia="方正小标宋简体" w:cs="方正小标宋简体"/>
          <w:bCs/>
          <w:color w:val="auto"/>
          <w:sz w:val="52"/>
          <w:szCs w:val="52"/>
          <w:highlight w:val="none"/>
          <w:lang w:val="zh-CN"/>
        </w:rPr>
      </w:pPr>
    </w:p>
    <w:p w14:paraId="6025C731">
      <w:pPr>
        <w:spacing w:line="600" w:lineRule="exact"/>
        <w:jc w:val="center"/>
        <w:rPr>
          <w:rFonts w:hint="eastAsia" w:ascii="方正小标宋简体" w:hAnsi="方正小标宋简体" w:eastAsia="方正小标宋简体" w:cs="方正小标宋简体"/>
          <w:bCs/>
          <w:color w:val="auto"/>
          <w:sz w:val="52"/>
          <w:szCs w:val="52"/>
          <w:highlight w:val="none"/>
          <w:lang w:val="zh-CN"/>
        </w:rPr>
      </w:pPr>
    </w:p>
    <w:p w14:paraId="7D064782">
      <w:pPr>
        <w:spacing w:line="600" w:lineRule="exact"/>
        <w:jc w:val="center"/>
        <w:rPr>
          <w:rFonts w:hint="eastAsia" w:ascii="方正小标宋简体" w:hAnsi="方正小标宋简体" w:eastAsia="方正小标宋简体" w:cs="方正小标宋简体"/>
          <w:bCs/>
          <w:color w:val="auto"/>
          <w:sz w:val="52"/>
          <w:szCs w:val="52"/>
          <w:highlight w:val="none"/>
          <w:lang w:val="zh-CN"/>
        </w:rPr>
      </w:pPr>
    </w:p>
    <w:p w14:paraId="308AEE04">
      <w:pPr>
        <w:spacing w:line="600" w:lineRule="exact"/>
        <w:jc w:val="center"/>
        <w:rPr>
          <w:rFonts w:hint="eastAsia" w:ascii="方正小标宋简体" w:hAnsi="方正小标宋简体" w:eastAsia="方正小标宋简体" w:cs="方正小标宋简体"/>
          <w:bCs/>
          <w:color w:val="auto"/>
          <w:sz w:val="52"/>
          <w:szCs w:val="52"/>
          <w:highlight w:val="none"/>
          <w:lang w:val="zh-CN"/>
        </w:rPr>
      </w:pPr>
    </w:p>
    <w:p w14:paraId="4BF68CDC">
      <w:pPr>
        <w:spacing w:line="600" w:lineRule="exact"/>
        <w:jc w:val="center"/>
        <w:rPr>
          <w:rFonts w:hint="eastAsia" w:ascii="方正小标宋简体" w:hAnsi="方正小标宋简体" w:eastAsia="方正小标宋简体" w:cs="方正小标宋简体"/>
          <w:bCs/>
          <w:color w:val="auto"/>
          <w:sz w:val="52"/>
          <w:szCs w:val="52"/>
          <w:highlight w:val="none"/>
        </w:rPr>
      </w:pPr>
      <w:r>
        <w:rPr>
          <w:rFonts w:hint="eastAsia" w:ascii="方正小标宋简体" w:hAnsi="方正小标宋简体" w:eastAsia="方正小标宋简体" w:cs="方正小标宋简体"/>
          <w:bCs/>
          <w:color w:val="auto"/>
          <w:spacing w:val="113"/>
          <w:sz w:val="52"/>
          <w:szCs w:val="52"/>
          <w:highlight w:val="none"/>
        </w:rPr>
        <w:t>招标文件</w:t>
      </w:r>
    </w:p>
    <w:p w14:paraId="2D8DACAF">
      <w:pPr>
        <w:spacing w:line="600" w:lineRule="exact"/>
        <w:jc w:val="center"/>
        <w:rPr>
          <w:rFonts w:hint="default" w:ascii="方正小标宋简体" w:hAnsi="方正小标宋简体" w:eastAsia="方正小标宋简体" w:cs="方正小标宋简体"/>
          <w:bCs/>
          <w:color w:val="auto"/>
          <w:sz w:val="32"/>
          <w:szCs w:val="32"/>
          <w:highlight w:val="none"/>
          <w:lang w:val="en-US"/>
        </w:rPr>
      </w:pPr>
      <w:r>
        <w:rPr>
          <w:rFonts w:hint="eastAsia" w:ascii="方正小标宋简体" w:hAnsi="方正小标宋简体" w:eastAsia="方正小标宋简体" w:cs="方正小标宋简体"/>
          <w:bCs/>
          <w:color w:val="auto"/>
          <w:sz w:val="32"/>
          <w:szCs w:val="32"/>
          <w:highlight w:val="none"/>
        </w:rPr>
        <w:t>招标编号：</w:t>
      </w:r>
      <w:r>
        <w:rPr>
          <w:rFonts w:hint="eastAsia" w:ascii="宋体" w:hAnsi="宋体" w:eastAsia="宋体" w:cs="宋体"/>
          <w:b/>
          <w:bCs/>
          <w:color w:val="auto"/>
          <w:sz w:val="28"/>
          <w:szCs w:val="28"/>
          <w:highlight w:val="none"/>
          <w:lang w:val="en-US" w:eastAsia="zh-CN"/>
        </w:rPr>
        <w:t>ZZGL-GXB241109</w:t>
      </w:r>
    </w:p>
    <w:p w14:paraId="5F54C575">
      <w:pPr>
        <w:spacing w:line="600" w:lineRule="exact"/>
        <w:jc w:val="center"/>
        <w:rPr>
          <w:rFonts w:hint="eastAsia" w:ascii="方正小标宋简体" w:hAnsi="方正小标宋简体" w:eastAsia="方正小标宋简体" w:cs="方正小标宋简体"/>
          <w:bCs/>
          <w:color w:val="auto"/>
          <w:sz w:val="32"/>
          <w:szCs w:val="32"/>
          <w:highlight w:val="none"/>
        </w:rPr>
      </w:pPr>
    </w:p>
    <w:p w14:paraId="6733AB40">
      <w:pPr>
        <w:spacing w:line="600" w:lineRule="exact"/>
        <w:jc w:val="center"/>
        <w:rPr>
          <w:rFonts w:hint="eastAsia" w:ascii="方正小标宋简体" w:hAnsi="方正小标宋简体" w:eastAsia="方正小标宋简体" w:cs="方正小标宋简体"/>
          <w:bCs/>
          <w:color w:val="auto"/>
          <w:sz w:val="32"/>
          <w:szCs w:val="32"/>
          <w:highlight w:val="none"/>
        </w:rPr>
      </w:pPr>
    </w:p>
    <w:p w14:paraId="4C8B156B">
      <w:pPr>
        <w:spacing w:line="600" w:lineRule="exact"/>
        <w:jc w:val="center"/>
        <w:rPr>
          <w:rFonts w:hint="eastAsia" w:ascii="方正小标宋简体" w:hAnsi="方正小标宋简体" w:eastAsia="方正小标宋简体" w:cs="方正小标宋简体"/>
          <w:bCs/>
          <w:color w:val="auto"/>
          <w:sz w:val="32"/>
          <w:szCs w:val="32"/>
          <w:highlight w:val="none"/>
        </w:rPr>
      </w:pPr>
    </w:p>
    <w:p w14:paraId="6DA40897">
      <w:pPr>
        <w:spacing w:line="600" w:lineRule="exact"/>
        <w:jc w:val="center"/>
        <w:rPr>
          <w:rFonts w:hint="eastAsia" w:ascii="方正小标宋简体" w:hAnsi="方正小标宋简体" w:eastAsia="方正小标宋简体" w:cs="方正小标宋简体"/>
          <w:bCs/>
          <w:color w:val="auto"/>
          <w:sz w:val="32"/>
          <w:szCs w:val="32"/>
          <w:highlight w:val="none"/>
        </w:rPr>
      </w:pPr>
    </w:p>
    <w:p w14:paraId="40A530F6">
      <w:pPr>
        <w:spacing w:line="600" w:lineRule="exact"/>
        <w:jc w:val="center"/>
        <w:rPr>
          <w:rFonts w:hint="eastAsia" w:ascii="方正小标宋简体" w:hAnsi="方正小标宋简体" w:eastAsia="方正小标宋简体" w:cs="方正小标宋简体"/>
          <w:bCs/>
          <w:color w:val="auto"/>
          <w:sz w:val="32"/>
          <w:szCs w:val="32"/>
          <w:highlight w:val="none"/>
        </w:rPr>
      </w:pPr>
    </w:p>
    <w:p w14:paraId="3B2C64E2">
      <w:pPr>
        <w:spacing w:line="600" w:lineRule="exact"/>
        <w:rPr>
          <w:rFonts w:hint="eastAsia" w:ascii="方正小标宋简体" w:hAnsi="方正小标宋简体" w:eastAsia="方正小标宋简体" w:cs="方正小标宋简体"/>
          <w:bCs/>
          <w:color w:val="auto"/>
          <w:sz w:val="32"/>
          <w:szCs w:val="32"/>
          <w:highlight w:val="none"/>
        </w:rPr>
      </w:pPr>
    </w:p>
    <w:p w14:paraId="38C0A524">
      <w:pPr>
        <w:spacing w:line="600" w:lineRule="exact"/>
        <w:rPr>
          <w:rFonts w:hint="eastAsia" w:ascii="方正小标宋简体" w:hAnsi="方正小标宋简体" w:eastAsia="方正小标宋简体" w:cs="方正小标宋简体"/>
          <w:bCs/>
          <w:color w:val="auto"/>
          <w:sz w:val="32"/>
          <w:szCs w:val="32"/>
          <w:highlight w:val="none"/>
        </w:rPr>
      </w:pPr>
    </w:p>
    <w:p w14:paraId="1E4EE63D">
      <w:pPr>
        <w:spacing w:line="600" w:lineRule="exact"/>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中咨工程管理咨询有限公司</w:t>
      </w:r>
    </w:p>
    <w:p w14:paraId="1A4150DE">
      <w:pPr>
        <w:spacing w:line="600" w:lineRule="exact"/>
        <w:jc w:val="center"/>
        <w:rPr>
          <w:rFonts w:hint="eastAsia" w:ascii="方正小标宋简体" w:hAnsi="方正小标宋简体" w:eastAsia="方正小标宋简体" w:cs="方正小标宋简体"/>
          <w:bCs/>
          <w:color w:val="auto"/>
          <w:sz w:val="40"/>
          <w:szCs w:val="40"/>
          <w:highlight w:val="none"/>
        </w:rPr>
      </w:pPr>
      <w:r>
        <w:rPr>
          <w:rFonts w:hint="eastAsia" w:ascii="方正小标宋简体" w:hAnsi="方正小标宋简体" w:eastAsia="方正小标宋简体" w:cs="方正小标宋简体"/>
          <w:bCs/>
          <w:color w:val="auto"/>
          <w:sz w:val="40"/>
          <w:szCs w:val="40"/>
          <w:highlight w:val="none"/>
        </w:rPr>
        <w:t>2024年12月</w:t>
      </w:r>
    </w:p>
    <w:p w14:paraId="710470B3">
      <w:pPr>
        <w:spacing w:line="600" w:lineRule="exact"/>
        <w:rPr>
          <w:rFonts w:hint="eastAsia" w:ascii="方正小标宋简体" w:hAnsi="方正小标宋简体" w:eastAsia="方正小标宋简体" w:cs="方正小标宋简体"/>
          <w:bCs/>
          <w:color w:val="auto"/>
          <w:sz w:val="32"/>
          <w:szCs w:val="32"/>
          <w:highlight w:val="none"/>
        </w:rPr>
      </w:pPr>
    </w:p>
    <w:p w14:paraId="073BE9E5">
      <w:pPr>
        <w:spacing w:line="600" w:lineRule="exact"/>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目  录</w:t>
      </w:r>
    </w:p>
    <w:p w14:paraId="040659FA">
      <w:pPr>
        <w:spacing w:line="600" w:lineRule="exact"/>
        <w:jc w:val="center"/>
        <w:rPr>
          <w:rFonts w:hint="eastAsia" w:ascii="仿宋_GB2312" w:hAnsi="仿宋_GB2312" w:eastAsia="仿宋_GB2312" w:cs="仿宋_GB2312"/>
          <w:bCs/>
          <w:color w:val="auto"/>
          <w:sz w:val="32"/>
          <w:szCs w:val="32"/>
          <w:highlight w:val="none"/>
        </w:rPr>
      </w:pPr>
    </w:p>
    <w:p w14:paraId="7191CE3A">
      <w:pPr>
        <w:numPr>
          <w:ilvl w:val="0"/>
          <w:numId w:val="2"/>
        </w:numPr>
        <w:spacing w:line="600" w:lineRule="exac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招标公告</w:t>
      </w:r>
    </w:p>
    <w:p w14:paraId="6598E095">
      <w:pPr>
        <w:numPr>
          <w:ilvl w:val="0"/>
          <w:numId w:val="2"/>
        </w:numPr>
        <w:spacing w:line="600" w:lineRule="exact"/>
        <w:rPr>
          <w:rFonts w:hint="eastAsia"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投标人须知前附表</w:t>
      </w:r>
    </w:p>
    <w:p w14:paraId="34A4E8BE">
      <w:pPr>
        <w:numPr>
          <w:ilvl w:val="0"/>
          <w:numId w:val="2"/>
        </w:numPr>
        <w:spacing w:line="600" w:lineRule="exac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投标人须知</w:t>
      </w:r>
    </w:p>
    <w:p w14:paraId="37617E98">
      <w:pPr>
        <w:numPr>
          <w:ilvl w:val="0"/>
          <w:numId w:val="2"/>
        </w:numPr>
        <w:spacing w:line="600" w:lineRule="exac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评标标准及评标方法</w:t>
      </w:r>
    </w:p>
    <w:p w14:paraId="65E9671C">
      <w:pPr>
        <w:numPr>
          <w:ilvl w:val="0"/>
          <w:numId w:val="2"/>
        </w:numPr>
        <w:spacing w:line="600" w:lineRule="exac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合同</w:t>
      </w:r>
    </w:p>
    <w:p w14:paraId="15C35091">
      <w:pPr>
        <w:numPr>
          <w:ilvl w:val="0"/>
          <w:numId w:val="2"/>
        </w:numPr>
        <w:spacing w:line="600" w:lineRule="exac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服务需求或技术规格及要求</w:t>
      </w:r>
    </w:p>
    <w:p w14:paraId="04B119AE">
      <w:pPr>
        <w:numPr>
          <w:ilvl w:val="0"/>
          <w:numId w:val="2"/>
        </w:numPr>
        <w:spacing w:line="600" w:lineRule="exact"/>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投标文件格式</w:t>
      </w:r>
    </w:p>
    <w:p w14:paraId="18B886EC">
      <w:pPr>
        <w:spacing w:line="600" w:lineRule="exact"/>
        <w:rPr>
          <w:rFonts w:hint="eastAsia" w:ascii="仿宋_GB2312" w:hAnsi="仿宋_GB2312" w:eastAsia="仿宋_GB2312" w:cs="仿宋_GB2312"/>
          <w:bCs/>
          <w:color w:val="auto"/>
          <w:sz w:val="32"/>
          <w:szCs w:val="32"/>
          <w:highlight w:val="none"/>
        </w:rPr>
      </w:pPr>
    </w:p>
    <w:p w14:paraId="49B50640">
      <w:pPr>
        <w:spacing w:line="600" w:lineRule="exact"/>
        <w:rPr>
          <w:rFonts w:hint="eastAsia" w:ascii="仿宋_GB2312" w:hAnsi="仿宋_GB2312" w:eastAsia="仿宋_GB2312" w:cs="仿宋_GB2312"/>
          <w:bCs/>
          <w:color w:val="auto"/>
          <w:sz w:val="32"/>
          <w:szCs w:val="32"/>
          <w:highlight w:val="none"/>
        </w:rPr>
      </w:pPr>
    </w:p>
    <w:p w14:paraId="1451347E">
      <w:pPr>
        <w:spacing w:line="600" w:lineRule="exact"/>
        <w:rPr>
          <w:rFonts w:hint="eastAsia" w:ascii="仿宋_GB2312" w:hAnsi="仿宋_GB2312" w:eastAsia="仿宋_GB2312" w:cs="仿宋_GB2312"/>
          <w:bCs/>
          <w:color w:val="auto"/>
          <w:sz w:val="32"/>
          <w:szCs w:val="32"/>
          <w:highlight w:val="none"/>
        </w:rPr>
      </w:pPr>
    </w:p>
    <w:p w14:paraId="3CD1B101">
      <w:pPr>
        <w:spacing w:line="600" w:lineRule="exact"/>
        <w:rPr>
          <w:rFonts w:hint="eastAsia" w:ascii="仿宋_GB2312" w:hAnsi="仿宋_GB2312" w:eastAsia="仿宋_GB2312" w:cs="仿宋_GB2312"/>
          <w:bCs/>
          <w:color w:val="auto"/>
          <w:sz w:val="32"/>
          <w:szCs w:val="32"/>
          <w:highlight w:val="none"/>
        </w:rPr>
      </w:pPr>
    </w:p>
    <w:p w14:paraId="49D0BB50">
      <w:pPr>
        <w:spacing w:line="600" w:lineRule="exact"/>
        <w:rPr>
          <w:rFonts w:hint="eastAsia" w:ascii="仿宋_GB2312" w:hAnsi="仿宋_GB2312" w:eastAsia="仿宋_GB2312" w:cs="仿宋_GB2312"/>
          <w:bCs/>
          <w:color w:val="auto"/>
          <w:sz w:val="32"/>
          <w:szCs w:val="32"/>
          <w:highlight w:val="none"/>
        </w:rPr>
      </w:pPr>
    </w:p>
    <w:p w14:paraId="0D66A8FE">
      <w:pPr>
        <w:spacing w:line="600" w:lineRule="exact"/>
        <w:rPr>
          <w:rFonts w:hint="eastAsia" w:ascii="仿宋_GB2312" w:hAnsi="仿宋_GB2312" w:eastAsia="仿宋_GB2312" w:cs="仿宋_GB2312"/>
          <w:bCs/>
          <w:color w:val="auto"/>
          <w:sz w:val="32"/>
          <w:szCs w:val="32"/>
          <w:highlight w:val="none"/>
        </w:rPr>
      </w:pPr>
    </w:p>
    <w:p w14:paraId="4D638A31">
      <w:pPr>
        <w:spacing w:line="600" w:lineRule="exact"/>
        <w:rPr>
          <w:rFonts w:hint="eastAsia" w:ascii="仿宋_GB2312" w:hAnsi="仿宋_GB2312" w:eastAsia="仿宋_GB2312" w:cs="仿宋_GB2312"/>
          <w:bCs/>
          <w:color w:val="auto"/>
          <w:sz w:val="32"/>
          <w:szCs w:val="32"/>
          <w:highlight w:val="none"/>
        </w:rPr>
      </w:pPr>
    </w:p>
    <w:p w14:paraId="2C64036A">
      <w:pPr>
        <w:spacing w:line="600" w:lineRule="exact"/>
        <w:rPr>
          <w:rFonts w:hint="eastAsia" w:ascii="仿宋_GB2312" w:hAnsi="仿宋_GB2312" w:eastAsia="仿宋_GB2312" w:cs="仿宋_GB2312"/>
          <w:bCs/>
          <w:color w:val="auto"/>
          <w:sz w:val="32"/>
          <w:szCs w:val="32"/>
          <w:highlight w:val="none"/>
        </w:rPr>
      </w:pPr>
    </w:p>
    <w:p w14:paraId="7E076C4A">
      <w:pPr>
        <w:spacing w:line="600" w:lineRule="exact"/>
        <w:rPr>
          <w:rFonts w:hint="eastAsia" w:ascii="仿宋_GB2312" w:hAnsi="仿宋_GB2312" w:eastAsia="仿宋_GB2312" w:cs="仿宋_GB2312"/>
          <w:bCs/>
          <w:color w:val="auto"/>
          <w:sz w:val="32"/>
          <w:szCs w:val="32"/>
          <w:highlight w:val="none"/>
        </w:rPr>
      </w:pPr>
    </w:p>
    <w:p w14:paraId="6A6E6FF2">
      <w:pPr>
        <w:spacing w:line="600" w:lineRule="exact"/>
        <w:rPr>
          <w:rFonts w:hint="eastAsia" w:ascii="仿宋_GB2312" w:hAnsi="仿宋_GB2312" w:eastAsia="仿宋_GB2312" w:cs="仿宋_GB2312"/>
          <w:bCs/>
          <w:color w:val="auto"/>
          <w:sz w:val="32"/>
          <w:szCs w:val="32"/>
          <w:highlight w:val="none"/>
        </w:rPr>
      </w:pPr>
    </w:p>
    <w:p w14:paraId="010D2279">
      <w:pPr>
        <w:spacing w:line="600" w:lineRule="exact"/>
        <w:rPr>
          <w:rFonts w:hint="eastAsia" w:ascii="仿宋_GB2312" w:hAnsi="仿宋_GB2312" w:eastAsia="仿宋_GB2312" w:cs="仿宋_GB2312"/>
          <w:bCs/>
          <w:color w:val="auto"/>
          <w:sz w:val="32"/>
          <w:szCs w:val="32"/>
          <w:highlight w:val="none"/>
        </w:rPr>
      </w:pPr>
    </w:p>
    <w:p w14:paraId="751E35A2">
      <w:pPr>
        <w:spacing w:line="600" w:lineRule="exact"/>
        <w:rPr>
          <w:rFonts w:hint="eastAsia" w:ascii="仿宋_GB2312" w:hAnsi="仿宋_GB2312" w:eastAsia="仿宋_GB2312" w:cs="仿宋_GB2312"/>
          <w:bCs/>
          <w:color w:val="auto"/>
          <w:sz w:val="32"/>
          <w:szCs w:val="32"/>
          <w:highlight w:val="none"/>
        </w:rPr>
      </w:pPr>
    </w:p>
    <w:p w14:paraId="44F56C0B">
      <w:pPr>
        <w:spacing w:line="600" w:lineRule="exact"/>
        <w:rPr>
          <w:rFonts w:hint="eastAsia" w:ascii="仿宋_GB2312" w:hAnsi="仿宋_GB2312" w:eastAsia="仿宋_GB2312" w:cs="仿宋_GB2312"/>
          <w:bCs/>
          <w:color w:val="auto"/>
          <w:sz w:val="32"/>
          <w:szCs w:val="32"/>
          <w:highlight w:val="none"/>
        </w:rPr>
      </w:pPr>
    </w:p>
    <w:p w14:paraId="4CB0BF9F">
      <w:pPr>
        <w:tabs>
          <w:tab w:val="left" w:pos="1930"/>
        </w:tabs>
        <w:spacing w:line="600" w:lineRule="exact"/>
        <w:rPr>
          <w:rFonts w:hint="eastAsia" w:ascii="仿宋_GB2312" w:hAnsi="仿宋_GB2312" w:eastAsia="仿宋_GB2312" w:cs="仿宋_GB2312"/>
          <w:bCs/>
          <w:color w:val="auto"/>
          <w:sz w:val="32"/>
          <w:szCs w:val="32"/>
          <w:highlight w:val="none"/>
        </w:rPr>
      </w:pPr>
    </w:p>
    <w:p w14:paraId="3A1A73E3">
      <w:pPr>
        <w:spacing w:line="480" w:lineRule="auto"/>
        <w:jc w:val="center"/>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第一章 招标公告</w:t>
      </w:r>
    </w:p>
    <w:p w14:paraId="666FD2DB">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u w:val="single"/>
        </w:rPr>
        <w:t>中咨工程管理咨询有限公司</w:t>
      </w:r>
      <w:r>
        <w:rPr>
          <w:rFonts w:ascii="仿宋_GB2312" w:hAnsi="仿宋_GB2312" w:eastAsia="仿宋_GB2312" w:cs="仿宋_GB2312"/>
          <w:bCs/>
          <w:color w:val="auto"/>
          <w:sz w:val="22"/>
          <w:szCs w:val="22"/>
          <w:highlight w:val="none"/>
        </w:rPr>
        <w:t>受</w:t>
      </w:r>
      <w:r>
        <w:rPr>
          <w:rFonts w:ascii="仿宋_GB2312" w:hAnsi="仿宋_GB2312" w:eastAsia="仿宋_GB2312" w:cs="仿宋_GB2312"/>
          <w:bCs/>
          <w:color w:val="auto"/>
          <w:sz w:val="22"/>
          <w:szCs w:val="22"/>
          <w:highlight w:val="none"/>
          <w:u w:val="single"/>
        </w:rPr>
        <w:t>北京首新航空地面服务有限公司</w:t>
      </w:r>
      <w:r>
        <w:rPr>
          <w:rFonts w:ascii="仿宋_GB2312" w:hAnsi="仿宋_GB2312" w:eastAsia="仿宋_GB2312" w:cs="仿宋_GB2312"/>
          <w:bCs/>
          <w:color w:val="auto"/>
          <w:sz w:val="22"/>
          <w:szCs w:val="22"/>
          <w:highlight w:val="none"/>
        </w:rPr>
        <w:t>委托，根据《中华人民共和国招标投标法》等有关</w:t>
      </w:r>
      <w:bookmarkStart w:id="229" w:name="_GoBack"/>
      <w:bookmarkEnd w:id="229"/>
      <w:r>
        <w:rPr>
          <w:rFonts w:ascii="仿宋_GB2312" w:hAnsi="仿宋_GB2312" w:eastAsia="仿宋_GB2312" w:cs="仿宋_GB2312"/>
          <w:bCs/>
          <w:color w:val="auto"/>
          <w:sz w:val="22"/>
          <w:szCs w:val="22"/>
          <w:highlight w:val="none"/>
        </w:rPr>
        <w:t>规定，现对</w:t>
      </w:r>
      <w:r>
        <w:rPr>
          <w:rFonts w:ascii="仿宋_GB2312" w:hAnsi="仿宋_GB2312" w:eastAsia="仿宋_GB2312" w:cs="仿宋_GB2312"/>
          <w:bCs/>
          <w:color w:val="auto"/>
          <w:sz w:val="22"/>
          <w:szCs w:val="22"/>
          <w:highlight w:val="none"/>
          <w:u w:val="single"/>
        </w:rPr>
        <w:t>北京首新航空地面服务有限公司软件开发运维服务</w:t>
      </w:r>
      <w:r>
        <w:rPr>
          <w:rFonts w:hint="eastAsia" w:ascii="仿宋_GB2312" w:hAnsi="仿宋_GB2312" w:eastAsia="仿宋_GB2312" w:cs="仿宋_GB2312"/>
          <w:bCs/>
          <w:color w:val="auto"/>
          <w:sz w:val="22"/>
          <w:szCs w:val="22"/>
          <w:highlight w:val="none"/>
          <w:u w:val="single"/>
        </w:rPr>
        <w:t>采购</w:t>
      </w:r>
      <w:r>
        <w:rPr>
          <w:rFonts w:ascii="仿宋_GB2312" w:hAnsi="仿宋_GB2312" w:eastAsia="仿宋_GB2312" w:cs="仿宋_GB2312"/>
          <w:bCs/>
          <w:color w:val="auto"/>
          <w:sz w:val="22"/>
          <w:szCs w:val="22"/>
          <w:highlight w:val="none"/>
          <w:u w:val="single"/>
        </w:rPr>
        <w:t>项目</w:t>
      </w:r>
      <w:r>
        <w:rPr>
          <w:rFonts w:ascii="仿宋_GB2312" w:hAnsi="仿宋_GB2312" w:eastAsia="仿宋_GB2312" w:cs="仿宋_GB2312"/>
          <w:bCs/>
          <w:color w:val="auto"/>
          <w:sz w:val="22"/>
          <w:szCs w:val="22"/>
          <w:highlight w:val="none"/>
        </w:rPr>
        <w:t>进行国内公开招标，欢迎符合条件的潜在投标人前来投标。</w:t>
      </w:r>
    </w:p>
    <w:p w14:paraId="03BF32A8">
      <w:pPr>
        <w:numPr>
          <w:ilvl w:val="0"/>
          <w:numId w:val="3"/>
        </w:numPr>
        <w:spacing w:line="360" w:lineRule="auto"/>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采购项目的基本概况介绍</w:t>
      </w:r>
    </w:p>
    <w:p w14:paraId="4E9BE138">
      <w:pPr>
        <w:numPr>
          <w:ilvl w:val="0"/>
          <w:numId w:val="4"/>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项目名称：</w:t>
      </w:r>
      <w:r>
        <w:rPr>
          <w:rFonts w:ascii="仿宋_GB2312" w:hAnsi="仿宋_GB2312" w:eastAsia="仿宋_GB2312" w:cs="仿宋_GB2312"/>
          <w:bCs/>
          <w:color w:val="auto"/>
          <w:sz w:val="22"/>
          <w:szCs w:val="22"/>
          <w:highlight w:val="none"/>
          <w:u w:val="single"/>
        </w:rPr>
        <w:t>北京首新航空地面服务有限公司软件开发运维服务</w:t>
      </w:r>
      <w:r>
        <w:rPr>
          <w:rFonts w:hint="eastAsia" w:ascii="仿宋_GB2312" w:hAnsi="仿宋_GB2312" w:eastAsia="仿宋_GB2312" w:cs="仿宋_GB2312"/>
          <w:bCs/>
          <w:color w:val="auto"/>
          <w:sz w:val="22"/>
          <w:szCs w:val="22"/>
          <w:highlight w:val="none"/>
          <w:u w:val="single"/>
        </w:rPr>
        <w:t>采购</w:t>
      </w:r>
      <w:r>
        <w:rPr>
          <w:rFonts w:ascii="仿宋_GB2312" w:hAnsi="仿宋_GB2312" w:eastAsia="仿宋_GB2312" w:cs="仿宋_GB2312"/>
          <w:bCs/>
          <w:color w:val="auto"/>
          <w:sz w:val="22"/>
          <w:szCs w:val="22"/>
          <w:highlight w:val="none"/>
          <w:u w:val="single"/>
        </w:rPr>
        <w:t>项目</w:t>
      </w:r>
    </w:p>
    <w:p w14:paraId="30294F6F">
      <w:pPr>
        <w:numPr>
          <w:ilvl w:val="0"/>
          <w:numId w:val="4"/>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项目编号：</w:t>
      </w:r>
      <w:r>
        <w:rPr>
          <w:rFonts w:hint="eastAsia" w:ascii="仿宋_GB2312" w:hAnsi="仿宋_GB2312" w:eastAsia="仿宋_GB2312" w:cs="仿宋_GB2312"/>
          <w:bCs/>
          <w:color w:val="auto"/>
          <w:sz w:val="22"/>
          <w:szCs w:val="22"/>
          <w:highlight w:val="none"/>
          <w:lang w:val="en-US" w:eastAsia="zh-CN"/>
        </w:rPr>
        <w:t>ZZGL-GXB241109</w:t>
      </w:r>
    </w:p>
    <w:p w14:paraId="1B2C8884">
      <w:pPr>
        <w:numPr>
          <w:ilvl w:val="0"/>
          <w:numId w:val="4"/>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项目内容：通过采购“软件开发服务”和“软件运维服务”，为甲方的企业信息化系统提供软件功能定制开发和信息技术维护服务，</w:t>
      </w:r>
      <w:r>
        <w:rPr>
          <w:rFonts w:hint="eastAsia" w:ascii="仿宋_GB2312" w:hAnsi="仿宋_GB2312" w:eastAsia="仿宋_GB2312" w:cs="仿宋_GB2312"/>
          <w:bCs/>
          <w:color w:val="auto"/>
          <w:sz w:val="22"/>
          <w:szCs w:val="22"/>
          <w:highlight w:val="none"/>
        </w:rPr>
        <w:t>包括</w:t>
      </w:r>
      <w:r>
        <w:rPr>
          <w:rFonts w:hint="eastAsia" w:ascii="仿宋_GB2312" w:hAnsi="仿宋_GB2312" w:eastAsia="仿宋_GB2312" w:cs="仿宋_GB2312"/>
          <w:bCs/>
          <w:color w:val="auto"/>
          <w:sz w:val="22"/>
          <w:szCs w:val="22"/>
          <w:highlight w:val="none"/>
          <w:lang w:val="en-US" w:eastAsia="zh-CN"/>
        </w:rPr>
        <w:t>但不限于</w:t>
      </w:r>
      <w:r>
        <w:rPr>
          <w:rFonts w:hint="eastAsia" w:ascii="仿宋_GB2312" w:hAnsi="仿宋_GB2312" w:eastAsia="仿宋_GB2312" w:cs="仿宋_GB2312"/>
          <w:bCs/>
          <w:color w:val="auto"/>
          <w:sz w:val="22"/>
          <w:szCs w:val="22"/>
          <w:highlight w:val="none"/>
        </w:rPr>
        <w:t>系统更新改造、新需求定制开发、完成日常的维护保障、安全保障等，具体内容详见招标文件。</w:t>
      </w:r>
    </w:p>
    <w:p w14:paraId="376D4F35">
      <w:pPr>
        <w:numPr>
          <w:ilvl w:val="0"/>
          <w:numId w:val="4"/>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投标限价：人民币190万元</w:t>
      </w:r>
    </w:p>
    <w:p w14:paraId="47FBD258">
      <w:pPr>
        <w:numPr>
          <w:ilvl w:val="0"/>
          <w:numId w:val="4"/>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 w:hAnsi="仿宋" w:eastAsia="仿宋" w:cs="仿宋"/>
          <w:color w:val="auto"/>
          <w:sz w:val="22"/>
          <w:szCs w:val="22"/>
          <w:highlight w:val="none"/>
          <w:lang w:val="en-US" w:eastAsia="zh-CN"/>
        </w:rPr>
        <w:t>服务期限</w:t>
      </w:r>
      <w:r>
        <w:rPr>
          <w:rFonts w:hint="eastAsia" w:ascii="仿宋_GB2312" w:hAnsi="仿宋_GB2312" w:eastAsia="仿宋_GB2312" w:cs="仿宋_GB2312"/>
          <w:bCs/>
          <w:color w:val="auto"/>
          <w:sz w:val="22"/>
          <w:szCs w:val="22"/>
          <w:highlight w:val="none"/>
        </w:rPr>
        <w:t>：自合同签订之日起12个月</w:t>
      </w:r>
    </w:p>
    <w:p w14:paraId="53C415E3">
      <w:pPr>
        <w:numPr>
          <w:ilvl w:val="0"/>
          <w:numId w:val="3"/>
        </w:numPr>
        <w:spacing w:line="360" w:lineRule="auto"/>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投标人的资格要求</w:t>
      </w:r>
    </w:p>
    <w:p w14:paraId="238AD272">
      <w:pPr>
        <w:numPr>
          <w:ilvl w:val="0"/>
          <w:numId w:val="5"/>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投标人须为在中华人民共和国境内注册的独立法人单位或其他组织，具备在其合法的业务范围内履行民事责任的能力（提供营业执照复印件或其他证明文件,并加盖单位公章）；</w:t>
      </w:r>
    </w:p>
    <w:p w14:paraId="12B9BFC2">
      <w:pPr>
        <w:numPr>
          <w:ilvl w:val="0"/>
          <w:numId w:val="5"/>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投标人应提供20</w:t>
      </w:r>
      <w:r>
        <w:rPr>
          <w:rFonts w:hint="eastAsia" w:ascii="仿宋_GB2312" w:hAnsi="仿宋_GB2312" w:eastAsia="仿宋_GB2312" w:cs="仿宋_GB2312"/>
          <w:bCs/>
          <w:color w:val="auto"/>
          <w:sz w:val="22"/>
          <w:szCs w:val="22"/>
          <w:highlight w:val="none"/>
        </w:rPr>
        <w:t>23</w:t>
      </w:r>
      <w:r>
        <w:rPr>
          <w:rFonts w:ascii="仿宋_GB2312" w:hAnsi="仿宋_GB2312" w:eastAsia="仿宋_GB2312" w:cs="仿宋_GB2312"/>
          <w:bCs/>
          <w:color w:val="auto"/>
          <w:sz w:val="22"/>
          <w:szCs w:val="22"/>
          <w:highlight w:val="none"/>
        </w:rPr>
        <w:t>年度</w:t>
      </w:r>
      <w:r>
        <w:rPr>
          <w:rFonts w:hint="eastAsia" w:ascii="仿宋_GB2312" w:hAnsi="仿宋_GB2312" w:eastAsia="仿宋_GB2312" w:cs="仿宋_GB2312"/>
          <w:bCs/>
          <w:color w:val="auto"/>
          <w:sz w:val="22"/>
          <w:szCs w:val="22"/>
          <w:highlight w:val="none"/>
        </w:rPr>
        <w:t>(本项目投标截止日前一年)</w:t>
      </w:r>
      <w:r>
        <w:rPr>
          <w:rFonts w:ascii="仿宋_GB2312" w:hAnsi="仿宋_GB2312" w:eastAsia="仿宋_GB2312" w:cs="仿宋_GB2312"/>
          <w:bCs/>
          <w:color w:val="auto"/>
          <w:sz w:val="22"/>
          <w:szCs w:val="22"/>
          <w:highlight w:val="none"/>
        </w:rPr>
        <w:t>经会计事务所审计的完整年度审计报告(复印件加盖投标人公章)或投标截止日前三个月内银行开具的资信证明原件或复印件(复印件加盖投标人公章)；</w:t>
      </w:r>
    </w:p>
    <w:p w14:paraId="71077980">
      <w:pPr>
        <w:numPr>
          <w:ilvl w:val="0"/>
          <w:numId w:val="5"/>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投标人应提供税款所属时间为20</w:t>
      </w:r>
      <w:r>
        <w:rPr>
          <w:rFonts w:hint="eastAsia" w:ascii="仿宋_GB2312" w:hAnsi="仿宋_GB2312" w:eastAsia="仿宋_GB2312" w:cs="仿宋_GB2312"/>
          <w:bCs/>
          <w:color w:val="auto"/>
          <w:sz w:val="22"/>
          <w:szCs w:val="22"/>
          <w:highlight w:val="none"/>
        </w:rPr>
        <w:t>23</w:t>
      </w:r>
      <w:r>
        <w:rPr>
          <w:rFonts w:ascii="仿宋_GB2312" w:hAnsi="仿宋_GB2312" w:eastAsia="仿宋_GB2312" w:cs="仿宋_GB2312"/>
          <w:bCs/>
          <w:color w:val="auto"/>
          <w:sz w:val="22"/>
          <w:szCs w:val="22"/>
          <w:highlight w:val="none"/>
        </w:rPr>
        <w:t>年</w:t>
      </w:r>
      <w:r>
        <w:rPr>
          <w:rFonts w:hint="eastAsia" w:ascii="仿宋_GB2312" w:hAnsi="仿宋_GB2312" w:eastAsia="仿宋_GB2312" w:cs="仿宋_GB2312"/>
          <w:bCs/>
          <w:color w:val="auto"/>
          <w:sz w:val="22"/>
          <w:szCs w:val="22"/>
          <w:highlight w:val="none"/>
        </w:rPr>
        <w:t>12</w:t>
      </w:r>
      <w:r>
        <w:rPr>
          <w:rFonts w:ascii="仿宋_GB2312" w:hAnsi="仿宋_GB2312" w:eastAsia="仿宋_GB2312" w:cs="仿宋_GB2312"/>
          <w:bCs/>
          <w:color w:val="auto"/>
          <w:sz w:val="22"/>
          <w:szCs w:val="22"/>
          <w:highlight w:val="none"/>
        </w:rPr>
        <w:t>月至20</w:t>
      </w:r>
      <w:r>
        <w:rPr>
          <w:rFonts w:hint="eastAsia" w:ascii="仿宋_GB2312" w:hAnsi="仿宋_GB2312" w:eastAsia="仿宋_GB2312" w:cs="仿宋_GB2312"/>
          <w:bCs/>
          <w:color w:val="auto"/>
          <w:sz w:val="22"/>
          <w:szCs w:val="22"/>
          <w:highlight w:val="none"/>
        </w:rPr>
        <w:t>24</w:t>
      </w:r>
      <w:r>
        <w:rPr>
          <w:rFonts w:ascii="仿宋_GB2312" w:hAnsi="仿宋_GB2312" w:eastAsia="仿宋_GB2312" w:cs="仿宋_GB2312"/>
          <w:bCs/>
          <w:color w:val="auto"/>
          <w:sz w:val="22"/>
          <w:szCs w:val="22"/>
          <w:highlight w:val="none"/>
        </w:rPr>
        <w:t>年</w:t>
      </w:r>
      <w:r>
        <w:rPr>
          <w:rFonts w:hint="eastAsia" w:ascii="仿宋_GB2312" w:hAnsi="仿宋_GB2312" w:eastAsia="仿宋_GB2312" w:cs="仿宋_GB2312"/>
          <w:bCs/>
          <w:color w:val="auto"/>
          <w:sz w:val="22"/>
          <w:szCs w:val="22"/>
          <w:highlight w:val="none"/>
        </w:rPr>
        <w:t>11</w:t>
      </w:r>
      <w:r>
        <w:rPr>
          <w:rFonts w:ascii="仿宋_GB2312" w:hAnsi="仿宋_GB2312" w:eastAsia="仿宋_GB2312" w:cs="仿宋_GB2312"/>
          <w:bCs/>
          <w:color w:val="auto"/>
          <w:sz w:val="22"/>
          <w:szCs w:val="22"/>
          <w:highlight w:val="none"/>
        </w:rPr>
        <w:t>月</w:t>
      </w:r>
      <w:r>
        <w:rPr>
          <w:rFonts w:hint="eastAsia" w:ascii="仿宋_GB2312" w:hAnsi="仿宋_GB2312" w:eastAsia="仿宋_GB2312" w:cs="仿宋_GB2312"/>
          <w:bCs/>
          <w:color w:val="auto"/>
          <w:sz w:val="22"/>
          <w:szCs w:val="22"/>
          <w:highlight w:val="none"/>
        </w:rPr>
        <w:t>(起止时间应为本项目投标截止日的前一年至投标截止日)</w:t>
      </w:r>
      <w:r>
        <w:rPr>
          <w:rFonts w:ascii="仿宋_GB2312" w:hAnsi="仿宋_GB2312" w:eastAsia="仿宋_GB2312" w:cs="仿宋_GB2312"/>
          <w:bCs/>
          <w:color w:val="auto"/>
          <w:sz w:val="22"/>
          <w:szCs w:val="22"/>
          <w:highlight w:val="none"/>
        </w:rPr>
        <w:t>期间任意连续三个月的相关机构出具的企业完税证明(企业代缴的个人所得税除外，如在其中某月无经营业务则应提供税务部门出具的相关证明）及社会保障资金缴纳记录（复印件加盖投标人公章）</w:t>
      </w:r>
      <w:r>
        <w:rPr>
          <w:rFonts w:hint="eastAsia" w:ascii="仿宋_GB2312" w:hAnsi="仿宋_GB2312" w:eastAsia="仿宋_GB2312" w:cs="仿宋_GB2312"/>
          <w:bCs/>
          <w:color w:val="auto"/>
          <w:sz w:val="22"/>
          <w:szCs w:val="22"/>
          <w:highlight w:val="none"/>
        </w:rPr>
        <w:t>;</w:t>
      </w:r>
    </w:p>
    <w:p w14:paraId="126BFF69">
      <w:pPr>
        <w:numPr>
          <w:ilvl w:val="0"/>
          <w:numId w:val="5"/>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业绩要求：</w:t>
      </w:r>
      <w:r>
        <w:rPr>
          <w:rFonts w:hint="eastAsia" w:ascii="仿宋" w:hAnsi="仿宋" w:eastAsia="仿宋" w:cs="仿宋"/>
          <w:snapToGrid w:val="0"/>
          <w:color w:val="auto"/>
          <w:sz w:val="22"/>
          <w:szCs w:val="21"/>
          <w:highlight w:val="none"/>
        </w:rPr>
        <w:t>投标人自202</w:t>
      </w:r>
      <w:r>
        <w:rPr>
          <w:rFonts w:hint="eastAsia" w:ascii="仿宋" w:hAnsi="仿宋" w:eastAsia="仿宋" w:cs="仿宋"/>
          <w:snapToGrid w:val="0"/>
          <w:color w:val="auto"/>
          <w:sz w:val="22"/>
          <w:szCs w:val="21"/>
          <w:highlight w:val="none"/>
          <w:lang w:val="en-US" w:eastAsia="zh-CN"/>
        </w:rPr>
        <w:t>2</w:t>
      </w:r>
      <w:r>
        <w:rPr>
          <w:rFonts w:hint="eastAsia" w:ascii="仿宋" w:hAnsi="仿宋" w:eastAsia="仿宋" w:cs="仿宋"/>
          <w:snapToGrid w:val="0"/>
          <w:color w:val="auto"/>
          <w:sz w:val="22"/>
          <w:szCs w:val="21"/>
          <w:highlight w:val="none"/>
        </w:rPr>
        <w:t>年1月1日至投标截止日期间，具备1个合同金额在</w:t>
      </w:r>
      <w:r>
        <w:rPr>
          <w:rFonts w:hint="eastAsia" w:ascii="仿宋" w:hAnsi="仿宋" w:eastAsia="仿宋" w:cs="仿宋"/>
          <w:snapToGrid w:val="0"/>
          <w:color w:val="auto"/>
          <w:sz w:val="22"/>
          <w:szCs w:val="21"/>
          <w:highlight w:val="none"/>
          <w:lang w:val="en-US" w:eastAsia="zh-CN"/>
        </w:rPr>
        <w:t>190</w:t>
      </w:r>
      <w:r>
        <w:rPr>
          <w:rFonts w:hint="eastAsia" w:ascii="仿宋" w:hAnsi="仿宋" w:eastAsia="仿宋" w:cs="仿宋"/>
          <w:snapToGrid w:val="0"/>
          <w:color w:val="auto"/>
          <w:sz w:val="22"/>
          <w:szCs w:val="21"/>
          <w:highlight w:val="none"/>
        </w:rPr>
        <w:t>万元及以上的信息系统建设项目业绩，须提供完整的合同复印件并加盖投标人公章</w:t>
      </w:r>
      <w:r>
        <w:rPr>
          <w:rFonts w:hint="eastAsia" w:ascii="仿宋_GB2312" w:hAnsi="仿宋_GB2312" w:eastAsia="仿宋_GB2312" w:cs="仿宋_GB2312"/>
          <w:bCs/>
          <w:color w:val="auto"/>
          <w:sz w:val="22"/>
          <w:szCs w:val="22"/>
          <w:highlight w:val="none"/>
        </w:rPr>
        <w:t>（如所提供的合同无法体现服务内容或合同金额，需提供用户证明文件证明以上内容并加盖用户印章，招标人保留核实证明文件原件及真实性的权利）；</w:t>
      </w:r>
    </w:p>
    <w:p w14:paraId="3249FFDB">
      <w:pPr>
        <w:numPr>
          <w:ilvl w:val="0"/>
          <w:numId w:val="5"/>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资质要求：投标人须具有有效期内的CMMI软件成熟度三级及以上认证证书；</w:t>
      </w:r>
    </w:p>
    <w:p w14:paraId="1287E32F">
      <w:pPr>
        <w:numPr>
          <w:ilvl w:val="0"/>
          <w:numId w:val="5"/>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本项目不接受联合体投标。未经招标人同意，投标人不允许转包、分包；</w:t>
      </w:r>
    </w:p>
    <w:p w14:paraId="5D274E00">
      <w:pPr>
        <w:numPr>
          <w:ilvl w:val="0"/>
          <w:numId w:val="5"/>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信誉要求： 投标人未进入北京首新航空地面服务有限公司不合格供应商目录、不诚信供应商目录及黑名单；投标人未在以往首都机场集团有限公司及下属成员企业采购项目中标（成交）后，由于中标人（成交人）责任而未签订或未履行合同的；</w:t>
      </w:r>
    </w:p>
    <w:p w14:paraId="0D4D56DB">
      <w:pPr>
        <w:numPr>
          <w:ilvl w:val="0"/>
          <w:numId w:val="5"/>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本项目不接受投标人在过去三年内出现以下任一情况：</w:t>
      </w:r>
    </w:p>
    <w:p w14:paraId="69092F10">
      <w:pPr>
        <w:numPr>
          <w:ilvl w:val="0"/>
          <w:numId w:val="6"/>
        </w:numPr>
        <w:spacing w:line="360" w:lineRule="auto"/>
        <w:ind w:left="0"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因产品/服务质量导致安全生产责任事故受到行政处罚的；</w:t>
      </w:r>
    </w:p>
    <w:p w14:paraId="45AD77E4">
      <w:pPr>
        <w:numPr>
          <w:ilvl w:val="0"/>
          <w:numId w:val="6"/>
        </w:numPr>
        <w:spacing w:line="360" w:lineRule="auto"/>
        <w:ind w:left="0"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被信用中国网站（www.creditchina.gov.cn）列入失信被执行人、重大税收违法失信主体、经营异常名录、严重失信主体名单等</w:t>
      </w:r>
      <w:r>
        <w:rPr>
          <w:rFonts w:hint="eastAsia" w:ascii="仿宋_GB2312" w:hAnsi="仿宋_GB2312" w:eastAsia="仿宋_GB2312" w:cs="仿宋_GB2312"/>
          <w:bCs/>
          <w:color w:val="auto"/>
          <w:sz w:val="22"/>
          <w:szCs w:val="22"/>
          <w:highlight w:val="none"/>
        </w:rPr>
        <w:t>。</w:t>
      </w:r>
      <w:r>
        <w:rPr>
          <w:rFonts w:ascii="仿宋_GB2312" w:hAnsi="仿宋_GB2312" w:eastAsia="仿宋_GB2312" w:cs="仿宋_GB2312"/>
          <w:bCs/>
          <w:color w:val="auto"/>
          <w:sz w:val="22"/>
          <w:szCs w:val="22"/>
          <w:highlight w:val="none"/>
        </w:rPr>
        <w:t>注：提供投标文件递交截止时间前7日内的网站查询截图或信用报告(复印件并加盖单位公章)；</w:t>
      </w:r>
    </w:p>
    <w:p w14:paraId="38FFA94B">
      <w:pPr>
        <w:numPr>
          <w:ilvl w:val="0"/>
          <w:numId w:val="6"/>
        </w:numPr>
        <w:spacing w:line="360" w:lineRule="auto"/>
        <w:ind w:left="0"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投标人须提供加盖公章的承诺函原件，承诺其不存在上述情况。一经发现与承诺事实不符，取消中标资格并加入北京首新航空地面服务有限公司供应商黑名单，五年内不接受参与采购项目。</w:t>
      </w:r>
    </w:p>
    <w:p w14:paraId="490C2398">
      <w:pPr>
        <w:numPr>
          <w:ilvl w:val="0"/>
          <w:numId w:val="5"/>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同一法定代表人的企业或隶属关系（母公司、全资子公司及其控股公司）的企业，不得同时参加投标；</w:t>
      </w:r>
    </w:p>
    <w:p w14:paraId="4DD941EE">
      <w:pPr>
        <w:numPr>
          <w:ilvl w:val="0"/>
          <w:numId w:val="5"/>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应遵守国家有关法律、法规和有关规定的</w:t>
      </w:r>
      <w:r>
        <w:rPr>
          <w:rFonts w:ascii="仿宋_GB2312" w:hAnsi="仿宋_GB2312" w:eastAsia="仿宋_GB2312" w:cs="仿宋_GB2312"/>
          <w:bCs/>
          <w:color w:val="auto"/>
          <w:sz w:val="22"/>
          <w:szCs w:val="22"/>
          <w:highlight w:val="none"/>
        </w:rPr>
        <w:t>其他条件。</w:t>
      </w:r>
    </w:p>
    <w:p w14:paraId="6E532B48">
      <w:pPr>
        <w:numPr>
          <w:ilvl w:val="0"/>
          <w:numId w:val="3"/>
        </w:numPr>
        <w:spacing w:line="360" w:lineRule="auto"/>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招标文件的发售时间及地点等：</w:t>
      </w:r>
    </w:p>
    <w:p w14:paraId="2E92AC52">
      <w:pPr>
        <w:numPr>
          <w:ilvl w:val="0"/>
          <w:numId w:val="7"/>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发售时间：</w:t>
      </w:r>
      <w:r>
        <w:rPr>
          <w:rFonts w:ascii="仿宋_GB2312" w:hAnsi="仿宋_GB2312" w:eastAsia="仿宋_GB2312" w:cs="仿宋_GB2312"/>
          <w:bCs/>
          <w:color w:val="auto"/>
          <w:sz w:val="22"/>
          <w:szCs w:val="22"/>
          <w:highlight w:val="none"/>
        </w:rPr>
        <w:t>20</w:t>
      </w:r>
      <w:r>
        <w:rPr>
          <w:rFonts w:hint="eastAsia" w:ascii="仿宋_GB2312" w:hAnsi="仿宋_GB2312" w:eastAsia="仿宋_GB2312" w:cs="仿宋_GB2312"/>
          <w:bCs/>
          <w:color w:val="auto"/>
          <w:sz w:val="22"/>
          <w:szCs w:val="22"/>
          <w:highlight w:val="none"/>
        </w:rPr>
        <w:t>24</w:t>
      </w:r>
      <w:r>
        <w:rPr>
          <w:rFonts w:ascii="仿宋_GB2312" w:hAnsi="仿宋_GB2312" w:eastAsia="仿宋_GB2312" w:cs="仿宋_GB2312"/>
          <w:bCs/>
          <w:color w:val="auto"/>
          <w:sz w:val="22"/>
          <w:szCs w:val="22"/>
          <w:highlight w:val="none"/>
        </w:rPr>
        <w:t>年</w:t>
      </w:r>
      <w:r>
        <w:rPr>
          <w:rFonts w:hint="eastAsia" w:ascii="仿宋_GB2312" w:hAnsi="仿宋_GB2312" w:eastAsia="仿宋_GB2312" w:cs="仿宋_GB2312"/>
          <w:bCs/>
          <w:color w:val="auto"/>
          <w:sz w:val="22"/>
          <w:szCs w:val="22"/>
          <w:highlight w:val="none"/>
        </w:rPr>
        <w:t>12</w:t>
      </w:r>
      <w:r>
        <w:rPr>
          <w:rFonts w:ascii="仿宋_GB2312" w:hAnsi="仿宋_GB2312" w:eastAsia="仿宋_GB2312" w:cs="仿宋_GB2312"/>
          <w:bCs/>
          <w:color w:val="auto"/>
          <w:sz w:val="22"/>
          <w:szCs w:val="22"/>
          <w:highlight w:val="none"/>
        </w:rPr>
        <w:t>月</w:t>
      </w:r>
      <w:r>
        <w:rPr>
          <w:rFonts w:hint="eastAsia" w:ascii="仿宋_GB2312" w:hAnsi="仿宋_GB2312" w:eastAsia="仿宋_GB2312" w:cs="仿宋_GB2312"/>
          <w:bCs/>
          <w:color w:val="auto"/>
          <w:sz w:val="22"/>
          <w:szCs w:val="22"/>
          <w:highlight w:val="none"/>
          <w:lang w:val="en-US" w:eastAsia="zh-CN"/>
        </w:rPr>
        <w:t>26</w:t>
      </w:r>
      <w:r>
        <w:rPr>
          <w:rFonts w:ascii="仿宋_GB2312" w:hAnsi="仿宋_GB2312" w:eastAsia="仿宋_GB2312" w:cs="仿宋_GB2312"/>
          <w:bCs/>
          <w:color w:val="auto"/>
          <w:sz w:val="22"/>
          <w:szCs w:val="22"/>
          <w:highlight w:val="none"/>
        </w:rPr>
        <w:t>日至20</w:t>
      </w:r>
      <w:r>
        <w:rPr>
          <w:rFonts w:hint="eastAsia" w:ascii="仿宋_GB2312" w:hAnsi="仿宋_GB2312" w:eastAsia="仿宋_GB2312" w:cs="仿宋_GB2312"/>
          <w:bCs/>
          <w:color w:val="auto"/>
          <w:sz w:val="22"/>
          <w:szCs w:val="22"/>
          <w:highlight w:val="none"/>
        </w:rPr>
        <w:t>2</w:t>
      </w:r>
      <w:r>
        <w:rPr>
          <w:rFonts w:hint="eastAsia" w:ascii="仿宋_GB2312" w:hAnsi="仿宋_GB2312" w:eastAsia="仿宋_GB2312" w:cs="仿宋_GB2312"/>
          <w:bCs/>
          <w:color w:val="auto"/>
          <w:sz w:val="22"/>
          <w:szCs w:val="22"/>
          <w:highlight w:val="none"/>
          <w:lang w:val="en-US" w:eastAsia="zh-CN"/>
        </w:rPr>
        <w:t>5</w:t>
      </w:r>
      <w:r>
        <w:rPr>
          <w:rFonts w:ascii="仿宋_GB2312" w:hAnsi="仿宋_GB2312" w:eastAsia="仿宋_GB2312" w:cs="仿宋_GB2312"/>
          <w:bCs/>
          <w:color w:val="auto"/>
          <w:sz w:val="22"/>
          <w:szCs w:val="22"/>
          <w:highlight w:val="none"/>
        </w:rPr>
        <w:t>年</w:t>
      </w:r>
      <w:r>
        <w:rPr>
          <w:rFonts w:hint="eastAsia" w:ascii="仿宋_GB2312" w:hAnsi="仿宋_GB2312" w:eastAsia="仿宋_GB2312" w:cs="仿宋_GB2312"/>
          <w:bCs/>
          <w:color w:val="auto"/>
          <w:sz w:val="22"/>
          <w:szCs w:val="22"/>
          <w:highlight w:val="none"/>
          <w:lang w:val="en-US" w:eastAsia="zh-CN"/>
        </w:rPr>
        <w:t>1</w:t>
      </w:r>
      <w:r>
        <w:rPr>
          <w:rFonts w:ascii="仿宋_GB2312" w:hAnsi="仿宋_GB2312" w:eastAsia="仿宋_GB2312" w:cs="仿宋_GB2312"/>
          <w:bCs/>
          <w:color w:val="auto"/>
          <w:sz w:val="22"/>
          <w:szCs w:val="22"/>
          <w:highlight w:val="none"/>
        </w:rPr>
        <w:t>月</w:t>
      </w:r>
      <w:r>
        <w:rPr>
          <w:rFonts w:hint="eastAsia" w:ascii="仿宋_GB2312" w:hAnsi="仿宋_GB2312" w:eastAsia="仿宋_GB2312" w:cs="仿宋_GB2312"/>
          <w:bCs/>
          <w:color w:val="auto"/>
          <w:sz w:val="22"/>
          <w:szCs w:val="22"/>
          <w:highlight w:val="none"/>
          <w:lang w:val="en-US" w:eastAsia="zh-CN"/>
        </w:rPr>
        <w:t>3</w:t>
      </w:r>
      <w:r>
        <w:rPr>
          <w:rFonts w:ascii="仿宋_GB2312" w:hAnsi="仿宋_GB2312" w:eastAsia="仿宋_GB2312" w:cs="仿宋_GB2312"/>
          <w:bCs/>
          <w:color w:val="auto"/>
          <w:sz w:val="22"/>
          <w:szCs w:val="22"/>
          <w:highlight w:val="none"/>
        </w:rPr>
        <w:t>日(节假日除外)，上午9:00至11:00；下午1:00至4:00（北京时间）。</w:t>
      </w:r>
    </w:p>
    <w:p w14:paraId="5F65B48E">
      <w:pPr>
        <w:numPr>
          <w:ilvl w:val="0"/>
          <w:numId w:val="7"/>
        </w:numPr>
        <w:spacing w:line="360" w:lineRule="auto"/>
        <w:ind w:left="0" w:firstLine="440" w:firstLineChars="200"/>
        <w:jc w:val="left"/>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获取方式：</w:t>
      </w:r>
      <w:r>
        <w:rPr>
          <w:rFonts w:hint="eastAsia" w:ascii="仿宋_GB2312" w:hAnsi="仿宋_GB2312" w:eastAsia="仿宋_GB2312" w:cs="仿宋_GB2312"/>
          <w:bCs/>
          <w:color w:val="auto"/>
          <w:sz w:val="22"/>
          <w:szCs w:val="22"/>
          <w:highlight w:val="none"/>
          <w:lang w:val="en-US" w:eastAsia="zh-CN"/>
        </w:rPr>
        <w:t>网上获取。</w:t>
      </w:r>
      <w:r>
        <w:rPr>
          <w:rFonts w:hint="eastAsia" w:ascii="仿宋_GB2312" w:hAnsi="仿宋_GB2312" w:eastAsia="仿宋_GB2312" w:cs="仿宋_GB2312"/>
          <w:bCs/>
          <w:color w:val="auto"/>
          <w:sz w:val="22"/>
          <w:szCs w:val="22"/>
          <w:highlight w:val="none"/>
        </w:rPr>
        <w:t>网上报名及购买招标文件，以邮件形式发送以下资料至招标代理机构邮箱</w:t>
      </w:r>
      <w:r>
        <w:rPr>
          <w:rFonts w:hint="eastAsia" w:ascii="仿宋_GB2312" w:hAnsi="仿宋_GB2312" w:eastAsia="仿宋_GB2312" w:cs="仿宋_GB2312"/>
          <w:bCs/>
          <w:color w:val="auto"/>
          <w:sz w:val="22"/>
          <w:szCs w:val="22"/>
          <w:highlight w:val="none"/>
          <w:lang w:val="en-US" w:eastAsia="zh-CN"/>
        </w:rPr>
        <w:t>onlypaladin@yeah.net</w:t>
      </w:r>
      <w:r>
        <w:rPr>
          <w:rFonts w:hint="eastAsia" w:ascii="仿宋_GB2312" w:hAnsi="仿宋_GB2312" w:eastAsia="仿宋_GB2312" w:cs="仿宋_GB2312"/>
          <w:bCs/>
          <w:color w:val="auto"/>
          <w:sz w:val="22"/>
          <w:szCs w:val="22"/>
          <w:highlight w:val="none"/>
        </w:rPr>
        <w:t>：</w:t>
      </w:r>
    </w:p>
    <w:p w14:paraId="314AC6B7">
      <w:pPr>
        <w:numPr>
          <w:ilvl w:val="0"/>
          <w:numId w:val="0"/>
        </w:numPr>
        <w:spacing w:line="360" w:lineRule="auto"/>
        <w:ind w:firstLine="440" w:firstLineChars="200"/>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bCs/>
          <w:color w:val="auto"/>
          <w:sz w:val="22"/>
          <w:szCs w:val="22"/>
          <w:highlight w:val="none"/>
        </w:rPr>
        <w:t>（1）企业营业执照复印件加盖公章（彩色扫描件）；（2）法定代表人授权委托书原件（彩色扫描件）；（3）加盖公章的经办人身份证复印件（彩色扫描件）；（</w:t>
      </w:r>
      <w:r>
        <w:rPr>
          <w:rFonts w:hint="eastAsia" w:ascii="仿宋_GB2312" w:hAnsi="仿宋_GB2312" w:eastAsia="仿宋_GB2312" w:cs="仿宋_GB2312"/>
          <w:bCs/>
          <w:color w:val="auto"/>
          <w:sz w:val="22"/>
          <w:szCs w:val="22"/>
          <w:highlight w:val="none"/>
          <w:lang w:val="en-US" w:eastAsia="zh-CN"/>
        </w:rPr>
        <w:t>4</w:t>
      </w:r>
      <w:r>
        <w:rPr>
          <w:rFonts w:hint="eastAsia" w:ascii="仿宋_GB2312" w:hAnsi="仿宋_GB2312" w:eastAsia="仿宋_GB2312" w:cs="仿宋_GB2312"/>
          <w:bCs/>
          <w:color w:val="auto"/>
          <w:sz w:val="22"/>
          <w:szCs w:val="22"/>
          <w:highlight w:val="none"/>
        </w:rPr>
        <w:t>）标书款转账凭证（须公对公汇款）；（</w:t>
      </w:r>
      <w:r>
        <w:rPr>
          <w:rFonts w:hint="eastAsia" w:ascii="仿宋_GB2312" w:hAnsi="仿宋_GB2312" w:eastAsia="仿宋_GB2312" w:cs="仿宋_GB2312"/>
          <w:bCs/>
          <w:color w:val="auto"/>
          <w:sz w:val="22"/>
          <w:szCs w:val="22"/>
          <w:highlight w:val="none"/>
          <w:lang w:val="en-US" w:eastAsia="zh-CN"/>
        </w:rPr>
        <w:t>5</w:t>
      </w:r>
      <w:r>
        <w:rPr>
          <w:rFonts w:hint="eastAsia" w:ascii="仿宋_GB2312" w:hAnsi="仿宋_GB2312" w:eastAsia="仿宋_GB2312" w:cs="仿宋_GB2312"/>
          <w:bCs/>
          <w:color w:val="auto"/>
          <w:sz w:val="22"/>
          <w:szCs w:val="22"/>
          <w:highlight w:val="none"/>
        </w:rPr>
        <w:t>）邮件备注项目名称、供应商名称全称、联系人姓名及联系方式；（</w:t>
      </w:r>
      <w:r>
        <w:rPr>
          <w:rFonts w:hint="eastAsia" w:ascii="仿宋_GB2312" w:hAnsi="仿宋_GB2312" w:eastAsia="仿宋_GB2312" w:cs="仿宋_GB2312"/>
          <w:bCs/>
          <w:color w:val="auto"/>
          <w:sz w:val="22"/>
          <w:szCs w:val="22"/>
          <w:highlight w:val="none"/>
          <w:lang w:val="en-US" w:eastAsia="zh-CN"/>
        </w:rPr>
        <w:t>6</w:t>
      </w:r>
      <w:r>
        <w:rPr>
          <w:rFonts w:hint="eastAsia" w:ascii="仿宋_GB2312" w:hAnsi="仿宋_GB2312" w:eastAsia="仿宋_GB2312" w:cs="仿宋_GB2312"/>
          <w:bCs/>
          <w:color w:val="auto"/>
          <w:sz w:val="22"/>
          <w:szCs w:val="22"/>
          <w:highlight w:val="none"/>
        </w:rPr>
        <w:t>）公司开票信息（word版）</w:t>
      </w:r>
      <w:r>
        <w:rPr>
          <w:rFonts w:hint="eastAsia" w:ascii="仿宋_GB2312" w:hAnsi="仿宋_GB2312" w:eastAsia="仿宋_GB2312" w:cs="仿宋_GB2312"/>
          <w:color w:val="auto"/>
          <w:sz w:val="22"/>
          <w:szCs w:val="22"/>
          <w:highlight w:val="none"/>
        </w:rPr>
        <w:t>。</w:t>
      </w:r>
    </w:p>
    <w:p w14:paraId="7D8C140F">
      <w:pPr>
        <w:numPr>
          <w:ilvl w:val="0"/>
          <w:numId w:val="7"/>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招标文件售价：人民币500元。招标文件售后不退。</w:t>
      </w:r>
    </w:p>
    <w:p w14:paraId="044D3E9A">
      <w:pPr>
        <w:numPr>
          <w:ilvl w:val="0"/>
          <w:numId w:val="3"/>
        </w:numPr>
        <w:spacing w:line="360" w:lineRule="auto"/>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投标截止时间：20</w:t>
      </w:r>
      <w:r>
        <w:rPr>
          <w:rFonts w:hint="eastAsia" w:ascii="仿宋_GB2312" w:hAnsi="仿宋_GB2312" w:eastAsia="仿宋_GB2312" w:cs="仿宋_GB2312"/>
          <w:bCs/>
          <w:color w:val="auto"/>
          <w:sz w:val="22"/>
          <w:szCs w:val="22"/>
          <w:highlight w:val="none"/>
        </w:rPr>
        <w:t>2</w:t>
      </w:r>
      <w:r>
        <w:rPr>
          <w:rFonts w:hint="eastAsia" w:ascii="仿宋_GB2312" w:hAnsi="仿宋_GB2312" w:eastAsia="仿宋_GB2312" w:cs="仿宋_GB2312"/>
          <w:bCs/>
          <w:color w:val="auto"/>
          <w:sz w:val="22"/>
          <w:szCs w:val="22"/>
          <w:highlight w:val="none"/>
          <w:lang w:val="en-US" w:eastAsia="zh-CN"/>
        </w:rPr>
        <w:t>5</w:t>
      </w:r>
      <w:r>
        <w:rPr>
          <w:rFonts w:ascii="仿宋_GB2312" w:hAnsi="仿宋_GB2312" w:eastAsia="仿宋_GB2312" w:cs="仿宋_GB2312"/>
          <w:bCs/>
          <w:color w:val="auto"/>
          <w:sz w:val="22"/>
          <w:szCs w:val="22"/>
          <w:highlight w:val="none"/>
        </w:rPr>
        <w:t>年</w:t>
      </w:r>
      <w:r>
        <w:rPr>
          <w:rFonts w:hint="eastAsia" w:ascii="仿宋_GB2312" w:hAnsi="仿宋_GB2312" w:eastAsia="仿宋_GB2312" w:cs="仿宋_GB2312"/>
          <w:bCs/>
          <w:color w:val="auto"/>
          <w:sz w:val="22"/>
          <w:szCs w:val="22"/>
          <w:highlight w:val="none"/>
          <w:lang w:val="en-US" w:eastAsia="zh-CN"/>
        </w:rPr>
        <w:t>1</w:t>
      </w:r>
      <w:r>
        <w:rPr>
          <w:rFonts w:ascii="仿宋_GB2312" w:hAnsi="仿宋_GB2312" w:eastAsia="仿宋_GB2312" w:cs="仿宋_GB2312"/>
          <w:bCs/>
          <w:color w:val="auto"/>
          <w:sz w:val="22"/>
          <w:szCs w:val="22"/>
          <w:highlight w:val="none"/>
        </w:rPr>
        <w:t>月</w:t>
      </w:r>
      <w:r>
        <w:rPr>
          <w:rFonts w:hint="eastAsia" w:ascii="仿宋_GB2312" w:hAnsi="仿宋_GB2312" w:eastAsia="仿宋_GB2312" w:cs="仿宋_GB2312"/>
          <w:bCs/>
          <w:color w:val="auto"/>
          <w:sz w:val="22"/>
          <w:szCs w:val="22"/>
          <w:highlight w:val="none"/>
          <w:lang w:val="en-US" w:eastAsia="zh-CN"/>
        </w:rPr>
        <w:t>17</w:t>
      </w:r>
      <w:r>
        <w:rPr>
          <w:rFonts w:ascii="仿宋_GB2312" w:hAnsi="仿宋_GB2312" w:eastAsia="仿宋_GB2312" w:cs="仿宋_GB2312"/>
          <w:bCs/>
          <w:color w:val="auto"/>
          <w:sz w:val="22"/>
          <w:szCs w:val="22"/>
          <w:highlight w:val="none"/>
        </w:rPr>
        <w:t>日下午</w:t>
      </w:r>
      <w:r>
        <w:rPr>
          <w:rFonts w:hint="eastAsia" w:ascii="仿宋_GB2312" w:hAnsi="仿宋_GB2312" w:eastAsia="仿宋_GB2312" w:cs="仿宋_GB2312"/>
          <w:bCs/>
          <w:color w:val="auto"/>
          <w:sz w:val="22"/>
          <w:szCs w:val="22"/>
          <w:highlight w:val="none"/>
          <w:lang w:val="en-US" w:eastAsia="zh-CN"/>
        </w:rPr>
        <w:t>14</w:t>
      </w:r>
      <w:r>
        <w:rPr>
          <w:rFonts w:ascii="仿宋_GB2312" w:hAnsi="仿宋_GB2312" w:eastAsia="仿宋_GB2312" w:cs="仿宋_GB2312"/>
          <w:bCs/>
          <w:color w:val="auto"/>
          <w:sz w:val="22"/>
          <w:szCs w:val="22"/>
          <w:highlight w:val="none"/>
        </w:rPr>
        <w:t>：</w:t>
      </w:r>
      <w:r>
        <w:rPr>
          <w:rFonts w:hint="eastAsia" w:ascii="仿宋_GB2312" w:hAnsi="仿宋_GB2312" w:eastAsia="仿宋_GB2312" w:cs="仿宋_GB2312"/>
          <w:bCs/>
          <w:color w:val="auto"/>
          <w:sz w:val="22"/>
          <w:szCs w:val="22"/>
          <w:highlight w:val="none"/>
        </w:rPr>
        <w:t>xx</w:t>
      </w:r>
      <w:r>
        <w:rPr>
          <w:rFonts w:ascii="仿宋_GB2312" w:hAnsi="仿宋_GB2312" w:eastAsia="仿宋_GB2312" w:cs="仿宋_GB2312"/>
          <w:bCs/>
          <w:color w:val="auto"/>
          <w:sz w:val="22"/>
          <w:szCs w:val="22"/>
          <w:highlight w:val="none"/>
        </w:rPr>
        <w:t>（北京时间），逾期收到或不符合规定的投标文件恕不接受。</w:t>
      </w:r>
    </w:p>
    <w:p w14:paraId="3A8FC571">
      <w:pPr>
        <w:numPr>
          <w:ilvl w:val="0"/>
          <w:numId w:val="3"/>
        </w:numPr>
        <w:spacing w:line="360" w:lineRule="auto"/>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开标时间：20</w:t>
      </w:r>
      <w:r>
        <w:rPr>
          <w:rFonts w:hint="eastAsia" w:ascii="仿宋_GB2312" w:hAnsi="仿宋_GB2312" w:eastAsia="仿宋_GB2312" w:cs="仿宋_GB2312"/>
          <w:bCs/>
          <w:color w:val="auto"/>
          <w:sz w:val="22"/>
          <w:szCs w:val="22"/>
          <w:highlight w:val="none"/>
        </w:rPr>
        <w:t>2</w:t>
      </w:r>
      <w:r>
        <w:rPr>
          <w:rFonts w:hint="eastAsia" w:ascii="仿宋_GB2312" w:hAnsi="仿宋_GB2312" w:eastAsia="仿宋_GB2312" w:cs="仿宋_GB2312"/>
          <w:bCs/>
          <w:color w:val="auto"/>
          <w:sz w:val="22"/>
          <w:szCs w:val="22"/>
          <w:highlight w:val="none"/>
          <w:lang w:val="en-US" w:eastAsia="zh-CN"/>
        </w:rPr>
        <w:t>5</w:t>
      </w:r>
      <w:r>
        <w:rPr>
          <w:rFonts w:ascii="仿宋_GB2312" w:hAnsi="仿宋_GB2312" w:eastAsia="仿宋_GB2312" w:cs="仿宋_GB2312"/>
          <w:bCs/>
          <w:color w:val="auto"/>
          <w:sz w:val="22"/>
          <w:szCs w:val="22"/>
          <w:highlight w:val="none"/>
        </w:rPr>
        <w:t>年</w:t>
      </w:r>
      <w:r>
        <w:rPr>
          <w:rFonts w:hint="eastAsia" w:ascii="仿宋_GB2312" w:hAnsi="仿宋_GB2312" w:eastAsia="仿宋_GB2312" w:cs="仿宋_GB2312"/>
          <w:bCs/>
          <w:color w:val="auto"/>
          <w:sz w:val="22"/>
          <w:szCs w:val="22"/>
          <w:highlight w:val="none"/>
          <w:lang w:val="en-US" w:eastAsia="zh-CN"/>
        </w:rPr>
        <w:t>1</w:t>
      </w:r>
      <w:r>
        <w:rPr>
          <w:rFonts w:ascii="仿宋_GB2312" w:hAnsi="仿宋_GB2312" w:eastAsia="仿宋_GB2312" w:cs="仿宋_GB2312"/>
          <w:bCs/>
          <w:color w:val="auto"/>
          <w:sz w:val="22"/>
          <w:szCs w:val="22"/>
          <w:highlight w:val="none"/>
        </w:rPr>
        <w:t>月</w:t>
      </w:r>
      <w:r>
        <w:rPr>
          <w:rFonts w:hint="eastAsia" w:ascii="仿宋_GB2312" w:hAnsi="仿宋_GB2312" w:eastAsia="仿宋_GB2312" w:cs="仿宋_GB2312"/>
          <w:bCs/>
          <w:color w:val="auto"/>
          <w:sz w:val="22"/>
          <w:szCs w:val="22"/>
          <w:highlight w:val="none"/>
          <w:lang w:val="en-US" w:eastAsia="zh-CN"/>
        </w:rPr>
        <w:t>17</w:t>
      </w:r>
      <w:r>
        <w:rPr>
          <w:rFonts w:ascii="仿宋_GB2312" w:hAnsi="仿宋_GB2312" w:eastAsia="仿宋_GB2312" w:cs="仿宋_GB2312"/>
          <w:bCs/>
          <w:color w:val="auto"/>
          <w:sz w:val="22"/>
          <w:szCs w:val="22"/>
          <w:highlight w:val="none"/>
        </w:rPr>
        <w:t>日下午</w:t>
      </w:r>
      <w:r>
        <w:rPr>
          <w:rFonts w:hint="eastAsia" w:ascii="仿宋_GB2312" w:hAnsi="仿宋_GB2312" w:eastAsia="仿宋_GB2312" w:cs="仿宋_GB2312"/>
          <w:bCs/>
          <w:color w:val="auto"/>
          <w:sz w:val="22"/>
          <w:szCs w:val="22"/>
          <w:highlight w:val="none"/>
          <w:lang w:val="en-US" w:eastAsia="zh-CN"/>
        </w:rPr>
        <w:t>14</w:t>
      </w:r>
      <w:r>
        <w:rPr>
          <w:rFonts w:ascii="仿宋_GB2312" w:hAnsi="仿宋_GB2312" w:eastAsia="仿宋_GB2312" w:cs="仿宋_GB2312"/>
          <w:bCs/>
          <w:color w:val="auto"/>
          <w:sz w:val="22"/>
          <w:szCs w:val="22"/>
          <w:highlight w:val="none"/>
        </w:rPr>
        <w:t>：</w:t>
      </w:r>
      <w:r>
        <w:rPr>
          <w:rFonts w:hint="eastAsia" w:ascii="仿宋_GB2312" w:hAnsi="仿宋_GB2312" w:eastAsia="仿宋_GB2312" w:cs="仿宋_GB2312"/>
          <w:bCs/>
          <w:color w:val="auto"/>
          <w:sz w:val="22"/>
          <w:szCs w:val="22"/>
          <w:highlight w:val="none"/>
        </w:rPr>
        <w:t>xx</w:t>
      </w:r>
      <w:r>
        <w:rPr>
          <w:rFonts w:ascii="仿宋_GB2312" w:hAnsi="仿宋_GB2312" w:eastAsia="仿宋_GB2312" w:cs="仿宋_GB2312"/>
          <w:bCs/>
          <w:color w:val="auto"/>
          <w:sz w:val="22"/>
          <w:szCs w:val="22"/>
          <w:highlight w:val="none"/>
        </w:rPr>
        <w:t>（北京时间）。</w:t>
      </w:r>
    </w:p>
    <w:p w14:paraId="0E1D3AEC">
      <w:pPr>
        <w:numPr>
          <w:ilvl w:val="0"/>
          <w:numId w:val="3"/>
        </w:numPr>
        <w:spacing w:line="360" w:lineRule="auto"/>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开标地点：</w:t>
      </w:r>
      <w:r>
        <w:rPr>
          <w:rFonts w:hint="eastAsia" w:ascii="仿宋_GB2312" w:hAnsi="仿宋_GB2312" w:eastAsia="仿宋_GB2312" w:cs="仿宋_GB2312"/>
          <w:bCs/>
          <w:color w:val="auto"/>
          <w:sz w:val="22"/>
          <w:szCs w:val="22"/>
          <w:highlight w:val="none"/>
        </w:rPr>
        <w:t xml:space="preserve"> 北京市海淀区车公庄西路19号国际传播科技文化园1号楼104会议室。</w:t>
      </w:r>
    </w:p>
    <w:p w14:paraId="1F086E60">
      <w:pPr>
        <w:numPr>
          <w:ilvl w:val="0"/>
          <w:numId w:val="3"/>
        </w:numPr>
        <w:spacing w:line="360" w:lineRule="auto"/>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其他补充事项：本公告在《中国招标投标公共服务平台》及</w:t>
      </w:r>
      <w:r>
        <w:rPr>
          <w:rFonts w:hint="eastAsia" w:ascii="仿宋_GB2312" w:hAnsi="仿宋_GB2312" w:eastAsia="仿宋_GB2312" w:cs="仿宋_GB2312"/>
          <w:bCs/>
          <w:color w:val="auto"/>
          <w:sz w:val="22"/>
          <w:szCs w:val="22"/>
          <w:highlight w:val="none"/>
          <w:lang w:eastAsia="zh-CN"/>
        </w:rPr>
        <w:t>《</w:t>
      </w:r>
      <w:r>
        <w:rPr>
          <w:rFonts w:hint="eastAsia" w:ascii="仿宋_GB2312" w:hAnsi="仿宋_GB2312" w:eastAsia="仿宋_GB2312" w:cs="仿宋_GB2312"/>
          <w:bCs/>
          <w:color w:val="auto"/>
          <w:sz w:val="22"/>
          <w:szCs w:val="22"/>
          <w:highlight w:val="none"/>
          <w:lang w:val="en-US" w:eastAsia="zh-CN"/>
        </w:rPr>
        <w:t>采购与招标网</w:t>
      </w:r>
      <w:r>
        <w:rPr>
          <w:rFonts w:hint="eastAsia" w:ascii="仿宋_GB2312" w:hAnsi="仿宋_GB2312" w:eastAsia="仿宋_GB2312" w:cs="仿宋_GB2312"/>
          <w:bCs/>
          <w:color w:val="auto"/>
          <w:sz w:val="22"/>
          <w:szCs w:val="22"/>
          <w:highlight w:val="none"/>
          <w:lang w:eastAsia="zh-CN"/>
        </w:rPr>
        <w:t>》</w:t>
      </w:r>
      <w:r>
        <w:rPr>
          <w:rFonts w:hint="eastAsia" w:ascii="仿宋_GB2312" w:hAnsi="仿宋_GB2312" w:eastAsia="仿宋_GB2312" w:cs="仿宋_GB2312"/>
          <w:bCs/>
          <w:color w:val="auto"/>
          <w:sz w:val="22"/>
          <w:szCs w:val="22"/>
          <w:highlight w:val="none"/>
        </w:rPr>
        <w:t>平台发布，</w:t>
      </w:r>
      <w:r>
        <w:rPr>
          <w:rFonts w:ascii="仿宋_GB2312" w:hAnsi="仿宋_GB2312" w:eastAsia="仿宋_GB2312" w:cs="仿宋_GB2312"/>
          <w:bCs/>
          <w:color w:val="auto"/>
          <w:sz w:val="22"/>
          <w:szCs w:val="22"/>
          <w:highlight w:val="none"/>
        </w:rPr>
        <w:t>凡对本次招标提出询问，请与</w:t>
      </w:r>
      <w:r>
        <w:rPr>
          <w:rFonts w:hint="eastAsia" w:ascii="仿宋_GB2312" w:hAnsi="仿宋_GB2312" w:eastAsia="仿宋_GB2312" w:cs="仿宋_GB2312"/>
          <w:bCs/>
          <w:color w:val="auto"/>
          <w:sz w:val="22"/>
          <w:szCs w:val="22"/>
          <w:highlight w:val="none"/>
        </w:rPr>
        <w:t>中咨工程管理咨询有限公司</w:t>
      </w:r>
      <w:r>
        <w:rPr>
          <w:rFonts w:ascii="仿宋_GB2312" w:hAnsi="仿宋_GB2312" w:eastAsia="仿宋_GB2312" w:cs="仿宋_GB2312"/>
          <w:bCs/>
          <w:color w:val="auto"/>
          <w:sz w:val="22"/>
          <w:szCs w:val="22"/>
          <w:highlight w:val="none"/>
        </w:rPr>
        <w:t>联系（技术方面的询问请以</w:t>
      </w:r>
      <w:r>
        <w:rPr>
          <w:rFonts w:hint="eastAsia" w:ascii="仿宋_GB2312" w:hAnsi="仿宋_GB2312" w:eastAsia="仿宋_GB2312" w:cs="仿宋_GB2312"/>
          <w:bCs/>
          <w:color w:val="auto"/>
          <w:sz w:val="22"/>
          <w:szCs w:val="22"/>
          <w:highlight w:val="none"/>
        </w:rPr>
        <w:t>书面形式递交</w:t>
      </w:r>
      <w:r>
        <w:rPr>
          <w:rFonts w:ascii="仿宋_GB2312" w:hAnsi="仿宋_GB2312" w:eastAsia="仿宋_GB2312" w:cs="仿宋_GB2312"/>
          <w:bCs/>
          <w:color w:val="auto"/>
          <w:sz w:val="22"/>
          <w:szCs w:val="22"/>
          <w:highlight w:val="none"/>
        </w:rPr>
        <w:t>）。</w:t>
      </w:r>
    </w:p>
    <w:p w14:paraId="2398B02F">
      <w:pPr>
        <w:numPr>
          <w:ilvl w:val="0"/>
          <w:numId w:val="8"/>
        </w:num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招标代理机构名称：</w:t>
      </w:r>
      <w:r>
        <w:rPr>
          <w:rFonts w:hint="eastAsia" w:ascii="仿宋" w:hAnsi="仿宋" w:eastAsia="仿宋" w:cs="仿宋"/>
          <w:color w:val="auto"/>
          <w:kern w:val="0"/>
          <w:sz w:val="22"/>
          <w:szCs w:val="18"/>
          <w:highlight w:val="none"/>
        </w:rPr>
        <w:t>中咨工程管理咨询有限公司</w:t>
      </w:r>
    </w:p>
    <w:p w14:paraId="3EEB11F3">
      <w:pPr>
        <w:numPr>
          <w:ilvl w:val="0"/>
          <w:numId w:val="8"/>
        </w:num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地    址：北京市海淀区紫竹院南路20号国际传播科技文化园1号楼112室</w:t>
      </w:r>
    </w:p>
    <w:p w14:paraId="08B83EC7">
      <w:pPr>
        <w:numPr>
          <w:ilvl w:val="0"/>
          <w:numId w:val="8"/>
        </w:num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邮    编：</w:t>
      </w:r>
      <w:r>
        <w:rPr>
          <w:rFonts w:hint="eastAsia" w:ascii="仿宋" w:hAnsi="仿宋" w:eastAsia="仿宋" w:cs="仿宋"/>
          <w:color w:val="auto"/>
          <w:kern w:val="0"/>
          <w:sz w:val="22"/>
          <w:szCs w:val="18"/>
          <w:highlight w:val="none"/>
        </w:rPr>
        <w:t>100048</w:t>
      </w:r>
    </w:p>
    <w:p w14:paraId="2B5D0B55">
      <w:pPr>
        <w:numPr>
          <w:ilvl w:val="0"/>
          <w:numId w:val="8"/>
        </w:num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电    话：</w:t>
      </w:r>
      <w:r>
        <w:rPr>
          <w:rFonts w:hint="eastAsia" w:ascii="仿宋" w:hAnsi="仿宋" w:eastAsia="仿宋" w:cs="仿宋"/>
          <w:color w:val="auto"/>
          <w:kern w:val="0"/>
          <w:sz w:val="22"/>
          <w:szCs w:val="18"/>
          <w:highlight w:val="none"/>
        </w:rPr>
        <w:t>13581514556、010-68900219</w:t>
      </w:r>
    </w:p>
    <w:p w14:paraId="199454B6">
      <w:pPr>
        <w:numPr>
          <w:ilvl w:val="0"/>
          <w:numId w:val="8"/>
        </w:num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联 系 人：张亚君、孙晋钊</w:t>
      </w:r>
    </w:p>
    <w:p w14:paraId="5C5E94EB">
      <w:pPr>
        <w:numPr>
          <w:ilvl w:val="0"/>
          <w:numId w:val="8"/>
        </w:num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电子信箱：</w:t>
      </w:r>
      <w:r>
        <w:rPr>
          <w:rFonts w:hint="eastAsia" w:ascii="仿宋" w:hAnsi="仿宋" w:eastAsia="仿宋" w:cs="仿宋"/>
          <w:color w:val="auto"/>
          <w:kern w:val="0"/>
          <w:sz w:val="22"/>
          <w:szCs w:val="18"/>
          <w:highlight w:val="none"/>
        </w:rPr>
        <w:t>onlypaladin@yeah.net</w:t>
      </w:r>
    </w:p>
    <w:p w14:paraId="5430DEE2">
      <w:pPr>
        <w:numPr>
          <w:ilvl w:val="0"/>
          <w:numId w:val="8"/>
        </w:num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开 户 名（全称）：</w:t>
      </w:r>
      <w:r>
        <w:rPr>
          <w:rFonts w:hint="eastAsia" w:ascii="仿宋" w:hAnsi="仿宋" w:eastAsia="仿宋" w:cs="仿宋"/>
          <w:color w:val="auto"/>
          <w:kern w:val="0"/>
          <w:sz w:val="22"/>
          <w:szCs w:val="18"/>
          <w:highlight w:val="none"/>
        </w:rPr>
        <w:t>中咨工程管理咨询有限公司</w:t>
      </w:r>
    </w:p>
    <w:p w14:paraId="0C60916D">
      <w:pPr>
        <w:numPr>
          <w:ilvl w:val="0"/>
          <w:numId w:val="8"/>
        </w:num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开户银行：</w:t>
      </w:r>
      <w:r>
        <w:rPr>
          <w:rFonts w:hint="eastAsia" w:ascii="仿宋" w:hAnsi="仿宋" w:eastAsia="仿宋" w:cs="仿宋"/>
          <w:color w:val="auto"/>
          <w:kern w:val="0"/>
          <w:sz w:val="22"/>
          <w:szCs w:val="18"/>
          <w:highlight w:val="none"/>
        </w:rPr>
        <w:t>民生银行北京首体南路支行</w:t>
      </w:r>
    </w:p>
    <w:p w14:paraId="6A76BB40">
      <w:pPr>
        <w:numPr>
          <w:ilvl w:val="0"/>
          <w:numId w:val="8"/>
        </w:num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帐    号：</w:t>
      </w:r>
      <w:r>
        <w:rPr>
          <w:rFonts w:hint="eastAsia" w:ascii="仿宋" w:hAnsi="仿宋" w:eastAsia="仿宋" w:cs="仿宋"/>
          <w:color w:val="auto"/>
          <w:kern w:val="0"/>
          <w:sz w:val="22"/>
          <w:szCs w:val="18"/>
          <w:highlight w:val="none"/>
        </w:rPr>
        <w:t>698941460-000008</w:t>
      </w:r>
    </w:p>
    <w:p w14:paraId="4725B477">
      <w:pPr>
        <w:spacing w:line="360" w:lineRule="auto"/>
        <w:ind w:firstLine="440" w:firstLineChars="200"/>
        <w:rPr>
          <w:rFonts w:hint="eastAsia" w:ascii="仿宋_GB2312" w:hAnsi="仿宋_GB2312" w:eastAsia="仿宋_GB2312" w:cs="仿宋_GB2312"/>
          <w:bCs/>
          <w:color w:val="auto"/>
          <w:sz w:val="28"/>
          <w:szCs w:val="28"/>
          <w:highlight w:val="none"/>
        </w:rPr>
      </w:pPr>
      <w:r>
        <w:rPr>
          <w:rFonts w:ascii="仿宋_GB2312" w:hAnsi="仿宋_GB2312" w:eastAsia="仿宋_GB2312" w:cs="仿宋_GB2312"/>
          <w:bCs/>
          <w:color w:val="auto"/>
          <w:sz w:val="22"/>
          <w:szCs w:val="22"/>
          <w:highlight w:val="none"/>
        </w:rPr>
        <w:t>（特别提示：该账号为我公司针对本项目的唯一账号，与我公司其它项目账号不同，请勿汇错账号！个别银行汇款时可将账户中的“-”去掉，因汇错账号或银行退回原因导致的汇款无效等后果，由投标人自行承担）</w:t>
      </w:r>
    </w:p>
    <w:p w14:paraId="5E02F5B7">
      <w:pPr>
        <w:spacing w:line="560" w:lineRule="exact"/>
        <w:rPr>
          <w:rFonts w:hint="eastAsia" w:ascii="仿宋_GB2312" w:hAnsi="仿宋_GB2312" w:eastAsia="仿宋_GB2312" w:cs="仿宋_GB2312"/>
          <w:bCs/>
          <w:color w:val="auto"/>
          <w:sz w:val="32"/>
          <w:szCs w:val="32"/>
          <w:highlight w:val="none"/>
        </w:rPr>
        <w:sectPr>
          <w:headerReference r:id="rId4" w:type="first"/>
          <w:footerReference r:id="rId6" w:type="first"/>
          <w:headerReference r:id="rId3" w:type="default"/>
          <w:footerReference r:id="rId5" w:type="default"/>
          <w:pgSz w:w="11907" w:h="16840"/>
          <w:pgMar w:top="1440" w:right="1797" w:bottom="1440" w:left="1797" w:header="851" w:footer="851" w:gutter="0"/>
          <w:cols w:space="720" w:num="1"/>
          <w:titlePg/>
          <w:docGrid w:linePitch="462" w:charSpace="0"/>
        </w:sectPr>
      </w:pPr>
    </w:p>
    <w:p w14:paraId="03468475">
      <w:pPr>
        <w:spacing w:line="480" w:lineRule="auto"/>
        <w:jc w:val="center"/>
        <w:outlineLvl w:val="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第二章 投标人须知前附表</w:t>
      </w:r>
    </w:p>
    <w:p w14:paraId="5C88AFF6">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本表是关于北京首新航空地面服务有限公司北京首新航空地面服务有限公司软件开发运维服务采购项目的具体资料，是对投标人须知的具体补充和修改，如有矛盾，应以本资料表为准。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048"/>
        <w:gridCol w:w="5686"/>
      </w:tblGrid>
      <w:tr w14:paraId="1194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8" w:type="dxa"/>
            <w:vAlign w:val="center"/>
          </w:tcPr>
          <w:p w14:paraId="6818DDD3">
            <w:pPr>
              <w:jc w:val="center"/>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序号</w:t>
            </w:r>
          </w:p>
        </w:tc>
        <w:tc>
          <w:tcPr>
            <w:tcW w:w="2048" w:type="dxa"/>
            <w:vAlign w:val="center"/>
          </w:tcPr>
          <w:p w14:paraId="46ADF951">
            <w:pPr>
              <w:jc w:val="center"/>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内容</w:t>
            </w:r>
          </w:p>
        </w:tc>
        <w:tc>
          <w:tcPr>
            <w:tcW w:w="5686" w:type="dxa"/>
            <w:vAlign w:val="center"/>
          </w:tcPr>
          <w:p w14:paraId="7932C343">
            <w:pPr>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说明</w:t>
            </w:r>
          </w:p>
        </w:tc>
      </w:tr>
      <w:tr w14:paraId="154B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F23B4C7">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w:t>
            </w:r>
          </w:p>
        </w:tc>
        <w:tc>
          <w:tcPr>
            <w:tcW w:w="2048" w:type="dxa"/>
            <w:shd w:val="clear" w:color="auto" w:fill="auto"/>
            <w:vAlign w:val="center"/>
          </w:tcPr>
          <w:p w14:paraId="69F9BA4C">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招标人</w:t>
            </w:r>
          </w:p>
        </w:tc>
        <w:tc>
          <w:tcPr>
            <w:tcW w:w="5686" w:type="dxa"/>
            <w:shd w:val="clear" w:color="auto" w:fill="auto"/>
            <w:vAlign w:val="center"/>
          </w:tcPr>
          <w:p w14:paraId="480936DD">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招标人名称：北京首新航空地面服务有限公司</w:t>
            </w:r>
          </w:p>
          <w:p w14:paraId="4D624A24">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招标人地址：北京大兴国际机场海关货运综合楼6层</w:t>
            </w:r>
          </w:p>
          <w:p w14:paraId="48C23137">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资金来源：自筹资金</w:t>
            </w:r>
          </w:p>
        </w:tc>
      </w:tr>
      <w:tr w14:paraId="35749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438FC49">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2</w:t>
            </w:r>
          </w:p>
        </w:tc>
        <w:tc>
          <w:tcPr>
            <w:tcW w:w="2048" w:type="dxa"/>
            <w:shd w:val="clear" w:color="auto" w:fill="auto"/>
            <w:vAlign w:val="center"/>
          </w:tcPr>
          <w:p w14:paraId="28D3C36A">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招标代理机构</w:t>
            </w:r>
          </w:p>
        </w:tc>
        <w:tc>
          <w:tcPr>
            <w:tcW w:w="5686" w:type="dxa"/>
            <w:shd w:val="clear" w:color="auto" w:fill="auto"/>
            <w:vAlign w:val="center"/>
          </w:tcPr>
          <w:p w14:paraId="0C279DA2">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招标代理机构名称：中咨工程管理咨询有限公司</w:t>
            </w:r>
          </w:p>
          <w:p w14:paraId="78F42FF5">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通讯地址：北京市海淀区紫竹院南路20号国际传播科技文化园1号楼112室</w:t>
            </w:r>
          </w:p>
          <w:p w14:paraId="00A0775E">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xml:space="preserve">联系人：张亚君、孙晋钊   </w:t>
            </w:r>
          </w:p>
          <w:p w14:paraId="41D3F94E">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xml:space="preserve">电话：13581514556、010-68900219  </w:t>
            </w:r>
          </w:p>
        </w:tc>
      </w:tr>
      <w:tr w14:paraId="5F88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3563895F">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3</w:t>
            </w:r>
          </w:p>
        </w:tc>
        <w:tc>
          <w:tcPr>
            <w:tcW w:w="2048" w:type="dxa"/>
            <w:shd w:val="clear" w:color="auto" w:fill="auto"/>
            <w:vAlign w:val="center"/>
          </w:tcPr>
          <w:p w14:paraId="3FF302F4">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项目名称及编号</w:t>
            </w:r>
          </w:p>
        </w:tc>
        <w:tc>
          <w:tcPr>
            <w:tcW w:w="5686" w:type="dxa"/>
            <w:shd w:val="clear" w:color="auto" w:fill="auto"/>
            <w:vAlign w:val="center"/>
          </w:tcPr>
          <w:p w14:paraId="58F90410">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招标项目名称：</w:t>
            </w:r>
            <w:r>
              <w:rPr>
                <w:rFonts w:hint="eastAsia" w:ascii="仿宋_GB2312" w:hAnsi="仿宋_GB2312" w:eastAsia="仿宋_GB2312" w:cs="仿宋_GB2312"/>
                <w:bCs/>
                <w:color w:val="auto"/>
                <w:sz w:val="22"/>
                <w:szCs w:val="22"/>
                <w:highlight w:val="none"/>
                <w:lang w:eastAsia="zh-CN"/>
              </w:rPr>
              <w:t>北京首新航空地面服务有限公司软件开发运维服务采购项目</w:t>
            </w:r>
          </w:p>
          <w:p w14:paraId="673A28B5">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项目编号：</w:t>
            </w:r>
            <w:r>
              <w:rPr>
                <w:rFonts w:hint="eastAsia" w:ascii="仿宋_GB2312" w:hAnsi="仿宋_GB2312" w:eastAsia="仿宋_GB2312" w:cs="仿宋_GB2312"/>
                <w:bCs/>
                <w:color w:val="auto"/>
                <w:sz w:val="22"/>
                <w:szCs w:val="22"/>
                <w:highlight w:val="none"/>
                <w:lang w:val="en-US" w:eastAsia="zh-CN"/>
              </w:rPr>
              <w:t>ZZGL-GXB241109</w:t>
            </w:r>
          </w:p>
        </w:tc>
      </w:tr>
      <w:tr w14:paraId="6AF7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1FB30573">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4</w:t>
            </w:r>
          </w:p>
        </w:tc>
        <w:tc>
          <w:tcPr>
            <w:tcW w:w="2048" w:type="dxa"/>
            <w:vAlign w:val="center"/>
          </w:tcPr>
          <w:p w14:paraId="045D846E">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法律法规行业标准</w:t>
            </w:r>
          </w:p>
        </w:tc>
        <w:tc>
          <w:tcPr>
            <w:tcW w:w="5686" w:type="dxa"/>
            <w:vAlign w:val="center"/>
          </w:tcPr>
          <w:p w14:paraId="61B95D27">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本项目必须严格遵守国家颁布的有关法律、法规、行业标准和规范。</w:t>
            </w:r>
          </w:p>
        </w:tc>
      </w:tr>
      <w:tr w14:paraId="09A4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88" w:type="dxa"/>
            <w:vAlign w:val="center"/>
          </w:tcPr>
          <w:p w14:paraId="5A5072BA">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5</w:t>
            </w:r>
          </w:p>
        </w:tc>
        <w:tc>
          <w:tcPr>
            <w:tcW w:w="2048" w:type="dxa"/>
            <w:vAlign w:val="center"/>
          </w:tcPr>
          <w:p w14:paraId="3C389057">
            <w:pPr>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投标报价和货币</w:t>
            </w:r>
          </w:p>
        </w:tc>
        <w:tc>
          <w:tcPr>
            <w:tcW w:w="5686" w:type="dxa"/>
            <w:vAlign w:val="center"/>
          </w:tcPr>
          <w:p w14:paraId="2231B6EC">
            <w:pP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投标限价：人民币190</w:t>
            </w:r>
            <w:r>
              <w:rPr>
                <w:rFonts w:hint="eastAsia" w:ascii="仿宋_GB2312" w:hAnsi="仿宋_GB2312" w:eastAsia="仿宋_GB2312" w:cs="仿宋_GB2312"/>
                <w:color w:val="auto"/>
                <w:sz w:val="22"/>
                <w:szCs w:val="22"/>
                <w:highlight w:val="none"/>
                <w:lang w:val="en-US" w:eastAsia="zh-CN"/>
              </w:rPr>
              <w:t>万</w:t>
            </w:r>
            <w:r>
              <w:rPr>
                <w:rFonts w:hint="eastAsia" w:ascii="仿宋_GB2312" w:hAnsi="仿宋_GB2312" w:eastAsia="仿宋_GB2312" w:cs="仿宋_GB2312"/>
                <w:color w:val="auto"/>
                <w:sz w:val="22"/>
                <w:szCs w:val="22"/>
                <w:highlight w:val="none"/>
              </w:rPr>
              <w:t>元整（含税）</w:t>
            </w:r>
          </w:p>
        </w:tc>
      </w:tr>
      <w:tr w14:paraId="1589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88" w:type="dxa"/>
            <w:vAlign w:val="center"/>
          </w:tcPr>
          <w:p w14:paraId="7E1BDBD0">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6</w:t>
            </w:r>
          </w:p>
        </w:tc>
        <w:tc>
          <w:tcPr>
            <w:tcW w:w="2048" w:type="dxa"/>
            <w:vAlign w:val="center"/>
          </w:tcPr>
          <w:p w14:paraId="1AE61C4E">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投标保证金</w:t>
            </w:r>
          </w:p>
        </w:tc>
        <w:tc>
          <w:tcPr>
            <w:tcW w:w="5686" w:type="dxa"/>
            <w:vAlign w:val="center"/>
          </w:tcPr>
          <w:p w14:paraId="7F41250F">
            <w:pP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投标保证金金额（人民币）：叁万捌仟元整（38000.00元）</w:t>
            </w:r>
          </w:p>
          <w:p w14:paraId="3F90197E">
            <w:pP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投标保证金形式：银行转账（非现金方式，公对公形式）。</w:t>
            </w:r>
          </w:p>
          <w:p w14:paraId="32F77B14">
            <w:pP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投标保证金递交截止时间同投标截止时间。</w:t>
            </w:r>
          </w:p>
          <w:p w14:paraId="28B9B4B3">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投标保证金缴纳账户详见第一章，招标公告。</w:t>
            </w:r>
          </w:p>
        </w:tc>
      </w:tr>
      <w:tr w14:paraId="2750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88" w:type="dxa"/>
            <w:vAlign w:val="center"/>
          </w:tcPr>
          <w:p w14:paraId="4BFAF085">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7</w:t>
            </w:r>
          </w:p>
        </w:tc>
        <w:tc>
          <w:tcPr>
            <w:tcW w:w="2048" w:type="dxa"/>
            <w:vAlign w:val="center"/>
          </w:tcPr>
          <w:p w14:paraId="27913946">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投标有效期</w:t>
            </w:r>
          </w:p>
        </w:tc>
        <w:tc>
          <w:tcPr>
            <w:tcW w:w="5686" w:type="dxa"/>
            <w:vAlign w:val="center"/>
          </w:tcPr>
          <w:p w14:paraId="39442C8B">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投标有效期：</w:t>
            </w:r>
            <w:r>
              <w:rPr>
                <w:rFonts w:hint="eastAsia" w:ascii="仿宋_GB2312" w:hAnsi="仿宋_GB2312" w:eastAsia="仿宋_GB2312" w:cs="仿宋_GB2312"/>
                <w:color w:val="auto"/>
                <w:sz w:val="22"/>
                <w:szCs w:val="22"/>
                <w:highlight w:val="none"/>
                <w:u w:val="single"/>
              </w:rPr>
              <w:t xml:space="preserve"> 90 </w:t>
            </w:r>
          </w:p>
        </w:tc>
      </w:tr>
      <w:tr w14:paraId="322F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66E8AB47">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8</w:t>
            </w:r>
          </w:p>
        </w:tc>
        <w:tc>
          <w:tcPr>
            <w:tcW w:w="2048" w:type="dxa"/>
            <w:vAlign w:val="center"/>
          </w:tcPr>
          <w:p w14:paraId="45FF486E">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投标文件份数</w:t>
            </w:r>
          </w:p>
        </w:tc>
        <w:tc>
          <w:tcPr>
            <w:tcW w:w="5686" w:type="dxa"/>
            <w:vAlign w:val="center"/>
          </w:tcPr>
          <w:p w14:paraId="6C772B14">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投标文件份数：投标一览表</w:t>
            </w:r>
            <w:r>
              <w:rPr>
                <w:rFonts w:hint="eastAsia" w:ascii="仿宋_GB2312" w:hAnsi="仿宋_GB2312" w:eastAsia="仿宋_GB2312" w:cs="仿宋_GB2312"/>
                <w:color w:val="auto"/>
                <w:sz w:val="22"/>
                <w:szCs w:val="22"/>
                <w:highlight w:val="none"/>
                <w:u w:val="single"/>
              </w:rPr>
              <w:t xml:space="preserve"> 1 </w:t>
            </w:r>
            <w:r>
              <w:rPr>
                <w:rFonts w:hint="eastAsia" w:ascii="仿宋_GB2312" w:hAnsi="仿宋_GB2312" w:eastAsia="仿宋_GB2312" w:cs="仿宋_GB2312"/>
                <w:color w:val="auto"/>
                <w:sz w:val="22"/>
                <w:szCs w:val="22"/>
                <w:highlight w:val="none"/>
              </w:rPr>
              <w:t>份，正本</w:t>
            </w:r>
            <w:r>
              <w:rPr>
                <w:rFonts w:hint="eastAsia" w:ascii="仿宋_GB2312" w:hAnsi="仿宋_GB2312" w:eastAsia="仿宋_GB2312" w:cs="仿宋_GB2312"/>
                <w:color w:val="auto"/>
                <w:sz w:val="22"/>
                <w:szCs w:val="22"/>
                <w:highlight w:val="none"/>
                <w:u w:val="single"/>
              </w:rPr>
              <w:t xml:space="preserve"> 1 </w:t>
            </w:r>
            <w:r>
              <w:rPr>
                <w:rFonts w:hint="eastAsia" w:ascii="仿宋_GB2312" w:hAnsi="仿宋_GB2312" w:eastAsia="仿宋_GB2312" w:cs="仿宋_GB2312"/>
                <w:color w:val="auto"/>
                <w:sz w:val="22"/>
                <w:szCs w:val="22"/>
                <w:highlight w:val="none"/>
              </w:rPr>
              <w:t>份，副本</w:t>
            </w:r>
            <w:r>
              <w:rPr>
                <w:rFonts w:hint="eastAsia" w:ascii="仿宋_GB2312" w:hAnsi="仿宋_GB2312" w:eastAsia="仿宋_GB2312" w:cs="仿宋_GB2312"/>
                <w:color w:val="auto"/>
                <w:sz w:val="22"/>
                <w:szCs w:val="22"/>
                <w:highlight w:val="none"/>
                <w:u w:val="single"/>
                <w:lang w:val="en-US" w:eastAsia="zh-CN"/>
              </w:rPr>
              <w:t>6</w:t>
            </w:r>
            <w:r>
              <w:rPr>
                <w:rFonts w:hint="eastAsia" w:ascii="仿宋_GB2312" w:hAnsi="仿宋_GB2312" w:eastAsia="仿宋_GB2312" w:cs="仿宋_GB2312"/>
                <w:color w:val="auto"/>
                <w:sz w:val="22"/>
                <w:szCs w:val="22"/>
                <w:highlight w:val="none"/>
                <w:u w:val="single"/>
              </w:rPr>
              <w:t xml:space="preserve"> </w:t>
            </w:r>
            <w:r>
              <w:rPr>
                <w:rFonts w:hint="eastAsia" w:ascii="仿宋_GB2312" w:hAnsi="仿宋_GB2312" w:eastAsia="仿宋_GB2312" w:cs="仿宋_GB2312"/>
                <w:color w:val="auto"/>
                <w:sz w:val="22"/>
                <w:szCs w:val="22"/>
                <w:highlight w:val="none"/>
              </w:rPr>
              <w:t>份，电子版U盘1个（电子版必须为投标文件正本的彩色扫描件PDF版，且包含投标文件的全部内容）。</w:t>
            </w:r>
          </w:p>
        </w:tc>
      </w:tr>
      <w:tr w14:paraId="5CA3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AF8CCF7">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9</w:t>
            </w:r>
          </w:p>
        </w:tc>
        <w:tc>
          <w:tcPr>
            <w:tcW w:w="2048" w:type="dxa"/>
            <w:vAlign w:val="center"/>
          </w:tcPr>
          <w:p w14:paraId="6E6D8D3D">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提出疑问截止时间</w:t>
            </w:r>
          </w:p>
        </w:tc>
        <w:tc>
          <w:tcPr>
            <w:tcW w:w="5686" w:type="dxa"/>
            <w:vAlign w:val="center"/>
          </w:tcPr>
          <w:p w14:paraId="028DBD9E">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投标人对招标文件提出疑问截止时间：投标截止时间前10日内</w:t>
            </w:r>
          </w:p>
        </w:tc>
      </w:tr>
      <w:tr w14:paraId="42A3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88" w:type="dxa"/>
            <w:vAlign w:val="center"/>
          </w:tcPr>
          <w:p w14:paraId="2C77FD1B">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10</w:t>
            </w:r>
          </w:p>
        </w:tc>
        <w:tc>
          <w:tcPr>
            <w:tcW w:w="2048" w:type="dxa"/>
            <w:vAlign w:val="center"/>
          </w:tcPr>
          <w:p w14:paraId="6B73A7D9">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投标截止时间</w:t>
            </w:r>
          </w:p>
        </w:tc>
        <w:tc>
          <w:tcPr>
            <w:tcW w:w="5686" w:type="dxa"/>
            <w:vAlign w:val="center"/>
          </w:tcPr>
          <w:p w14:paraId="615B7542">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投标截止时间：</w:t>
            </w:r>
            <w:r>
              <w:rPr>
                <w:rFonts w:ascii="仿宋_GB2312" w:hAnsi="仿宋_GB2312" w:eastAsia="仿宋_GB2312" w:cs="仿宋_GB2312"/>
                <w:bCs/>
                <w:color w:val="auto"/>
                <w:sz w:val="22"/>
                <w:szCs w:val="22"/>
                <w:highlight w:val="none"/>
              </w:rPr>
              <w:t>20</w:t>
            </w:r>
            <w:r>
              <w:rPr>
                <w:rFonts w:hint="eastAsia" w:ascii="仿宋_GB2312" w:hAnsi="仿宋_GB2312" w:eastAsia="仿宋_GB2312" w:cs="仿宋_GB2312"/>
                <w:bCs/>
                <w:color w:val="auto"/>
                <w:sz w:val="22"/>
                <w:szCs w:val="22"/>
                <w:highlight w:val="none"/>
              </w:rPr>
              <w:t>2</w:t>
            </w:r>
            <w:r>
              <w:rPr>
                <w:rFonts w:hint="eastAsia" w:ascii="仿宋_GB2312" w:hAnsi="仿宋_GB2312" w:eastAsia="仿宋_GB2312" w:cs="仿宋_GB2312"/>
                <w:bCs/>
                <w:color w:val="auto"/>
                <w:sz w:val="22"/>
                <w:szCs w:val="22"/>
                <w:highlight w:val="none"/>
                <w:lang w:val="en-US" w:eastAsia="zh-CN"/>
              </w:rPr>
              <w:t>5</w:t>
            </w:r>
            <w:r>
              <w:rPr>
                <w:rFonts w:ascii="仿宋_GB2312" w:hAnsi="仿宋_GB2312" w:eastAsia="仿宋_GB2312" w:cs="仿宋_GB2312"/>
                <w:bCs/>
                <w:color w:val="auto"/>
                <w:sz w:val="22"/>
                <w:szCs w:val="22"/>
                <w:highlight w:val="none"/>
              </w:rPr>
              <w:t>年</w:t>
            </w:r>
            <w:r>
              <w:rPr>
                <w:rFonts w:hint="eastAsia" w:ascii="仿宋_GB2312" w:hAnsi="仿宋_GB2312" w:eastAsia="仿宋_GB2312" w:cs="仿宋_GB2312"/>
                <w:bCs/>
                <w:color w:val="auto"/>
                <w:sz w:val="22"/>
                <w:szCs w:val="22"/>
                <w:highlight w:val="none"/>
                <w:lang w:val="en-US" w:eastAsia="zh-CN"/>
              </w:rPr>
              <w:t>1</w:t>
            </w:r>
            <w:r>
              <w:rPr>
                <w:rFonts w:ascii="仿宋_GB2312" w:hAnsi="仿宋_GB2312" w:eastAsia="仿宋_GB2312" w:cs="仿宋_GB2312"/>
                <w:bCs/>
                <w:color w:val="auto"/>
                <w:sz w:val="22"/>
                <w:szCs w:val="22"/>
                <w:highlight w:val="none"/>
              </w:rPr>
              <w:t>月</w:t>
            </w:r>
            <w:r>
              <w:rPr>
                <w:rFonts w:hint="eastAsia" w:ascii="仿宋_GB2312" w:hAnsi="仿宋_GB2312" w:eastAsia="仿宋_GB2312" w:cs="仿宋_GB2312"/>
                <w:bCs/>
                <w:color w:val="auto"/>
                <w:sz w:val="22"/>
                <w:szCs w:val="22"/>
                <w:highlight w:val="none"/>
                <w:lang w:val="en-US" w:eastAsia="zh-CN"/>
              </w:rPr>
              <w:t>17</w:t>
            </w:r>
            <w:r>
              <w:rPr>
                <w:rFonts w:ascii="仿宋_GB2312" w:hAnsi="仿宋_GB2312" w:eastAsia="仿宋_GB2312" w:cs="仿宋_GB2312"/>
                <w:bCs/>
                <w:color w:val="auto"/>
                <w:sz w:val="22"/>
                <w:szCs w:val="22"/>
                <w:highlight w:val="none"/>
              </w:rPr>
              <w:t>日</w:t>
            </w:r>
            <w:r>
              <w:rPr>
                <w:rFonts w:hint="eastAsia" w:ascii="仿宋_GB2312" w:hAnsi="仿宋_GB2312" w:eastAsia="仿宋_GB2312" w:cs="仿宋_GB2312"/>
                <w:color w:val="auto"/>
                <w:kern w:val="0"/>
                <w:sz w:val="22"/>
                <w:szCs w:val="22"/>
                <w:highlight w:val="none"/>
                <w:lang w:val="en-US" w:eastAsia="zh-CN"/>
              </w:rPr>
              <w:t>14</w:t>
            </w:r>
            <w:r>
              <w:rPr>
                <w:rFonts w:hint="eastAsia" w:ascii="仿宋_GB2312" w:hAnsi="仿宋_GB2312" w:eastAsia="仿宋_GB2312" w:cs="仿宋_GB2312"/>
                <w:color w:val="auto"/>
                <w:kern w:val="0"/>
                <w:sz w:val="22"/>
                <w:szCs w:val="22"/>
                <w:highlight w:val="none"/>
              </w:rPr>
              <w:t>时</w:t>
            </w:r>
            <w:r>
              <w:rPr>
                <w:rFonts w:hint="eastAsia" w:ascii="仿宋_GB2312" w:hAnsi="仿宋_GB2312" w:eastAsia="仿宋_GB2312" w:cs="仿宋_GB2312"/>
                <w:color w:val="auto"/>
                <w:kern w:val="0"/>
                <w:sz w:val="22"/>
                <w:szCs w:val="22"/>
                <w:highlight w:val="none"/>
                <w:lang w:val="en-US" w:eastAsia="zh-CN"/>
              </w:rPr>
              <w:t>00分</w:t>
            </w:r>
            <w:r>
              <w:rPr>
                <w:rFonts w:hint="eastAsia" w:ascii="仿宋_GB2312" w:hAnsi="仿宋_GB2312" w:eastAsia="仿宋_GB2312" w:cs="仿宋_GB2312"/>
                <w:color w:val="auto"/>
                <w:sz w:val="22"/>
                <w:szCs w:val="22"/>
                <w:highlight w:val="none"/>
              </w:rPr>
              <w:t>(北京时间)</w:t>
            </w:r>
          </w:p>
        </w:tc>
      </w:tr>
      <w:tr w14:paraId="77E1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88" w:type="dxa"/>
            <w:vAlign w:val="center"/>
          </w:tcPr>
          <w:p w14:paraId="0087BCB0">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11</w:t>
            </w:r>
          </w:p>
        </w:tc>
        <w:tc>
          <w:tcPr>
            <w:tcW w:w="2048" w:type="dxa"/>
            <w:vAlign w:val="center"/>
          </w:tcPr>
          <w:p w14:paraId="64717A66">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开标时间和地址</w:t>
            </w:r>
          </w:p>
        </w:tc>
        <w:tc>
          <w:tcPr>
            <w:tcW w:w="5686" w:type="dxa"/>
            <w:vAlign w:val="center"/>
          </w:tcPr>
          <w:p w14:paraId="12EB909C">
            <w:pPr>
              <w:widowControl/>
              <w:rPr>
                <w:rFonts w:hint="eastAsia" w:ascii="仿宋_GB2312" w:hAnsi="仿宋_GB2312" w:eastAsia="仿宋_GB2312" w:cs="仿宋_GB2312"/>
                <w:color w:val="auto"/>
                <w:kern w:val="0"/>
                <w:sz w:val="22"/>
                <w:szCs w:val="22"/>
                <w:highlight w:val="none"/>
              </w:rPr>
            </w:pPr>
            <w:r>
              <w:rPr>
                <w:rFonts w:hint="eastAsia" w:ascii="仿宋_GB2312" w:hAnsi="仿宋_GB2312" w:eastAsia="仿宋_GB2312" w:cs="仿宋_GB2312"/>
                <w:color w:val="auto"/>
                <w:sz w:val="22"/>
                <w:szCs w:val="22"/>
                <w:highlight w:val="none"/>
              </w:rPr>
              <w:t>开标时间：</w:t>
            </w:r>
            <w:r>
              <w:rPr>
                <w:rFonts w:ascii="仿宋_GB2312" w:hAnsi="仿宋_GB2312" w:eastAsia="仿宋_GB2312" w:cs="仿宋_GB2312"/>
                <w:bCs/>
                <w:color w:val="auto"/>
                <w:sz w:val="22"/>
                <w:szCs w:val="22"/>
                <w:highlight w:val="none"/>
              </w:rPr>
              <w:t>20</w:t>
            </w:r>
            <w:r>
              <w:rPr>
                <w:rFonts w:hint="eastAsia" w:ascii="仿宋_GB2312" w:hAnsi="仿宋_GB2312" w:eastAsia="仿宋_GB2312" w:cs="仿宋_GB2312"/>
                <w:bCs/>
                <w:color w:val="auto"/>
                <w:sz w:val="22"/>
                <w:szCs w:val="22"/>
                <w:highlight w:val="none"/>
              </w:rPr>
              <w:t>2</w:t>
            </w:r>
            <w:r>
              <w:rPr>
                <w:rFonts w:hint="eastAsia" w:ascii="仿宋_GB2312" w:hAnsi="仿宋_GB2312" w:eastAsia="仿宋_GB2312" w:cs="仿宋_GB2312"/>
                <w:bCs/>
                <w:color w:val="auto"/>
                <w:sz w:val="22"/>
                <w:szCs w:val="22"/>
                <w:highlight w:val="none"/>
                <w:lang w:val="en-US" w:eastAsia="zh-CN"/>
              </w:rPr>
              <w:t>5</w:t>
            </w:r>
            <w:r>
              <w:rPr>
                <w:rFonts w:ascii="仿宋_GB2312" w:hAnsi="仿宋_GB2312" w:eastAsia="仿宋_GB2312" w:cs="仿宋_GB2312"/>
                <w:bCs/>
                <w:color w:val="auto"/>
                <w:sz w:val="22"/>
                <w:szCs w:val="22"/>
                <w:highlight w:val="none"/>
              </w:rPr>
              <w:t>年</w:t>
            </w:r>
            <w:r>
              <w:rPr>
                <w:rFonts w:hint="eastAsia" w:ascii="仿宋_GB2312" w:hAnsi="仿宋_GB2312" w:eastAsia="仿宋_GB2312" w:cs="仿宋_GB2312"/>
                <w:bCs/>
                <w:color w:val="auto"/>
                <w:sz w:val="22"/>
                <w:szCs w:val="22"/>
                <w:highlight w:val="none"/>
                <w:lang w:val="en-US" w:eastAsia="zh-CN"/>
              </w:rPr>
              <w:t>1</w:t>
            </w:r>
            <w:r>
              <w:rPr>
                <w:rFonts w:ascii="仿宋_GB2312" w:hAnsi="仿宋_GB2312" w:eastAsia="仿宋_GB2312" w:cs="仿宋_GB2312"/>
                <w:bCs/>
                <w:color w:val="auto"/>
                <w:sz w:val="22"/>
                <w:szCs w:val="22"/>
                <w:highlight w:val="none"/>
              </w:rPr>
              <w:t>月</w:t>
            </w:r>
            <w:r>
              <w:rPr>
                <w:rFonts w:hint="eastAsia" w:ascii="仿宋_GB2312" w:hAnsi="仿宋_GB2312" w:eastAsia="仿宋_GB2312" w:cs="仿宋_GB2312"/>
                <w:bCs/>
                <w:color w:val="auto"/>
                <w:sz w:val="22"/>
                <w:szCs w:val="22"/>
                <w:highlight w:val="none"/>
                <w:lang w:val="en-US" w:eastAsia="zh-CN"/>
              </w:rPr>
              <w:t>17</w:t>
            </w:r>
            <w:r>
              <w:rPr>
                <w:rFonts w:ascii="仿宋_GB2312" w:hAnsi="仿宋_GB2312" w:eastAsia="仿宋_GB2312" w:cs="仿宋_GB2312"/>
                <w:bCs/>
                <w:color w:val="auto"/>
                <w:sz w:val="22"/>
                <w:szCs w:val="22"/>
                <w:highlight w:val="none"/>
              </w:rPr>
              <w:t>日</w:t>
            </w:r>
            <w:r>
              <w:rPr>
                <w:rFonts w:hint="eastAsia" w:ascii="仿宋_GB2312" w:hAnsi="仿宋_GB2312" w:eastAsia="仿宋_GB2312" w:cs="仿宋_GB2312"/>
                <w:color w:val="auto"/>
                <w:kern w:val="0"/>
                <w:sz w:val="22"/>
                <w:szCs w:val="22"/>
                <w:highlight w:val="none"/>
                <w:lang w:val="en-US" w:eastAsia="zh-CN"/>
              </w:rPr>
              <w:t>14</w:t>
            </w:r>
            <w:r>
              <w:rPr>
                <w:rFonts w:hint="eastAsia" w:ascii="仿宋_GB2312" w:hAnsi="仿宋_GB2312" w:eastAsia="仿宋_GB2312" w:cs="仿宋_GB2312"/>
                <w:color w:val="auto"/>
                <w:kern w:val="0"/>
                <w:sz w:val="22"/>
                <w:szCs w:val="22"/>
                <w:highlight w:val="none"/>
              </w:rPr>
              <w:t>时</w:t>
            </w:r>
            <w:r>
              <w:rPr>
                <w:rFonts w:hint="eastAsia" w:ascii="仿宋_GB2312" w:hAnsi="仿宋_GB2312" w:eastAsia="仿宋_GB2312" w:cs="仿宋_GB2312"/>
                <w:color w:val="auto"/>
                <w:kern w:val="0"/>
                <w:sz w:val="22"/>
                <w:szCs w:val="22"/>
                <w:highlight w:val="none"/>
                <w:lang w:val="en-US" w:eastAsia="zh-CN"/>
              </w:rPr>
              <w:t>00分</w:t>
            </w:r>
            <w:r>
              <w:rPr>
                <w:rFonts w:hint="eastAsia" w:ascii="仿宋_GB2312" w:hAnsi="仿宋_GB2312" w:eastAsia="仿宋_GB2312" w:cs="仿宋_GB2312"/>
                <w:color w:val="auto"/>
                <w:sz w:val="22"/>
                <w:szCs w:val="22"/>
                <w:highlight w:val="none"/>
              </w:rPr>
              <w:t>(北京时间)</w:t>
            </w:r>
          </w:p>
          <w:p w14:paraId="0DDB4DC7">
            <w:pPr>
              <w:widowControl/>
              <w:numPr>
                <w:ilvl w:val="255"/>
                <w:numId w:val="0"/>
              </w:num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开标地点：</w:t>
            </w:r>
            <w:r>
              <w:rPr>
                <w:rFonts w:hint="eastAsia" w:ascii="仿宋_GB2312" w:hAnsi="仿宋_GB2312" w:eastAsia="仿宋_GB2312" w:cs="仿宋_GB2312"/>
                <w:bCs/>
                <w:color w:val="auto"/>
                <w:sz w:val="22"/>
                <w:szCs w:val="22"/>
                <w:highlight w:val="none"/>
                <w:u w:val="single"/>
              </w:rPr>
              <w:t>北京市海淀区车公庄西路19号国际传播科技文化园1号楼1</w:t>
            </w:r>
            <w:r>
              <w:rPr>
                <w:rFonts w:hint="default" w:ascii="仿宋_GB2312" w:hAnsi="仿宋_GB2312" w:eastAsia="仿宋_GB2312" w:cs="仿宋_GB2312"/>
                <w:bCs/>
                <w:color w:val="auto"/>
                <w:sz w:val="22"/>
                <w:szCs w:val="22"/>
                <w:highlight w:val="none"/>
                <w:u w:val="single"/>
                <w:lang w:val="en-US"/>
              </w:rPr>
              <w:t>04</w:t>
            </w:r>
            <w:r>
              <w:rPr>
                <w:rFonts w:hint="eastAsia" w:ascii="仿宋_GB2312" w:hAnsi="仿宋_GB2312" w:eastAsia="仿宋_GB2312" w:cs="仿宋_GB2312"/>
                <w:bCs/>
                <w:color w:val="auto"/>
                <w:sz w:val="22"/>
                <w:szCs w:val="22"/>
                <w:highlight w:val="none"/>
                <w:u w:val="single"/>
              </w:rPr>
              <w:t>室</w:t>
            </w:r>
          </w:p>
        </w:tc>
      </w:tr>
      <w:tr w14:paraId="3BD9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52794F93">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12</w:t>
            </w:r>
          </w:p>
        </w:tc>
        <w:tc>
          <w:tcPr>
            <w:tcW w:w="2048" w:type="dxa"/>
            <w:vAlign w:val="center"/>
          </w:tcPr>
          <w:p w14:paraId="43EE97E8">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履约保证金</w:t>
            </w:r>
          </w:p>
        </w:tc>
        <w:tc>
          <w:tcPr>
            <w:tcW w:w="5686" w:type="dxa"/>
            <w:vAlign w:val="center"/>
          </w:tcPr>
          <w:p w14:paraId="1B084522">
            <w:pP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提交履约保证金的时间：收到中标通知书后10个工作日内。</w:t>
            </w:r>
          </w:p>
          <w:p w14:paraId="378708D9">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履约保证金金额：合同金额的10%</w:t>
            </w:r>
          </w:p>
        </w:tc>
      </w:tr>
      <w:tr w14:paraId="51A4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8" w:type="dxa"/>
            <w:vAlign w:val="center"/>
          </w:tcPr>
          <w:p w14:paraId="5789D340">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13</w:t>
            </w:r>
          </w:p>
        </w:tc>
        <w:tc>
          <w:tcPr>
            <w:tcW w:w="2048" w:type="dxa"/>
            <w:vAlign w:val="center"/>
          </w:tcPr>
          <w:p w14:paraId="230A6A30">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付款方式</w:t>
            </w:r>
          </w:p>
        </w:tc>
        <w:tc>
          <w:tcPr>
            <w:tcW w:w="5686" w:type="dxa"/>
            <w:vAlign w:val="center"/>
          </w:tcPr>
          <w:p w14:paraId="5E704D20">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详见合同</w:t>
            </w:r>
          </w:p>
        </w:tc>
      </w:tr>
      <w:tr w14:paraId="5899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2A4DE1B0">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*14</w:t>
            </w:r>
          </w:p>
        </w:tc>
        <w:tc>
          <w:tcPr>
            <w:tcW w:w="2048" w:type="dxa"/>
            <w:vAlign w:val="center"/>
          </w:tcPr>
          <w:p w14:paraId="602ED86C">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承诺书</w:t>
            </w:r>
          </w:p>
        </w:tc>
        <w:tc>
          <w:tcPr>
            <w:tcW w:w="5686" w:type="dxa"/>
            <w:vAlign w:val="center"/>
          </w:tcPr>
          <w:p w14:paraId="443A56B0">
            <w:pPr>
              <w:rPr>
                <w:rFonts w:hint="eastAsia" w:ascii="仿宋_GB2312" w:hAnsi="仿宋_GB2312" w:eastAsia="仿宋_GB2312" w:cs="仿宋_GB2312"/>
                <w:color w:val="auto"/>
                <w:sz w:val="22"/>
                <w:szCs w:val="22"/>
                <w:highlight w:val="none"/>
                <w:lang w:val="zh-CN"/>
              </w:rPr>
            </w:pPr>
            <w:r>
              <w:rPr>
                <w:rFonts w:hint="eastAsia" w:ascii="仿宋_GB2312" w:hAnsi="仿宋_GB2312" w:eastAsia="仿宋_GB2312" w:cs="仿宋_GB2312"/>
                <w:color w:val="auto"/>
                <w:sz w:val="22"/>
                <w:szCs w:val="22"/>
                <w:highlight w:val="none"/>
                <w:lang w:val="zh-CN"/>
              </w:rPr>
              <w:t>1.投标人须出具不存在与其他投标人相互串通投标等违法行为的承诺书，该承诺书必须由投标人法定代表人或其授权代表签字，并加盖投标人公章。</w:t>
            </w:r>
          </w:p>
          <w:p w14:paraId="1A1768B5">
            <w:pPr>
              <w:widowControl/>
              <w:numPr>
                <w:ilvl w:val="255"/>
                <w:numId w:val="0"/>
              </w:numPr>
              <w:jc w:val="left"/>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lang w:val="zh-CN"/>
              </w:rPr>
              <w:t>2.投标人必须签订《投标供应商廉洁诚信承诺书》，投标时未提供《投标供应商廉洁诚信承诺书》的，其投标将被否决。</w:t>
            </w:r>
          </w:p>
        </w:tc>
      </w:tr>
      <w:tr w14:paraId="6FF0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88" w:type="dxa"/>
            <w:vAlign w:val="center"/>
          </w:tcPr>
          <w:p w14:paraId="33F85ECA">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15</w:t>
            </w:r>
          </w:p>
        </w:tc>
        <w:tc>
          <w:tcPr>
            <w:tcW w:w="2048" w:type="dxa"/>
            <w:shd w:val="clear" w:color="auto" w:fill="auto"/>
            <w:vAlign w:val="center"/>
          </w:tcPr>
          <w:p w14:paraId="59162827">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评标方法</w:t>
            </w:r>
          </w:p>
        </w:tc>
        <w:tc>
          <w:tcPr>
            <w:tcW w:w="5686" w:type="dxa"/>
            <w:shd w:val="clear" w:color="auto" w:fill="auto"/>
            <w:vAlign w:val="center"/>
          </w:tcPr>
          <w:p w14:paraId="70C04BC1">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综合评分法</w:t>
            </w:r>
          </w:p>
        </w:tc>
      </w:tr>
      <w:tr w14:paraId="433C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vAlign w:val="center"/>
          </w:tcPr>
          <w:p w14:paraId="7BD03637">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16</w:t>
            </w:r>
          </w:p>
        </w:tc>
        <w:tc>
          <w:tcPr>
            <w:tcW w:w="2048" w:type="dxa"/>
            <w:vAlign w:val="center"/>
          </w:tcPr>
          <w:p w14:paraId="166DCE52">
            <w:pPr>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特殊说明</w:t>
            </w:r>
          </w:p>
        </w:tc>
        <w:tc>
          <w:tcPr>
            <w:tcW w:w="5686" w:type="dxa"/>
            <w:vAlign w:val="center"/>
          </w:tcPr>
          <w:p w14:paraId="4C688296">
            <w:pP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1.</w:t>
            </w:r>
            <w:r>
              <w:rPr>
                <w:rFonts w:hint="eastAsia" w:ascii="仿宋_GB2312" w:hAnsi="仿宋_GB2312" w:eastAsia="仿宋_GB2312" w:cs="仿宋_GB2312"/>
                <w:color w:val="auto"/>
                <w:sz w:val="22"/>
                <w:szCs w:val="22"/>
                <w:highlight w:val="none"/>
                <w:lang w:val="zh-CN"/>
              </w:rPr>
              <w:t>招标人保留在发出《中标通知书》之前任何时候接受或拒绝任何投标的权利，对受影响的投标人不承担任何责任，也无义务向受影响的投标人解释采取这一行动的理由。</w:t>
            </w:r>
          </w:p>
          <w:p w14:paraId="53876694">
            <w:pP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color w:val="auto"/>
                <w:sz w:val="22"/>
                <w:szCs w:val="22"/>
                <w:highlight w:val="none"/>
              </w:rPr>
              <w:t>2.招标文件带有“*”符号的或标明必须满足的条款均为重要条款，对这些重要条款的任何负偏离将导致投标被否绝。</w:t>
            </w:r>
          </w:p>
        </w:tc>
      </w:tr>
    </w:tbl>
    <w:p w14:paraId="16DADECB">
      <w:pPr>
        <w:spacing w:line="560" w:lineRule="exact"/>
        <w:rPr>
          <w:rFonts w:hint="eastAsia" w:ascii="仿宋_GB2312" w:hAnsi="仿宋_GB2312" w:eastAsia="仿宋_GB2312" w:cs="仿宋_GB2312"/>
          <w:bCs/>
          <w:color w:val="auto"/>
          <w:sz w:val="32"/>
          <w:szCs w:val="32"/>
          <w:highlight w:val="none"/>
        </w:rPr>
      </w:pPr>
    </w:p>
    <w:p w14:paraId="6EEEBCCD">
      <w:pPr>
        <w:spacing w:line="560" w:lineRule="exact"/>
        <w:rPr>
          <w:rFonts w:hint="eastAsia" w:ascii="仿宋_GB2312" w:hAnsi="仿宋_GB2312" w:eastAsia="仿宋_GB2312" w:cs="仿宋_GB2312"/>
          <w:bCs/>
          <w:color w:val="auto"/>
          <w:sz w:val="32"/>
          <w:szCs w:val="32"/>
          <w:highlight w:val="none"/>
        </w:rPr>
      </w:pPr>
    </w:p>
    <w:p w14:paraId="4FA73553">
      <w:pPr>
        <w:spacing w:line="560" w:lineRule="exact"/>
        <w:rPr>
          <w:rFonts w:hint="eastAsia" w:ascii="仿宋_GB2312" w:hAnsi="仿宋_GB2312" w:eastAsia="仿宋_GB2312" w:cs="仿宋_GB2312"/>
          <w:bCs/>
          <w:color w:val="auto"/>
          <w:sz w:val="32"/>
          <w:szCs w:val="32"/>
          <w:highlight w:val="none"/>
        </w:rPr>
      </w:pPr>
    </w:p>
    <w:p w14:paraId="5DF97286">
      <w:pPr>
        <w:spacing w:line="560" w:lineRule="exact"/>
        <w:rPr>
          <w:rFonts w:hint="eastAsia" w:ascii="仿宋_GB2312" w:hAnsi="仿宋_GB2312" w:eastAsia="仿宋_GB2312" w:cs="仿宋_GB2312"/>
          <w:bCs/>
          <w:color w:val="auto"/>
          <w:sz w:val="32"/>
          <w:szCs w:val="32"/>
          <w:highlight w:val="none"/>
        </w:rPr>
      </w:pPr>
    </w:p>
    <w:p w14:paraId="1C3898EC">
      <w:pPr>
        <w:spacing w:line="560" w:lineRule="exact"/>
        <w:rPr>
          <w:rFonts w:hint="eastAsia" w:ascii="仿宋_GB2312" w:hAnsi="仿宋_GB2312" w:eastAsia="仿宋_GB2312" w:cs="仿宋_GB2312"/>
          <w:bCs/>
          <w:color w:val="auto"/>
          <w:sz w:val="32"/>
          <w:szCs w:val="32"/>
          <w:highlight w:val="none"/>
        </w:rPr>
      </w:pPr>
    </w:p>
    <w:p w14:paraId="0D599E8E">
      <w:pPr>
        <w:spacing w:line="560" w:lineRule="exact"/>
        <w:rPr>
          <w:rFonts w:hint="eastAsia" w:ascii="仿宋_GB2312" w:hAnsi="仿宋_GB2312" w:eastAsia="仿宋_GB2312" w:cs="仿宋_GB2312"/>
          <w:bCs/>
          <w:color w:val="auto"/>
          <w:sz w:val="32"/>
          <w:szCs w:val="32"/>
          <w:highlight w:val="none"/>
        </w:rPr>
      </w:pPr>
    </w:p>
    <w:p w14:paraId="18E37F57">
      <w:pPr>
        <w:tabs>
          <w:tab w:val="center" w:pos="4153"/>
        </w:tabs>
        <w:spacing w:line="480" w:lineRule="auto"/>
        <w:jc w:val="center"/>
        <w:rPr>
          <w:rFonts w:hint="eastAsia" w:ascii="仿宋_GB2312" w:hAnsi="仿宋_GB2312" w:eastAsia="仿宋_GB2312" w:cs="仿宋_GB2312"/>
          <w:b/>
          <w:color w:val="auto"/>
          <w:sz w:val="32"/>
          <w:szCs w:val="32"/>
          <w:highlight w:val="none"/>
        </w:rPr>
        <w:sectPr>
          <w:pgSz w:w="11907" w:h="16840"/>
          <w:pgMar w:top="1440" w:right="1797" w:bottom="1440" w:left="1797" w:header="851" w:footer="851" w:gutter="0"/>
          <w:cols w:space="720" w:num="1"/>
          <w:titlePg/>
          <w:docGrid w:linePitch="462" w:charSpace="0"/>
        </w:sectPr>
      </w:pPr>
    </w:p>
    <w:p w14:paraId="3A45D46C">
      <w:pPr>
        <w:tabs>
          <w:tab w:val="center" w:pos="4153"/>
        </w:tabs>
        <w:spacing w:line="360" w:lineRule="auto"/>
        <w:jc w:val="center"/>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第三章 投标人须知</w:t>
      </w:r>
    </w:p>
    <w:p w14:paraId="0B706283">
      <w:pPr>
        <w:spacing w:line="360" w:lineRule="auto"/>
        <w:outlineLvl w:val="1"/>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一、说明</w:t>
      </w:r>
    </w:p>
    <w:p w14:paraId="4897D15D">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招标采购单位：系指招标人及其委托的招标代理机构。</w:t>
      </w:r>
    </w:p>
    <w:p w14:paraId="0695AACC">
      <w:pPr>
        <w:numPr>
          <w:ilvl w:val="0"/>
          <w:numId w:val="9"/>
        </w:num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合格的投标人</w:t>
      </w:r>
    </w:p>
    <w:p w14:paraId="0BE09974">
      <w:pPr>
        <w:numPr>
          <w:ilvl w:val="1"/>
          <w:numId w:val="9"/>
        </w:num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在中华人民共和国境内，依照《中华人民共和国公司法》设立的、能够独立承担民事责任，能够提供招标文件中要求的服务内容，并具有相应能力的单位；</w:t>
      </w:r>
    </w:p>
    <w:p w14:paraId="5676CBF8">
      <w:pPr>
        <w:numPr>
          <w:ilvl w:val="1"/>
          <w:numId w:val="9"/>
        </w:numPr>
        <w:spacing w:line="360" w:lineRule="auto"/>
        <w:ind w:firstLine="440" w:firstLineChars="200"/>
        <w:outlineLvl w:val="3"/>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投标人必须符合</w:t>
      </w:r>
      <w:r>
        <w:rPr>
          <w:rFonts w:hint="eastAsia" w:ascii="仿宋_GB2312" w:hAnsi="仿宋_GB2312" w:eastAsia="仿宋_GB2312" w:cs="仿宋_GB2312"/>
          <w:bCs/>
          <w:color w:val="auto"/>
          <w:sz w:val="22"/>
          <w:szCs w:val="22"/>
          <w:highlight w:val="none"/>
        </w:rPr>
        <w:t>第一章投标公告</w:t>
      </w:r>
      <w:r>
        <w:rPr>
          <w:rFonts w:ascii="仿宋_GB2312" w:hAnsi="仿宋_GB2312" w:eastAsia="仿宋_GB2312" w:cs="仿宋_GB2312"/>
          <w:bCs/>
          <w:color w:val="auto"/>
          <w:sz w:val="22"/>
          <w:szCs w:val="22"/>
          <w:highlight w:val="none"/>
        </w:rPr>
        <w:t>中的资格条件</w:t>
      </w:r>
      <w:r>
        <w:rPr>
          <w:rFonts w:hint="eastAsia" w:ascii="仿宋_GB2312" w:hAnsi="仿宋_GB2312" w:eastAsia="仿宋_GB2312" w:cs="仿宋_GB2312"/>
          <w:bCs/>
          <w:color w:val="auto"/>
          <w:sz w:val="22"/>
          <w:szCs w:val="22"/>
          <w:highlight w:val="none"/>
        </w:rPr>
        <w:t>；</w:t>
      </w:r>
    </w:p>
    <w:p w14:paraId="060E0969">
      <w:pPr>
        <w:numPr>
          <w:ilvl w:val="1"/>
          <w:numId w:val="9"/>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凡受托为本次招标</w:t>
      </w:r>
      <w:r>
        <w:rPr>
          <w:rFonts w:hint="eastAsia" w:ascii="仿宋_GB2312" w:hAnsi="仿宋_GB2312" w:eastAsia="仿宋_GB2312" w:cs="仿宋_GB2312"/>
          <w:bCs/>
          <w:color w:val="auto"/>
          <w:sz w:val="22"/>
          <w:szCs w:val="22"/>
          <w:highlight w:val="none"/>
        </w:rPr>
        <w:t>项目</w:t>
      </w:r>
      <w:r>
        <w:rPr>
          <w:rFonts w:ascii="仿宋_GB2312" w:hAnsi="仿宋_GB2312" w:eastAsia="仿宋_GB2312" w:cs="仿宋_GB2312"/>
          <w:bCs/>
          <w:color w:val="auto"/>
          <w:sz w:val="22"/>
          <w:szCs w:val="22"/>
          <w:highlight w:val="none"/>
        </w:rPr>
        <w:t>进行设计、编制规范和其他文件的咨询公司</w:t>
      </w:r>
      <w:r>
        <w:rPr>
          <w:rFonts w:hint="eastAsia" w:ascii="仿宋_GB2312" w:hAnsi="仿宋_GB2312" w:eastAsia="仿宋_GB2312" w:cs="仿宋_GB2312"/>
          <w:bCs/>
          <w:color w:val="auto"/>
          <w:sz w:val="22"/>
          <w:szCs w:val="22"/>
          <w:highlight w:val="none"/>
        </w:rPr>
        <w:t>，</w:t>
      </w:r>
      <w:r>
        <w:rPr>
          <w:rFonts w:ascii="仿宋_GB2312" w:hAnsi="仿宋_GB2312" w:eastAsia="仿宋_GB2312" w:cs="仿宋_GB2312"/>
          <w:bCs/>
          <w:color w:val="auto"/>
          <w:sz w:val="22"/>
          <w:szCs w:val="22"/>
          <w:highlight w:val="none"/>
        </w:rPr>
        <w:t>及相关联的附属机构，不得参加投标</w:t>
      </w:r>
      <w:r>
        <w:rPr>
          <w:rFonts w:hint="eastAsia" w:ascii="仿宋_GB2312" w:hAnsi="仿宋_GB2312" w:eastAsia="仿宋_GB2312" w:cs="仿宋_GB2312"/>
          <w:bCs/>
          <w:color w:val="auto"/>
          <w:sz w:val="22"/>
          <w:szCs w:val="22"/>
          <w:highlight w:val="none"/>
        </w:rPr>
        <w:t>；</w:t>
      </w:r>
    </w:p>
    <w:p w14:paraId="41D43355">
      <w:pPr>
        <w:numPr>
          <w:ilvl w:val="1"/>
          <w:numId w:val="9"/>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投标人必须向招标采购单位购买招标文件并登记备案，未向招标机构购买招标文件并登记备案的潜在投标人均无资格参加投标；</w:t>
      </w:r>
    </w:p>
    <w:p w14:paraId="51FE5B94">
      <w:pPr>
        <w:numPr>
          <w:ilvl w:val="1"/>
          <w:numId w:val="9"/>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投标人在投标过程中不得向招标采购单位提供、给予任何有价值的物品，影响其正常决策行为。一经发现，其投标人资格将被取消；</w:t>
      </w:r>
    </w:p>
    <w:p w14:paraId="50CA032C">
      <w:pPr>
        <w:numPr>
          <w:ilvl w:val="1"/>
          <w:numId w:val="9"/>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招标采购单位在任何时候发现投标人提交的投标文件内容有下列情形之一时，有权依法追究投标人的责任：</w:t>
      </w:r>
    </w:p>
    <w:p w14:paraId="4BDBE58A">
      <w:pPr>
        <w:numPr>
          <w:ilvl w:val="2"/>
          <w:numId w:val="9"/>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提供虚假的资料；</w:t>
      </w:r>
    </w:p>
    <w:p w14:paraId="23AE942B">
      <w:pPr>
        <w:numPr>
          <w:ilvl w:val="2"/>
          <w:numId w:val="9"/>
        </w:num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在实质性方面失实</w:t>
      </w:r>
      <w:r>
        <w:rPr>
          <w:rFonts w:hint="eastAsia" w:ascii="仿宋_GB2312" w:hAnsi="仿宋_GB2312" w:eastAsia="仿宋_GB2312" w:cs="仿宋_GB2312"/>
          <w:bCs/>
          <w:color w:val="auto"/>
          <w:sz w:val="22"/>
          <w:szCs w:val="22"/>
          <w:highlight w:val="none"/>
        </w:rPr>
        <w:t>。</w:t>
      </w:r>
    </w:p>
    <w:p w14:paraId="4E9235F0">
      <w:pPr>
        <w:numPr>
          <w:ilvl w:val="1"/>
          <w:numId w:val="9"/>
        </w:numPr>
        <w:spacing w:line="360" w:lineRule="auto"/>
        <w:ind w:firstLine="440" w:firstLineChars="200"/>
        <w:outlineLvl w:val="3"/>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投标人之间不得相互串通。</w:t>
      </w:r>
    </w:p>
    <w:p w14:paraId="70FAE503">
      <w:pPr>
        <w:numPr>
          <w:ilvl w:val="0"/>
          <w:numId w:val="9"/>
        </w:num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资金来源</w:t>
      </w:r>
    </w:p>
    <w:p w14:paraId="6E14126D">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招标公告中所述的招标人足以支付本次招标后所签订的合同项下的款项（自筹资金）。</w:t>
      </w:r>
    </w:p>
    <w:p w14:paraId="34212AD7">
      <w:pPr>
        <w:numPr>
          <w:ilvl w:val="0"/>
          <w:numId w:val="9"/>
        </w:num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投标费用</w:t>
      </w:r>
    </w:p>
    <w:p w14:paraId="701279FB">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3.1</w:t>
      </w:r>
      <w:r>
        <w:rPr>
          <w:rFonts w:ascii="仿宋_GB2312" w:hAnsi="仿宋_GB2312" w:eastAsia="仿宋_GB2312" w:cs="仿宋_GB2312"/>
          <w:bCs/>
          <w:color w:val="auto"/>
          <w:sz w:val="22"/>
          <w:szCs w:val="22"/>
          <w:highlight w:val="none"/>
        </w:rPr>
        <w:t>投标人应承担所有与准备和参加投标有关的费用，不论投标的结果如何，招标采购单位均无义务和责任承担</w:t>
      </w:r>
      <w:r>
        <w:rPr>
          <w:rFonts w:hint="eastAsia" w:ascii="仿宋_GB2312" w:hAnsi="仿宋_GB2312" w:eastAsia="仿宋_GB2312" w:cs="仿宋_GB2312"/>
          <w:bCs/>
          <w:color w:val="auto"/>
          <w:sz w:val="22"/>
          <w:szCs w:val="22"/>
          <w:highlight w:val="none"/>
        </w:rPr>
        <w:t>这些费用；</w:t>
      </w:r>
    </w:p>
    <w:p w14:paraId="33BDC5CB">
      <w:pPr>
        <w:spacing w:line="360" w:lineRule="auto"/>
        <w:ind w:firstLine="440" w:firstLineChars="200"/>
        <w:outlineLvl w:val="3"/>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3.2</w:t>
      </w:r>
      <w:r>
        <w:rPr>
          <w:rFonts w:ascii="仿宋_GB2312" w:hAnsi="仿宋_GB2312" w:eastAsia="仿宋_GB2312" w:cs="仿宋_GB2312"/>
          <w:bCs/>
          <w:color w:val="auto"/>
          <w:sz w:val="22"/>
          <w:szCs w:val="22"/>
          <w:highlight w:val="none"/>
        </w:rPr>
        <w:t>无论招标结果如何，递求的投标文件均不予退还。</w:t>
      </w:r>
    </w:p>
    <w:p w14:paraId="122DAC2D">
      <w:pPr>
        <w:spacing w:line="360" w:lineRule="auto"/>
        <w:outlineLvl w:val="1"/>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二、招标文件</w:t>
      </w:r>
    </w:p>
    <w:p w14:paraId="33C868F5">
      <w:p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4.</w:t>
      </w:r>
      <w:r>
        <w:rPr>
          <w:rFonts w:ascii="仿宋_GB2312" w:hAnsi="仿宋_GB2312" w:eastAsia="仿宋_GB2312" w:cs="仿宋_GB2312"/>
          <w:b/>
          <w:color w:val="auto"/>
          <w:sz w:val="22"/>
          <w:szCs w:val="22"/>
          <w:highlight w:val="none"/>
        </w:rPr>
        <w:tab/>
      </w:r>
      <w:r>
        <w:rPr>
          <w:rFonts w:ascii="仿宋_GB2312" w:hAnsi="仿宋_GB2312" w:eastAsia="仿宋_GB2312" w:cs="仿宋_GB2312"/>
          <w:b/>
          <w:color w:val="auto"/>
          <w:sz w:val="22"/>
          <w:szCs w:val="22"/>
          <w:highlight w:val="none"/>
        </w:rPr>
        <w:t>招标文件构成</w:t>
      </w:r>
    </w:p>
    <w:p w14:paraId="66BC03B0">
      <w:pPr>
        <w:spacing w:line="360" w:lineRule="auto"/>
        <w:ind w:firstLine="440" w:firstLineChars="200"/>
        <w:outlineLvl w:val="3"/>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4.1</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招标文件</w:t>
      </w:r>
      <w:r>
        <w:rPr>
          <w:rFonts w:hint="eastAsia" w:ascii="仿宋_GB2312" w:hAnsi="仿宋_GB2312" w:eastAsia="仿宋_GB2312" w:cs="仿宋_GB2312"/>
          <w:bCs/>
          <w:color w:val="auto"/>
          <w:sz w:val="22"/>
          <w:szCs w:val="22"/>
          <w:highlight w:val="none"/>
        </w:rPr>
        <w:t>组成部分</w:t>
      </w:r>
    </w:p>
    <w:p w14:paraId="3D12D256">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第一章</w:t>
      </w:r>
      <w:r>
        <w:rPr>
          <w:rFonts w:hint="eastAsia" w:ascii="仿宋_GB2312" w:hAnsi="仿宋_GB2312" w:eastAsia="仿宋_GB2312" w:cs="仿宋_GB2312"/>
          <w:bCs/>
          <w:color w:val="auto"/>
          <w:sz w:val="22"/>
          <w:szCs w:val="22"/>
          <w:highlight w:val="none"/>
        </w:rPr>
        <w:t xml:space="preserve"> </w:t>
      </w:r>
      <w:r>
        <w:rPr>
          <w:rFonts w:ascii="仿宋_GB2312" w:hAnsi="仿宋_GB2312" w:eastAsia="仿宋_GB2312" w:cs="仿宋_GB2312"/>
          <w:bCs/>
          <w:color w:val="auto"/>
          <w:sz w:val="22"/>
          <w:szCs w:val="22"/>
          <w:highlight w:val="none"/>
        </w:rPr>
        <w:t>招标公告</w:t>
      </w:r>
    </w:p>
    <w:p w14:paraId="5DC6A535">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第二章</w:t>
      </w:r>
      <w:r>
        <w:rPr>
          <w:rFonts w:hint="eastAsia" w:ascii="仿宋_GB2312" w:hAnsi="仿宋_GB2312" w:eastAsia="仿宋_GB2312" w:cs="仿宋_GB2312"/>
          <w:bCs/>
          <w:color w:val="auto"/>
          <w:sz w:val="22"/>
          <w:szCs w:val="22"/>
          <w:highlight w:val="none"/>
        </w:rPr>
        <w:t xml:space="preserve"> </w:t>
      </w:r>
      <w:r>
        <w:rPr>
          <w:rFonts w:ascii="仿宋_GB2312" w:hAnsi="仿宋_GB2312" w:eastAsia="仿宋_GB2312" w:cs="仿宋_GB2312"/>
          <w:bCs/>
          <w:color w:val="auto"/>
          <w:sz w:val="22"/>
          <w:szCs w:val="22"/>
          <w:highlight w:val="none"/>
        </w:rPr>
        <w:t>投标人须知前附表</w:t>
      </w:r>
    </w:p>
    <w:p w14:paraId="04BF87D7">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第三章</w:t>
      </w:r>
      <w:r>
        <w:rPr>
          <w:rFonts w:hint="eastAsia" w:ascii="仿宋_GB2312" w:hAnsi="仿宋_GB2312" w:eastAsia="仿宋_GB2312" w:cs="仿宋_GB2312"/>
          <w:bCs/>
          <w:color w:val="auto"/>
          <w:sz w:val="22"/>
          <w:szCs w:val="22"/>
          <w:highlight w:val="none"/>
        </w:rPr>
        <w:t xml:space="preserve"> </w:t>
      </w:r>
      <w:r>
        <w:rPr>
          <w:rFonts w:ascii="仿宋_GB2312" w:hAnsi="仿宋_GB2312" w:eastAsia="仿宋_GB2312" w:cs="仿宋_GB2312"/>
          <w:bCs/>
          <w:color w:val="auto"/>
          <w:sz w:val="22"/>
          <w:szCs w:val="22"/>
          <w:highlight w:val="none"/>
        </w:rPr>
        <w:t>投标人须知</w:t>
      </w:r>
    </w:p>
    <w:p w14:paraId="6B596EBF">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第四章</w:t>
      </w:r>
      <w:r>
        <w:rPr>
          <w:rFonts w:hint="eastAsia" w:ascii="仿宋_GB2312" w:hAnsi="仿宋_GB2312" w:eastAsia="仿宋_GB2312" w:cs="仿宋_GB2312"/>
          <w:bCs/>
          <w:color w:val="auto"/>
          <w:sz w:val="22"/>
          <w:szCs w:val="22"/>
          <w:highlight w:val="none"/>
        </w:rPr>
        <w:t xml:space="preserve"> </w:t>
      </w:r>
      <w:r>
        <w:rPr>
          <w:rFonts w:ascii="仿宋_GB2312" w:hAnsi="仿宋_GB2312" w:eastAsia="仿宋_GB2312" w:cs="仿宋_GB2312"/>
          <w:bCs/>
          <w:color w:val="auto"/>
          <w:sz w:val="22"/>
          <w:szCs w:val="22"/>
          <w:highlight w:val="none"/>
        </w:rPr>
        <w:t>评标标准及评标方法</w:t>
      </w:r>
    </w:p>
    <w:p w14:paraId="4DDA7216">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第五章</w:t>
      </w:r>
      <w:r>
        <w:rPr>
          <w:rFonts w:hint="eastAsia" w:ascii="仿宋_GB2312" w:hAnsi="仿宋_GB2312" w:eastAsia="仿宋_GB2312" w:cs="仿宋_GB2312"/>
          <w:bCs/>
          <w:color w:val="auto"/>
          <w:sz w:val="22"/>
          <w:szCs w:val="22"/>
          <w:highlight w:val="none"/>
        </w:rPr>
        <w:t xml:space="preserve"> </w:t>
      </w:r>
      <w:r>
        <w:rPr>
          <w:rFonts w:ascii="仿宋_GB2312" w:hAnsi="仿宋_GB2312" w:eastAsia="仿宋_GB2312" w:cs="仿宋_GB2312"/>
          <w:bCs/>
          <w:color w:val="auto"/>
          <w:sz w:val="22"/>
          <w:szCs w:val="22"/>
          <w:highlight w:val="none"/>
        </w:rPr>
        <w:t>合同</w:t>
      </w:r>
      <w:r>
        <w:rPr>
          <w:rFonts w:hint="eastAsia" w:ascii="仿宋_GB2312" w:hAnsi="仿宋_GB2312" w:eastAsia="仿宋_GB2312" w:cs="仿宋_GB2312"/>
          <w:bCs/>
          <w:color w:val="auto"/>
          <w:sz w:val="22"/>
          <w:szCs w:val="22"/>
          <w:highlight w:val="none"/>
        </w:rPr>
        <w:t>（格式）</w:t>
      </w:r>
    </w:p>
    <w:p w14:paraId="73532755">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第六章</w:t>
      </w:r>
      <w:r>
        <w:rPr>
          <w:rFonts w:hint="eastAsia" w:ascii="仿宋_GB2312" w:hAnsi="仿宋_GB2312" w:eastAsia="仿宋_GB2312" w:cs="仿宋_GB2312"/>
          <w:bCs/>
          <w:color w:val="auto"/>
          <w:sz w:val="22"/>
          <w:szCs w:val="22"/>
          <w:highlight w:val="none"/>
        </w:rPr>
        <w:t xml:space="preserve"> </w:t>
      </w:r>
      <w:r>
        <w:rPr>
          <w:rFonts w:ascii="仿宋_GB2312" w:hAnsi="仿宋_GB2312" w:eastAsia="仿宋_GB2312" w:cs="仿宋_GB2312"/>
          <w:bCs/>
          <w:color w:val="auto"/>
          <w:sz w:val="22"/>
          <w:szCs w:val="22"/>
          <w:highlight w:val="none"/>
        </w:rPr>
        <w:t>服务需求</w:t>
      </w:r>
    </w:p>
    <w:p w14:paraId="17197D67">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第七章</w:t>
      </w:r>
      <w:r>
        <w:rPr>
          <w:rFonts w:hint="eastAsia" w:ascii="仿宋_GB2312" w:hAnsi="仿宋_GB2312" w:eastAsia="仿宋_GB2312" w:cs="仿宋_GB2312"/>
          <w:bCs/>
          <w:color w:val="auto"/>
          <w:sz w:val="22"/>
          <w:szCs w:val="22"/>
          <w:highlight w:val="none"/>
        </w:rPr>
        <w:t xml:space="preserve"> </w:t>
      </w:r>
      <w:r>
        <w:rPr>
          <w:rFonts w:ascii="仿宋_GB2312" w:hAnsi="仿宋_GB2312" w:eastAsia="仿宋_GB2312" w:cs="仿宋_GB2312"/>
          <w:bCs/>
          <w:color w:val="auto"/>
          <w:sz w:val="22"/>
          <w:szCs w:val="22"/>
          <w:highlight w:val="none"/>
        </w:rPr>
        <w:t>投标文件格式</w:t>
      </w:r>
    </w:p>
    <w:p w14:paraId="2738D17F">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4.2</w:t>
      </w:r>
      <w:r>
        <w:rPr>
          <w:rFonts w:ascii="仿宋_GB2312" w:hAnsi="仿宋_GB2312" w:eastAsia="仿宋_GB2312" w:cs="仿宋_GB2312"/>
          <w:bCs/>
          <w:color w:val="auto"/>
          <w:sz w:val="22"/>
          <w:szCs w:val="22"/>
          <w:highlight w:val="none"/>
        </w:rPr>
        <w:t>要求提供</w:t>
      </w:r>
      <w:r>
        <w:rPr>
          <w:rFonts w:hint="eastAsia" w:ascii="仿宋_GB2312" w:hAnsi="仿宋_GB2312" w:eastAsia="仿宋_GB2312" w:cs="仿宋_GB2312"/>
          <w:bCs/>
          <w:color w:val="auto"/>
          <w:sz w:val="22"/>
          <w:szCs w:val="22"/>
          <w:highlight w:val="none"/>
        </w:rPr>
        <w:t>项目</w:t>
      </w:r>
      <w:r>
        <w:rPr>
          <w:rFonts w:ascii="仿宋_GB2312" w:hAnsi="仿宋_GB2312" w:eastAsia="仿宋_GB2312" w:cs="仿宋_GB2312"/>
          <w:bCs/>
          <w:color w:val="auto"/>
          <w:sz w:val="22"/>
          <w:szCs w:val="22"/>
          <w:highlight w:val="none"/>
        </w:rPr>
        <w:t>内容及详细技术需求、投标须知等在招标文件中均有说明。</w:t>
      </w:r>
    </w:p>
    <w:p w14:paraId="64174635">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4.3</w:t>
      </w:r>
      <w:r>
        <w:rPr>
          <w:rFonts w:ascii="仿宋_GB2312" w:hAnsi="仿宋_GB2312" w:eastAsia="仿宋_GB2312" w:cs="仿宋_GB2312"/>
          <w:bCs/>
          <w:color w:val="auto"/>
          <w:sz w:val="22"/>
          <w:szCs w:val="22"/>
          <w:highlight w:val="none"/>
        </w:rPr>
        <w:t>投标人应认真阅读招标文件中所有的事项、格式条款和规范要求等。投标人没有对招标文件全面做出实质性响应是投标人的风险。招标采购单位有权拒绝没有对招标文件要求做出实质性响应的投标（所谓实质上的响应，是指投标文件应与招标文件的重要条款、条件和要求相符，无显著差异或保留。所谓显著差异或保留是对</w:t>
      </w:r>
      <w:r>
        <w:rPr>
          <w:rFonts w:hint="eastAsia" w:ascii="仿宋_GB2312" w:hAnsi="仿宋_GB2312" w:eastAsia="仿宋_GB2312" w:cs="仿宋_GB2312"/>
          <w:bCs/>
          <w:color w:val="auto"/>
          <w:sz w:val="22"/>
          <w:szCs w:val="22"/>
          <w:highlight w:val="none"/>
        </w:rPr>
        <w:t>项目</w:t>
      </w:r>
      <w:r>
        <w:rPr>
          <w:rFonts w:ascii="仿宋_GB2312" w:hAnsi="仿宋_GB2312" w:eastAsia="仿宋_GB2312" w:cs="仿宋_GB2312"/>
          <w:bCs/>
          <w:color w:val="auto"/>
          <w:sz w:val="22"/>
          <w:szCs w:val="22"/>
          <w:highlight w:val="none"/>
        </w:rPr>
        <w:t>的工作范围、质量、服务期等产生重大影响或者投标文件的内容对合同中约定的招标人的权利和投标人的义务方面造成重大的限制，而纠正这些内容将会对其他实质上响应招标文件要求的投标人的竞争地位产生不公正的影响）。</w:t>
      </w:r>
    </w:p>
    <w:p w14:paraId="0A7F985A">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4</w:t>
      </w:r>
      <w:r>
        <w:rPr>
          <w:rFonts w:hint="eastAsia" w:ascii="仿宋_GB2312" w:hAnsi="仿宋_GB2312" w:eastAsia="仿宋_GB2312" w:cs="仿宋_GB2312"/>
          <w:bCs/>
          <w:color w:val="auto"/>
          <w:sz w:val="22"/>
          <w:szCs w:val="22"/>
          <w:highlight w:val="none"/>
        </w:rPr>
        <w:t>.4</w:t>
      </w:r>
      <w:r>
        <w:rPr>
          <w:rFonts w:ascii="仿宋_GB2312" w:hAnsi="仿宋_GB2312" w:eastAsia="仿宋_GB2312" w:cs="仿宋_GB2312"/>
          <w:bCs/>
          <w:color w:val="auto"/>
          <w:sz w:val="22"/>
          <w:szCs w:val="22"/>
          <w:highlight w:val="none"/>
        </w:rPr>
        <w:t>凡获得招标文件的投标人，无论中标与否，均应对招标文件保密和保护招标人及其代理人的知识产权，并应承担因其泄密等行为而引起的一切责任。</w:t>
      </w:r>
    </w:p>
    <w:p w14:paraId="127B1CE0">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4.5</w:t>
      </w:r>
      <w:r>
        <w:rPr>
          <w:rFonts w:ascii="仿宋_GB2312" w:hAnsi="仿宋_GB2312" w:eastAsia="仿宋_GB2312" w:cs="仿宋_GB2312"/>
          <w:bCs/>
          <w:color w:val="auto"/>
          <w:sz w:val="22"/>
          <w:szCs w:val="22"/>
          <w:highlight w:val="none"/>
        </w:rPr>
        <w:t>招标采购单位</w:t>
      </w:r>
      <w:r>
        <w:rPr>
          <w:rFonts w:hint="eastAsia" w:ascii="仿宋_GB2312" w:hAnsi="仿宋_GB2312" w:eastAsia="仿宋_GB2312" w:cs="仿宋_GB2312"/>
          <w:bCs/>
          <w:color w:val="auto"/>
          <w:sz w:val="22"/>
          <w:szCs w:val="22"/>
          <w:highlight w:val="none"/>
        </w:rPr>
        <w:t>所作的一切有效的书面通知都是招标文件不可分割的组成部分。</w:t>
      </w:r>
    </w:p>
    <w:p w14:paraId="5A334B81">
      <w:pPr>
        <w:spacing w:line="360" w:lineRule="auto"/>
        <w:outlineLvl w:val="1"/>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三、投标文件的编制</w:t>
      </w:r>
    </w:p>
    <w:p w14:paraId="04CB1EDB">
      <w:p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7.</w:t>
      </w:r>
      <w:r>
        <w:rPr>
          <w:rFonts w:ascii="仿宋_GB2312" w:hAnsi="仿宋_GB2312" w:eastAsia="仿宋_GB2312" w:cs="仿宋_GB2312"/>
          <w:b/>
          <w:color w:val="auto"/>
          <w:sz w:val="22"/>
          <w:szCs w:val="22"/>
          <w:highlight w:val="none"/>
        </w:rPr>
        <w:tab/>
      </w:r>
      <w:r>
        <w:rPr>
          <w:rFonts w:ascii="仿宋_GB2312" w:hAnsi="仿宋_GB2312" w:eastAsia="仿宋_GB2312" w:cs="仿宋_GB2312"/>
          <w:b/>
          <w:color w:val="auto"/>
          <w:sz w:val="22"/>
          <w:szCs w:val="22"/>
          <w:highlight w:val="none"/>
        </w:rPr>
        <w:t>投标语言和计价货币及计量单位</w:t>
      </w:r>
    </w:p>
    <w:p w14:paraId="02456473">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7.1</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所有投标文件及投标人与招标采购单位之间的所有往来函电和文件使用中文。</w:t>
      </w:r>
    </w:p>
    <w:p w14:paraId="7AD8BD4F">
      <w:pPr>
        <w:spacing w:line="360" w:lineRule="auto"/>
        <w:ind w:firstLine="440" w:firstLineChars="200"/>
        <w:outlineLvl w:val="3"/>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7.2</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本项目的投标价格以人民币为计价货币。</w:t>
      </w:r>
    </w:p>
    <w:p w14:paraId="38EE7278">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7.3</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投标文件中所使用的计量单位，除招标文件中有特殊要求外，应采用中华人民共和国法定计量单位。</w:t>
      </w:r>
    </w:p>
    <w:p w14:paraId="77B42A90">
      <w:p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8.</w:t>
      </w:r>
      <w:r>
        <w:rPr>
          <w:rFonts w:ascii="仿宋_GB2312" w:hAnsi="仿宋_GB2312" w:eastAsia="仿宋_GB2312" w:cs="仿宋_GB2312"/>
          <w:b/>
          <w:color w:val="auto"/>
          <w:sz w:val="22"/>
          <w:szCs w:val="22"/>
          <w:highlight w:val="none"/>
        </w:rPr>
        <w:tab/>
      </w:r>
      <w:r>
        <w:rPr>
          <w:rFonts w:ascii="仿宋_GB2312" w:hAnsi="仿宋_GB2312" w:eastAsia="仿宋_GB2312" w:cs="仿宋_GB2312"/>
          <w:b/>
          <w:color w:val="auto"/>
          <w:sz w:val="22"/>
          <w:szCs w:val="22"/>
          <w:highlight w:val="none"/>
        </w:rPr>
        <w:t>投标文件构成</w:t>
      </w:r>
    </w:p>
    <w:p w14:paraId="5C6FEF67">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8.1</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投标人应完整地按招标文件提供的投标文件格式填写投标文件，投标文件应包括以下内容：</w:t>
      </w:r>
    </w:p>
    <w:p w14:paraId="1B3BD8DF">
      <w:pPr>
        <w:spacing w:line="360" w:lineRule="auto"/>
        <w:ind w:firstLine="440" w:firstLineChars="200"/>
        <w:outlineLvl w:val="9"/>
        <w:rPr>
          <w:rFonts w:ascii="仿宋_GB2312" w:hAnsi="仿宋_GB2312" w:eastAsia="仿宋_GB2312" w:cs="仿宋_GB2312"/>
          <w:bCs/>
          <w:color w:val="auto"/>
          <w:sz w:val="22"/>
          <w:szCs w:val="22"/>
          <w:highlight w:val="none"/>
          <w:lang w:val="en-US"/>
        </w:rPr>
      </w:pPr>
      <w:r>
        <w:rPr>
          <w:rFonts w:ascii="仿宋_GB2312" w:hAnsi="仿宋_GB2312" w:eastAsia="仿宋_GB2312" w:cs="仿宋_GB2312"/>
          <w:bCs/>
          <w:color w:val="auto"/>
          <w:sz w:val="22"/>
          <w:szCs w:val="22"/>
          <w:highlight w:val="none"/>
          <w:lang w:val="en-US"/>
        </w:rPr>
        <w:t>附件1</w:t>
      </w:r>
      <w:r>
        <w:rPr>
          <w:rFonts w:ascii="仿宋_GB2312" w:hAnsi="仿宋_GB2312" w:eastAsia="仿宋_GB2312" w:cs="仿宋_GB2312"/>
          <w:bCs/>
          <w:color w:val="auto"/>
          <w:sz w:val="22"/>
          <w:szCs w:val="22"/>
          <w:highlight w:val="none"/>
          <w:lang w:val="en-US"/>
        </w:rPr>
        <w:tab/>
      </w:r>
      <w:r>
        <w:rPr>
          <w:rFonts w:ascii="仿宋_GB2312" w:hAnsi="仿宋_GB2312" w:eastAsia="仿宋_GB2312" w:cs="仿宋_GB2312"/>
          <w:bCs/>
          <w:color w:val="auto"/>
          <w:sz w:val="22"/>
          <w:szCs w:val="22"/>
          <w:highlight w:val="none"/>
          <w:lang w:val="en-US"/>
        </w:rPr>
        <w:t>投标书</w:t>
      </w:r>
    </w:p>
    <w:p w14:paraId="22F35FB7">
      <w:pPr>
        <w:pStyle w:val="2"/>
        <w:numPr>
          <w:ilvl w:val="0"/>
          <w:numId w:val="0"/>
        </w:numPr>
        <w:spacing w:line="360" w:lineRule="auto"/>
        <w:ind w:firstLine="440" w:firstLineChars="200"/>
        <w:outlineLvl w:val="9"/>
        <w:rPr>
          <w:rFonts w:hint="default" w:ascii="仿宋_GB2312" w:hAnsi="仿宋_GB2312" w:eastAsia="仿宋_GB2312" w:cs="仿宋_GB2312"/>
          <w:bCs/>
          <w:color w:val="auto"/>
          <w:sz w:val="22"/>
          <w:szCs w:val="22"/>
          <w:highlight w:val="none"/>
          <w:lang w:val="en-US"/>
        </w:rPr>
      </w:pPr>
      <w:r>
        <w:rPr>
          <w:rFonts w:hint="default" w:ascii="仿宋_GB2312" w:hAnsi="仿宋_GB2312" w:eastAsia="仿宋_GB2312" w:cs="仿宋_GB2312"/>
          <w:bCs/>
          <w:color w:val="auto"/>
          <w:sz w:val="22"/>
          <w:szCs w:val="22"/>
          <w:highlight w:val="none"/>
          <w:lang w:val="en-US"/>
        </w:rPr>
        <w:t>附件2</w:t>
      </w:r>
      <w:r>
        <w:rPr>
          <w:rFonts w:hint="eastAsia" w:ascii="仿宋_GB2312" w:hAnsi="仿宋_GB2312" w:eastAsia="仿宋_GB2312" w:cs="仿宋_GB2312"/>
          <w:bCs/>
          <w:color w:val="auto"/>
          <w:sz w:val="22"/>
          <w:szCs w:val="22"/>
          <w:highlight w:val="none"/>
          <w:lang w:val="en-US" w:eastAsia="zh-CN"/>
        </w:rPr>
        <w:t xml:space="preserve"> </w:t>
      </w:r>
      <w:r>
        <w:rPr>
          <w:rFonts w:hint="default" w:ascii="仿宋_GB2312" w:hAnsi="仿宋_GB2312" w:eastAsia="仿宋_GB2312" w:cs="仿宋_GB2312"/>
          <w:bCs/>
          <w:color w:val="auto"/>
          <w:sz w:val="22"/>
          <w:szCs w:val="22"/>
          <w:highlight w:val="none"/>
          <w:lang w:val="en-US"/>
        </w:rPr>
        <w:t>投标一览表</w:t>
      </w:r>
    </w:p>
    <w:p w14:paraId="66E732FC">
      <w:pPr>
        <w:pStyle w:val="2"/>
        <w:numPr>
          <w:ilvl w:val="0"/>
          <w:numId w:val="0"/>
        </w:numPr>
        <w:spacing w:line="360" w:lineRule="auto"/>
        <w:ind w:firstLine="440" w:firstLineChars="200"/>
        <w:outlineLvl w:val="9"/>
        <w:rPr>
          <w:rFonts w:hint="default" w:ascii="仿宋_GB2312" w:hAnsi="仿宋_GB2312" w:eastAsia="仿宋_GB2312" w:cs="仿宋_GB2312"/>
          <w:bCs/>
          <w:color w:val="auto"/>
          <w:sz w:val="22"/>
          <w:szCs w:val="22"/>
          <w:highlight w:val="none"/>
          <w:lang w:val="en-US"/>
        </w:rPr>
      </w:pPr>
      <w:r>
        <w:rPr>
          <w:rFonts w:hint="default" w:ascii="仿宋_GB2312" w:hAnsi="仿宋_GB2312" w:eastAsia="仿宋_GB2312" w:cs="仿宋_GB2312"/>
          <w:bCs/>
          <w:color w:val="auto"/>
          <w:sz w:val="22"/>
          <w:szCs w:val="22"/>
          <w:highlight w:val="none"/>
          <w:lang w:val="en-US"/>
        </w:rPr>
        <w:t>附件3</w:t>
      </w:r>
      <w:r>
        <w:rPr>
          <w:rFonts w:hint="eastAsia" w:ascii="仿宋_GB2312" w:hAnsi="仿宋_GB2312" w:eastAsia="仿宋_GB2312" w:cs="仿宋_GB2312"/>
          <w:bCs/>
          <w:color w:val="auto"/>
          <w:sz w:val="22"/>
          <w:szCs w:val="22"/>
          <w:highlight w:val="none"/>
          <w:lang w:val="en-US" w:eastAsia="zh-CN"/>
        </w:rPr>
        <w:t xml:space="preserve"> </w:t>
      </w:r>
      <w:r>
        <w:rPr>
          <w:rFonts w:hint="default" w:ascii="仿宋_GB2312" w:hAnsi="仿宋_GB2312" w:eastAsia="仿宋_GB2312" w:cs="仿宋_GB2312"/>
          <w:bCs/>
          <w:color w:val="auto"/>
          <w:sz w:val="22"/>
          <w:szCs w:val="22"/>
          <w:highlight w:val="none"/>
          <w:lang w:val="en-US"/>
        </w:rPr>
        <w:t>资格证明文件</w:t>
      </w:r>
    </w:p>
    <w:p w14:paraId="5C4BA2EB">
      <w:pPr>
        <w:pStyle w:val="2"/>
        <w:numPr>
          <w:ilvl w:val="0"/>
          <w:numId w:val="0"/>
        </w:numPr>
        <w:spacing w:line="360" w:lineRule="auto"/>
        <w:ind w:firstLine="440" w:firstLineChars="200"/>
        <w:outlineLvl w:val="9"/>
        <w:rPr>
          <w:rFonts w:hint="default" w:ascii="仿宋_GB2312" w:hAnsi="仿宋_GB2312" w:eastAsia="仿宋_GB2312" w:cs="仿宋_GB2312"/>
          <w:bCs/>
          <w:color w:val="auto"/>
          <w:sz w:val="22"/>
          <w:szCs w:val="22"/>
          <w:highlight w:val="none"/>
          <w:lang w:val="en-US"/>
        </w:rPr>
      </w:pPr>
      <w:r>
        <w:rPr>
          <w:rFonts w:hint="default" w:ascii="仿宋_GB2312" w:hAnsi="仿宋_GB2312" w:eastAsia="仿宋_GB2312" w:cs="仿宋_GB2312"/>
          <w:bCs/>
          <w:color w:val="auto"/>
          <w:sz w:val="22"/>
          <w:szCs w:val="22"/>
          <w:highlight w:val="none"/>
          <w:lang w:val="en-US"/>
        </w:rPr>
        <w:t>附件4</w:t>
      </w:r>
      <w:r>
        <w:rPr>
          <w:rFonts w:hint="eastAsia" w:ascii="仿宋_GB2312" w:hAnsi="仿宋_GB2312" w:eastAsia="仿宋_GB2312" w:cs="仿宋_GB2312"/>
          <w:bCs/>
          <w:color w:val="auto"/>
          <w:sz w:val="22"/>
          <w:szCs w:val="22"/>
          <w:highlight w:val="none"/>
          <w:lang w:val="en-US" w:eastAsia="zh-CN"/>
        </w:rPr>
        <w:t xml:space="preserve"> </w:t>
      </w:r>
      <w:r>
        <w:rPr>
          <w:rFonts w:hint="default" w:ascii="仿宋_GB2312" w:hAnsi="仿宋_GB2312" w:eastAsia="仿宋_GB2312" w:cs="仿宋_GB2312"/>
          <w:bCs/>
          <w:color w:val="auto"/>
          <w:sz w:val="22"/>
          <w:szCs w:val="22"/>
          <w:highlight w:val="none"/>
          <w:lang w:val="en-US"/>
        </w:rPr>
        <w:t>企业实力</w:t>
      </w:r>
    </w:p>
    <w:p w14:paraId="635271F4">
      <w:pPr>
        <w:pStyle w:val="2"/>
        <w:numPr>
          <w:ilvl w:val="0"/>
          <w:numId w:val="0"/>
        </w:numPr>
        <w:spacing w:line="360" w:lineRule="auto"/>
        <w:ind w:firstLine="440" w:firstLineChars="200"/>
        <w:outlineLvl w:val="9"/>
        <w:rPr>
          <w:rFonts w:hint="default" w:ascii="仿宋_GB2312" w:hAnsi="仿宋_GB2312" w:eastAsia="仿宋_GB2312" w:cs="仿宋_GB2312"/>
          <w:bCs/>
          <w:color w:val="auto"/>
          <w:sz w:val="22"/>
          <w:szCs w:val="22"/>
          <w:highlight w:val="none"/>
          <w:lang w:val="en-US"/>
        </w:rPr>
      </w:pPr>
      <w:r>
        <w:rPr>
          <w:rFonts w:hint="default" w:ascii="仿宋_GB2312" w:hAnsi="仿宋_GB2312" w:eastAsia="仿宋_GB2312" w:cs="仿宋_GB2312"/>
          <w:bCs/>
          <w:color w:val="auto"/>
          <w:sz w:val="22"/>
          <w:szCs w:val="22"/>
          <w:highlight w:val="none"/>
          <w:lang w:val="en-US"/>
        </w:rPr>
        <w:t>附件5 售后服务</w:t>
      </w:r>
    </w:p>
    <w:p w14:paraId="1AB7664E">
      <w:pPr>
        <w:pStyle w:val="2"/>
        <w:numPr>
          <w:ilvl w:val="0"/>
          <w:numId w:val="0"/>
        </w:numPr>
        <w:spacing w:line="360" w:lineRule="auto"/>
        <w:ind w:firstLine="440" w:firstLineChars="200"/>
        <w:outlineLvl w:val="9"/>
        <w:rPr>
          <w:rFonts w:hint="default" w:ascii="仿宋_GB2312" w:hAnsi="仿宋_GB2312" w:eastAsia="仿宋_GB2312" w:cs="仿宋_GB2312"/>
          <w:bCs/>
          <w:color w:val="auto"/>
          <w:sz w:val="22"/>
          <w:szCs w:val="22"/>
          <w:highlight w:val="none"/>
          <w:lang w:val="en-US"/>
        </w:rPr>
      </w:pPr>
      <w:r>
        <w:rPr>
          <w:rFonts w:hint="default" w:ascii="仿宋_GB2312" w:hAnsi="仿宋_GB2312" w:eastAsia="仿宋_GB2312" w:cs="仿宋_GB2312"/>
          <w:bCs/>
          <w:color w:val="auto"/>
          <w:sz w:val="22"/>
          <w:szCs w:val="22"/>
          <w:highlight w:val="none"/>
          <w:lang w:val="en-US"/>
        </w:rPr>
        <w:t>附件6 培训方案</w:t>
      </w:r>
    </w:p>
    <w:p w14:paraId="1FE727E4">
      <w:pPr>
        <w:pStyle w:val="2"/>
        <w:numPr>
          <w:ilvl w:val="0"/>
          <w:numId w:val="0"/>
        </w:numPr>
        <w:spacing w:line="360" w:lineRule="auto"/>
        <w:ind w:firstLine="440" w:firstLineChars="200"/>
        <w:outlineLvl w:val="9"/>
        <w:rPr>
          <w:rFonts w:hint="default" w:ascii="仿宋_GB2312" w:hAnsi="仿宋_GB2312" w:eastAsia="仿宋_GB2312" w:cs="仿宋_GB2312"/>
          <w:bCs/>
          <w:color w:val="auto"/>
          <w:sz w:val="22"/>
          <w:szCs w:val="22"/>
          <w:highlight w:val="none"/>
          <w:lang w:val="en-US"/>
        </w:rPr>
      </w:pPr>
      <w:r>
        <w:rPr>
          <w:rFonts w:hint="default" w:ascii="仿宋_GB2312" w:hAnsi="仿宋_GB2312" w:eastAsia="仿宋_GB2312" w:cs="仿宋_GB2312"/>
          <w:bCs/>
          <w:color w:val="auto"/>
          <w:sz w:val="22"/>
          <w:szCs w:val="22"/>
          <w:highlight w:val="none"/>
          <w:lang w:val="en-US"/>
        </w:rPr>
        <w:t>附件7 实施方案及服务承诺</w:t>
      </w:r>
    </w:p>
    <w:p w14:paraId="520A296B">
      <w:pPr>
        <w:pStyle w:val="2"/>
        <w:numPr>
          <w:ilvl w:val="0"/>
          <w:numId w:val="0"/>
        </w:numPr>
        <w:spacing w:line="360" w:lineRule="auto"/>
        <w:ind w:firstLine="440" w:firstLineChars="200"/>
        <w:outlineLvl w:val="9"/>
        <w:rPr>
          <w:rFonts w:hint="default" w:ascii="仿宋_GB2312" w:hAnsi="仿宋_GB2312" w:eastAsia="仿宋_GB2312" w:cs="仿宋_GB2312"/>
          <w:bCs/>
          <w:color w:val="auto"/>
          <w:sz w:val="22"/>
          <w:szCs w:val="22"/>
          <w:highlight w:val="none"/>
          <w:lang w:val="en-US"/>
        </w:rPr>
      </w:pPr>
      <w:r>
        <w:rPr>
          <w:rFonts w:hint="default" w:ascii="仿宋_GB2312" w:hAnsi="仿宋_GB2312" w:eastAsia="仿宋_GB2312" w:cs="仿宋_GB2312"/>
          <w:bCs/>
          <w:color w:val="auto"/>
          <w:sz w:val="22"/>
          <w:szCs w:val="22"/>
          <w:highlight w:val="none"/>
          <w:lang w:val="en-US"/>
        </w:rPr>
        <w:t>附件8 项目团队</w:t>
      </w:r>
    </w:p>
    <w:p w14:paraId="0453D709">
      <w:pPr>
        <w:pStyle w:val="2"/>
        <w:numPr>
          <w:ilvl w:val="0"/>
          <w:numId w:val="0"/>
        </w:numPr>
        <w:spacing w:line="360" w:lineRule="auto"/>
        <w:ind w:firstLine="440" w:firstLineChars="200"/>
        <w:outlineLvl w:val="9"/>
        <w:rPr>
          <w:rFonts w:hint="default" w:ascii="仿宋_GB2312" w:hAnsi="仿宋_GB2312" w:eastAsia="仿宋_GB2312" w:cs="仿宋_GB2312"/>
          <w:bCs/>
          <w:color w:val="auto"/>
          <w:sz w:val="22"/>
          <w:szCs w:val="22"/>
          <w:highlight w:val="none"/>
          <w:lang w:val="en-US"/>
        </w:rPr>
      </w:pPr>
      <w:r>
        <w:rPr>
          <w:rFonts w:hint="default" w:ascii="仿宋_GB2312" w:hAnsi="仿宋_GB2312" w:eastAsia="仿宋_GB2312" w:cs="仿宋_GB2312"/>
          <w:bCs/>
          <w:color w:val="auto"/>
          <w:sz w:val="22"/>
          <w:szCs w:val="22"/>
          <w:highlight w:val="none"/>
          <w:lang w:val="en-US"/>
        </w:rPr>
        <w:t>附件9 应急响应方案</w:t>
      </w:r>
    </w:p>
    <w:p w14:paraId="6238169E">
      <w:pPr>
        <w:pStyle w:val="2"/>
        <w:numPr>
          <w:ilvl w:val="0"/>
          <w:numId w:val="0"/>
        </w:numPr>
        <w:spacing w:line="360" w:lineRule="auto"/>
        <w:ind w:firstLine="440" w:firstLineChars="200"/>
        <w:outlineLvl w:val="9"/>
        <w:rPr>
          <w:rFonts w:hint="default" w:ascii="仿宋_GB2312" w:hAnsi="仿宋_GB2312" w:eastAsia="仿宋_GB2312" w:cs="仿宋_GB2312"/>
          <w:bCs/>
          <w:color w:val="auto"/>
          <w:sz w:val="22"/>
          <w:szCs w:val="22"/>
          <w:highlight w:val="none"/>
          <w:lang w:val="en-US"/>
        </w:rPr>
      </w:pPr>
      <w:r>
        <w:rPr>
          <w:rFonts w:hint="default" w:ascii="仿宋_GB2312" w:hAnsi="仿宋_GB2312" w:eastAsia="仿宋_GB2312" w:cs="仿宋_GB2312"/>
          <w:bCs/>
          <w:color w:val="auto"/>
          <w:sz w:val="22"/>
          <w:szCs w:val="22"/>
          <w:highlight w:val="none"/>
          <w:lang w:val="en-US"/>
        </w:rPr>
        <w:t>附件10商务条款偏离表</w:t>
      </w:r>
    </w:p>
    <w:p w14:paraId="0A4EF66D">
      <w:pPr>
        <w:pStyle w:val="2"/>
        <w:numPr>
          <w:ilvl w:val="0"/>
          <w:numId w:val="0"/>
        </w:numPr>
        <w:spacing w:line="360" w:lineRule="auto"/>
        <w:ind w:firstLine="440" w:firstLineChars="200"/>
        <w:outlineLvl w:val="9"/>
        <w:rPr>
          <w:rFonts w:hint="default" w:ascii="仿宋_GB2312" w:hAnsi="仿宋_GB2312" w:eastAsia="仿宋_GB2312" w:cs="仿宋_GB2312"/>
          <w:bCs/>
          <w:color w:val="auto"/>
          <w:sz w:val="22"/>
          <w:szCs w:val="22"/>
          <w:highlight w:val="none"/>
          <w:lang w:val="en-US"/>
        </w:rPr>
      </w:pPr>
      <w:r>
        <w:rPr>
          <w:rFonts w:hint="default" w:ascii="仿宋_GB2312" w:hAnsi="仿宋_GB2312" w:eastAsia="仿宋_GB2312" w:cs="仿宋_GB2312"/>
          <w:bCs/>
          <w:color w:val="auto"/>
          <w:sz w:val="22"/>
          <w:szCs w:val="22"/>
          <w:highlight w:val="none"/>
          <w:lang w:val="en-US"/>
        </w:rPr>
        <w:t>附件11技术条款或服务条款偏离表</w:t>
      </w:r>
    </w:p>
    <w:p w14:paraId="4FA501CA">
      <w:pPr>
        <w:pStyle w:val="2"/>
        <w:numPr>
          <w:ilvl w:val="0"/>
          <w:numId w:val="0"/>
        </w:numPr>
        <w:spacing w:line="360" w:lineRule="auto"/>
        <w:ind w:firstLine="440" w:firstLineChars="200"/>
        <w:outlineLvl w:val="9"/>
        <w:rPr>
          <w:rFonts w:hint="eastAsia" w:ascii="仿宋_GB2312" w:hAnsi="仿宋_GB2312" w:eastAsia="仿宋_GB2312" w:cs="仿宋_GB2312"/>
          <w:bCs/>
          <w:color w:val="auto"/>
          <w:sz w:val="22"/>
          <w:szCs w:val="22"/>
          <w:highlight w:val="none"/>
        </w:rPr>
      </w:pPr>
      <w:r>
        <w:rPr>
          <w:rFonts w:hint="default" w:ascii="仿宋_GB2312" w:hAnsi="仿宋_GB2312" w:eastAsia="仿宋_GB2312" w:cs="仿宋_GB2312"/>
          <w:bCs/>
          <w:color w:val="auto"/>
          <w:sz w:val="22"/>
          <w:szCs w:val="22"/>
          <w:highlight w:val="none"/>
          <w:lang w:val="en-US"/>
        </w:rPr>
        <w:t>附件12投标人应提供的其他文件</w:t>
      </w:r>
    </w:p>
    <w:p w14:paraId="587D15A1">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除以上附件外，投标人还应提供唱标时使用的投标文件</w:t>
      </w:r>
      <w:r>
        <w:rPr>
          <w:rFonts w:hint="eastAsia" w:ascii="仿宋_GB2312" w:hAnsi="仿宋_GB2312" w:eastAsia="仿宋_GB2312" w:cs="仿宋_GB2312"/>
          <w:bCs/>
          <w:color w:val="auto"/>
          <w:sz w:val="22"/>
          <w:szCs w:val="22"/>
          <w:highlight w:val="none"/>
        </w:rPr>
        <w:t>，包括</w:t>
      </w:r>
      <w:r>
        <w:rPr>
          <w:rFonts w:ascii="仿宋_GB2312" w:hAnsi="仿宋_GB2312" w:eastAsia="仿宋_GB2312" w:cs="仿宋_GB2312"/>
          <w:bCs/>
          <w:color w:val="auto"/>
          <w:sz w:val="22"/>
          <w:szCs w:val="22"/>
          <w:highlight w:val="none"/>
        </w:rPr>
        <w:t>投标一览表（格式见附件2）</w:t>
      </w:r>
      <w:r>
        <w:rPr>
          <w:rFonts w:hint="eastAsia" w:ascii="仿宋_GB2312" w:hAnsi="仿宋_GB2312" w:eastAsia="仿宋_GB2312" w:cs="仿宋_GB2312"/>
          <w:bCs/>
          <w:color w:val="auto"/>
          <w:sz w:val="22"/>
          <w:szCs w:val="22"/>
          <w:highlight w:val="none"/>
        </w:rPr>
        <w:t>、</w:t>
      </w:r>
      <w:r>
        <w:rPr>
          <w:rFonts w:ascii="仿宋_GB2312" w:hAnsi="仿宋_GB2312" w:eastAsia="仿宋_GB2312" w:cs="仿宋_GB2312"/>
          <w:bCs/>
          <w:color w:val="auto"/>
          <w:sz w:val="22"/>
          <w:szCs w:val="22"/>
          <w:highlight w:val="none"/>
        </w:rPr>
        <w:t>投标保证金，该文件须分别单独密封，具体要求见本须知第</w:t>
      </w:r>
      <w:r>
        <w:rPr>
          <w:rFonts w:hint="eastAsia" w:ascii="仿宋_GB2312" w:hAnsi="仿宋_GB2312" w:eastAsia="仿宋_GB2312" w:cs="仿宋_GB2312"/>
          <w:bCs/>
          <w:color w:val="auto"/>
          <w:sz w:val="22"/>
          <w:szCs w:val="22"/>
          <w:highlight w:val="none"/>
        </w:rPr>
        <w:t>15</w:t>
      </w:r>
      <w:r>
        <w:rPr>
          <w:rFonts w:ascii="仿宋_GB2312" w:hAnsi="仿宋_GB2312" w:eastAsia="仿宋_GB2312" w:cs="仿宋_GB2312"/>
          <w:bCs/>
          <w:color w:val="auto"/>
          <w:sz w:val="22"/>
          <w:szCs w:val="22"/>
          <w:highlight w:val="none"/>
        </w:rPr>
        <w:t>条：</w:t>
      </w:r>
    </w:p>
    <w:p w14:paraId="04E116BD">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8.2</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除上述8.1条外，投标文件还应包括本须知第</w:t>
      </w:r>
      <w:r>
        <w:rPr>
          <w:rFonts w:hint="eastAsia" w:ascii="仿宋_GB2312" w:hAnsi="仿宋_GB2312" w:eastAsia="仿宋_GB2312" w:cs="仿宋_GB2312"/>
          <w:bCs/>
          <w:color w:val="auto"/>
          <w:sz w:val="22"/>
          <w:szCs w:val="22"/>
          <w:highlight w:val="none"/>
        </w:rPr>
        <w:t>10</w:t>
      </w:r>
      <w:r>
        <w:rPr>
          <w:rFonts w:ascii="仿宋_GB2312" w:hAnsi="仿宋_GB2312" w:eastAsia="仿宋_GB2312" w:cs="仿宋_GB2312"/>
          <w:bCs/>
          <w:color w:val="auto"/>
          <w:sz w:val="22"/>
          <w:szCs w:val="22"/>
          <w:highlight w:val="none"/>
        </w:rPr>
        <w:t>条的所有文件。</w:t>
      </w:r>
    </w:p>
    <w:p w14:paraId="17744050">
      <w:p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9. 投标文件格式</w:t>
      </w:r>
    </w:p>
    <w:p w14:paraId="55B10B7F">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xml:space="preserve">9.1 </w:t>
      </w:r>
      <w:r>
        <w:rPr>
          <w:rFonts w:ascii="仿宋_GB2312" w:hAnsi="仿宋_GB2312" w:eastAsia="仿宋_GB2312" w:cs="仿宋_GB2312"/>
          <w:bCs/>
          <w:color w:val="auto"/>
          <w:sz w:val="22"/>
          <w:szCs w:val="22"/>
          <w:highlight w:val="none"/>
        </w:rPr>
        <w:t>投标人应按招标文件第</w:t>
      </w:r>
      <w:r>
        <w:rPr>
          <w:rFonts w:hint="eastAsia" w:ascii="仿宋_GB2312" w:hAnsi="仿宋_GB2312" w:eastAsia="仿宋_GB2312" w:cs="仿宋_GB2312"/>
          <w:bCs/>
          <w:color w:val="auto"/>
          <w:sz w:val="22"/>
          <w:szCs w:val="22"/>
          <w:highlight w:val="none"/>
        </w:rPr>
        <w:t>8</w:t>
      </w:r>
      <w:r>
        <w:rPr>
          <w:rFonts w:ascii="仿宋_GB2312" w:hAnsi="仿宋_GB2312" w:eastAsia="仿宋_GB2312" w:cs="仿宋_GB2312"/>
          <w:bCs/>
          <w:color w:val="auto"/>
          <w:sz w:val="22"/>
          <w:szCs w:val="22"/>
          <w:highlight w:val="none"/>
        </w:rPr>
        <w:t>条的内容与要求和第七章提供的格式编写其投标文件（格式中未提供的必要资料投标人自行拟定格式），投标人不得缺少或留空任何招标文件要求填写的表格或提交的资料。</w:t>
      </w:r>
    </w:p>
    <w:p w14:paraId="6E8537B8">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xml:space="preserve">9.2 </w:t>
      </w:r>
      <w:r>
        <w:rPr>
          <w:rFonts w:ascii="仿宋_GB2312" w:hAnsi="仿宋_GB2312" w:eastAsia="仿宋_GB2312" w:cs="仿宋_GB2312"/>
          <w:bCs/>
          <w:color w:val="auto"/>
          <w:sz w:val="22"/>
          <w:szCs w:val="22"/>
          <w:highlight w:val="none"/>
        </w:rPr>
        <w:t>投标人</w:t>
      </w:r>
      <w:r>
        <w:rPr>
          <w:rFonts w:hint="eastAsia" w:ascii="仿宋_GB2312" w:hAnsi="仿宋_GB2312" w:eastAsia="仿宋_GB2312" w:cs="仿宋_GB2312"/>
          <w:bCs/>
          <w:color w:val="auto"/>
          <w:sz w:val="22"/>
          <w:szCs w:val="22"/>
          <w:highlight w:val="none"/>
        </w:rPr>
        <w:t>应按</w:t>
      </w:r>
      <w:r>
        <w:rPr>
          <w:rFonts w:ascii="仿宋_GB2312" w:hAnsi="仿宋_GB2312" w:eastAsia="仿宋_GB2312" w:cs="仿宋_GB2312"/>
          <w:bCs/>
          <w:color w:val="auto"/>
          <w:sz w:val="22"/>
          <w:szCs w:val="22"/>
          <w:highlight w:val="none"/>
        </w:rPr>
        <w:t>顺序编排、标注页码并编制目录，投标文件必须进行左侧胶装。</w:t>
      </w:r>
    </w:p>
    <w:p w14:paraId="0509986F">
      <w:pPr>
        <w:numPr>
          <w:ilvl w:val="0"/>
          <w:numId w:val="8"/>
        </w:num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证明合同项下货物（或服务）的合格性和符合招标文件规定的文件</w:t>
      </w:r>
    </w:p>
    <w:p w14:paraId="57D7FD67">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10</w:t>
      </w: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 xml:space="preserve">  </w:t>
      </w:r>
      <w:r>
        <w:rPr>
          <w:rFonts w:ascii="仿宋_GB2312" w:hAnsi="仿宋_GB2312" w:eastAsia="仿宋_GB2312" w:cs="仿宋_GB2312"/>
          <w:bCs/>
          <w:color w:val="auto"/>
          <w:sz w:val="22"/>
          <w:szCs w:val="22"/>
          <w:highlight w:val="none"/>
        </w:rPr>
        <w:t>投标人应提交证明文件，证明其拟提供的</w:t>
      </w:r>
      <w:r>
        <w:rPr>
          <w:rFonts w:hint="eastAsia" w:ascii="仿宋_GB2312" w:hAnsi="仿宋_GB2312" w:eastAsia="仿宋_GB2312" w:cs="仿宋_GB2312"/>
          <w:bCs/>
          <w:color w:val="auto"/>
          <w:sz w:val="22"/>
          <w:szCs w:val="22"/>
          <w:highlight w:val="none"/>
        </w:rPr>
        <w:t>货物（或服务）</w:t>
      </w:r>
      <w:r>
        <w:rPr>
          <w:rFonts w:ascii="仿宋_GB2312" w:hAnsi="仿宋_GB2312" w:eastAsia="仿宋_GB2312" w:cs="仿宋_GB2312"/>
          <w:bCs/>
          <w:color w:val="auto"/>
          <w:sz w:val="22"/>
          <w:szCs w:val="22"/>
          <w:highlight w:val="none"/>
        </w:rPr>
        <w:t>符合法律、法规、相关规章及国家强制性技术标准及招标文件的规定。该证明文件是投标文件的一部分。</w:t>
      </w:r>
    </w:p>
    <w:p w14:paraId="053A2442">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10</w:t>
      </w:r>
      <w:r>
        <w:rPr>
          <w:rFonts w:ascii="仿宋_GB2312" w:hAnsi="仿宋_GB2312" w:eastAsia="仿宋_GB2312" w:cs="仿宋_GB2312"/>
          <w:bCs/>
          <w:color w:val="auto"/>
          <w:sz w:val="22"/>
          <w:szCs w:val="22"/>
          <w:highlight w:val="none"/>
        </w:rPr>
        <w:t>.</w:t>
      </w:r>
      <w:r>
        <w:rPr>
          <w:rFonts w:hint="eastAsia" w:ascii="仿宋_GB2312" w:hAnsi="仿宋_GB2312" w:eastAsia="仿宋_GB2312" w:cs="仿宋_GB2312"/>
          <w:bCs/>
          <w:color w:val="auto"/>
          <w:sz w:val="22"/>
          <w:szCs w:val="22"/>
          <w:highlight w:val="none"/>
        </w:rPr>
        <w:t>2  证明货物（或服务）内容与招标文件的要求一致。证明文件可以是文字资料、图片和数据，对照招标文件技术要求，逐条说明所提供服务已对招标文件的技术要求做出了实质性的响应或申明与技术要求条文的偏差和例外（按第七章技术偏离表格式填写）。</w:t>
      </w:r>
    </w:p>
    <w:p w14:paraId="218E532B">
      <w:pPr>
        <w:spacing w:line="360" w:lineRule="auto"/>
        <w:ind w:firstLine="440" w:firstLineChars="200"/>
        <w:rPr>
          <w:rFonts w:hint="eastAsia" w:ascii="仿宋_GB2312" w:hAnsi="仿宋_GB2312" w:eastAsia="仿宋_GB2312" w:cs="仿宋_GB2312"/>
          <w:bCs/>
          <w:color w:val="auto"/>
          <w:sz w:val="22"/>
          <w:szCs w:val="22"/>
          <w:highlight w:val="none"/>
          <w:lang w:val="en-US" w:eastAsia="zh-CN"/>
        </w:rPr>
      </w:pPr>
      <w:r>
        <w:rPr>
          <w:rFonts w:hint="eastAsia" w:ascii="仿宋_GB2312" w:hAnsi="仿宋_GB2312" w:eastAsia="仿宋_GB2312" w:cs="仿宋_GB2312"/>
          <w:bCs/>
          <w:color w:val="auto"/>
          <w:sz w:val="22"/>
          <w:szCs w:val="22"/>
          <w:highlight w:val="none"/>
        </w:rPr>
        <w:t xml:space="preserve">10.3  </w:t>
      </w:r>
      <w:r>
        <w:rPr>
          <w:rFonts w:hint="eastAsia" w:ascii="仿宋_GB2312" w:hAnsi="仿宋_GB2312" w:eastAsia="仿宋_GB2312" w:cs="仿宋_GB2312"/>
          <w:bCs/>
          <w:color w:val="auto"/>
          <w:sz w:val="22"/>
          <w:szCs w:val="22"/>
          <w:highlight w:val="none"/>
          <w:lang w:val="en-US" w:eastAsia="zh-CN"/>
        </w:rPr>
        <w:t>投标人提交证明其中标后能履行合同的资格证明文件应满足招标文件及相关法律法规要求，投标人在收到中标通知书前后或签署合同前后对于招标采购单位提出的异议能够在3个工作日内给予满足招标文件及相关法律法规要求的解释。</w:t>
      </w:r>
    </w:p>
    <w:p w14:paraId="2680014B">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lang w:val="en-US" w:eastAsia="zh-CN"/>
        </w:rPr>
        <w:t>10.4  招标代理机构有权随时检查投标人所提供的投标资料的真实性，包括开标、评标、宣布中标后或同招标人签署合同后以及在合同执行过程中。如果发现投标人在投标资料中使用有虚假的证明材料且不能在规定的时间内提供足以满足招标文件及相关法律法规要求的合法的证明资料，招标采购单位有权宣布中标人的中标通知无效，并撤销已签署的或正在执行的合同，由此所产生的经济责任和法律责任由投标人自行承担，招标采购单位还将依法对此做进一步的处罚措施</w:t>
      </w:r>
      <w:r>
        <w:rPr>
          <w:rFonts w:hint="eastAsia" w:ascii="仿宋_GB2312" w:hAnsi="仿宋_GB2312" w:eastAsia="仿宋_GB2312" w:cs="仿宋_GB2312"/>
          <w:bCs/>
          <w:color w:val="auto"/>
          <w:sz w:val="22"/>
          <w:szCs w:val="22"/>
          <w:highlight w:val="none"/>
        </w:rPr>
        <w:t>。</w:t>
      </w:r>
    </w:p>
    <w:p w14:paraId="1A3713CB">
      <w:p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1</w:t>
      </w:r>
      <w:r>
        <w:rPr>
          <w:rFonts w:hint="eastAsia" w:ascii="仿宋_GB2312" w:hAnsi="仿宋_GB2312" w:eastAsia="仿宋_GB2312" w:cs="仿宋_GB2312"/>
          <w:b/>
          <w:color w:val="auto"/>
          <w:sz w:val="22"/>
          <w:szCs w:val="22"/>
          <w:highlight w:val="none"/>
        </w:rPr>
        <w:t>1</w:t>
      </w:r>
      <w:r>
        <w:rPr>
          <w:rFonts w:ascii="仿宋_GB2312" w:hAnsi="仿宋_GB2312" w:eastAsia="仿宋_GB2312" w:cs="仿宋_GB2312"/>
          <w:b/>
          <w:color w:val="auto"/>
          <w:sz w:val="22"/>
          <w:szCs w:val="22"/>
          <w:highlight w:val="none"/>
        </w:rPr>
        <w:t>.</w:t>
      </w:r>
      <w:r>
        <w:rPr>
          <w:rFonts w:ascii="仿宋_GB2312" w:hAnsi="仿宋_GB2312" w:eastAsia="仿宋_GB2312" w:cs="仿宋_GB2312"/>
          <w:b/>
          <w:color w:val="auto"/>
          <w:sz w:val="22"/>
          <w:szCs w:val="22"/>
          <w:highlight w:val="none"/>
        </w:rPr>
        <w:tab/>
      </w:r>
      <w:r>
        <w:rPr>
          <w:rFonts w:ascii="仿宋_GB2312" w:hAnsi="仿宋_GB2312" w:eastAsia="仿宋_GB2312" w:cs="仿宋_GB2312"/>
          <w:b/>
          <w:color w:val="auto"/>
          <w:sz w:val="22"/>
          <w:szCs w:val="22"/>
          <w:highlight w:val="none"/>
        </w:rPr>
        <w:t>投标报价</w:t>
      </w:r>
    </w:p>
    <w:p w14:paraId="7EC73FB8">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1</w:t>
      </w:r>
      <w:r>
        <w:rPr>
          <w:rFonts w:ascii="仿宋_GB2312" w:hAnsi="仿宋_GB2312" w:eastAsia="仿宋_GB2312" w:cs="仿宋_GB2312"/>
          <w:bCs/>
          <w:color w:val="auto"/>
          <w:sz w:val="22"/>
          <w:szCs w:val="22"/>
          <w:highlight w:val="none"/>
        </w:rPr>
        <w:t>.1</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所有投标报价均以人民币报价</w:t>
      </w:r>
      <w:r>
        <w:rPr>
          <w:rFonts w:hint="eastAsia" w:ascii="仿宋_GB2312" w:hAnsi="仿宋_GB2312" w:eastAsia="仿宋_GB2312" w:cs="仿宋_GB2312"/>
          <w:bCs/>
          <w:color w:val="auto"/>
          <w:sz w:val="22"/>
          <w:szCs w:val="22"/>
          <w:highlight w:val="none"/>
        </w:rPr>
        <w:t>，报价应为含税价格</w:t>
      </w:r>
      <w:r>
        <w:rPr>
          <w:rFonts w:ascii="仿宋_GB2312" w:hAnsi="仿宋_GB2312" w:eastAsia="仿宋_GB2312" w:cs="仿宋_GB2312"/>
          <w:bCs/>
          <w:color w:val="auto"/>
          <w:sz w:val="22"/>
          <w:szCs w:val="22"/>
          <w:highlight w:val="none"/>
        </w:rPr>
        <w:t>。投标人的投标报价应遵守“中华人民共和国价格法”。</w:t>
      </w:r>
    </w:p>
    <w:p w14:paraId="76046F40">
      <w:pPr>
        <w:spacing w:line="360" w:lineRule="auto"/>
        <w:ind w:firstLine="440" w:firstLineChars="200"/>
        <w:outlineLvl w:val="3"/>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1</w:t>
      </w:r>
      <w:r>
        <w:rPr>
          <w:rFonts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ab/>
      </w:r>
      <w:r>
        <w:rPr>
          <w:rFonts w:hint="eastAsia" w:ascii="仿宋_GB2312" w:hAnsi="仿宋_GB2312" w:eastAsia="仿宋_GB2312" w:cs="仿宋_GB2312"/>
          <w:bCs/>
          <w:color w:val="auto"/>
          <w:sz w:val="22"/>
          <w:szCs w:val="22"/>
          <w:highlight w:val="none"/>
        </w:rPr>
        <w:t>投标人应</w:t>
      </w:r>
      <w:r>
        <w:rPr>
          <w:rFonts w:ascii="仿宋_GB2312" w:hAnsi="仿宋_GB2312" w:eastAsia="仿宋_GB2312" w:cs="仿宋_GB2312"/>
          <w:bCs/>
          <w:color w:val="auto"/>
          <w:sz w:val="22"/>
          <w:szCs w:val="22"/>
          <w:highlight w:val="none"/>
        </w:rPr>
        <w:t>结合市场自主报价</w:t>
      </w:r>
      <w:r>
        <w:rPr>
          <w:rFonts w:hint="eastAsia" w:ascii="仿宋_GB2312" w:hAnsi="仿宋_GB2312" w:eastAsia="仿宋_GB2312" w:cs="仿宋_GB2312"/>
          <w:bCs/>
          <w:color w:val="auto"/>
          <w:sz w:val="22"/>
          <w:szCs w:val="22"/>
          <w:highlight w:val="none"/>
        </w:rPr>
        <w:t>。</w:t>
      </w:r>
    </w:p>
    <w:p w14:paraId="1BE6526A">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1</w:t>
      </w:r>
      <w:r>
        <w:rPr>
          <w:rFonts w:ascii="仿宋_GB2312" w:hAnsi="仿宋_GB2312" w:eastAsia="仿宋_GB2312" w:cs="仿宋_GB2312"/>
          <w:bCs/>
          <w:color w:val="auto"/>
          <w:sz w:val="22"/>
          <w:szCs w:val="22"/>
          <w:highlight w:val="none"/>
        </w:rPr>
        <w:t>.3</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投标报价应包括但不限于投标人为实施本项目所需花费的一切费用，合同价格除按本合同的规定外，不得以任何方法调整或变更。任何合同单价的计算错误皆由投标人承担，并被视为已包含在合同单价中。</w:t>
      </w:r>
      <w:r>
        <w:rPr>
          <w:rFonts w:hint="eastAsia" w:ascii="仿宋_GB2312" w:hAnsi="仿宋_GB2312" w:eastAsia="仿宋_GB2312" w:cs="仿宋_GB2312"/>
          <w:bCs/>
          <w:color w:val="auto"/>
          <w:sz w:val="22"/>
          <w:szCs w:val="22"/>
          <w:highlight w:val="none"/>
        </w:rPr>
        <w:t>同时包含国家及北京市地方法规、规定、本次招标适用的其他各类规范中列明的应由投标人承担的费用和税负</w:t>
      </w:r>
      <w:r>
        <w:rPr>
          <w:rFonts w:ascii="仿宋_GB2312" w:hAnsi="仿宋_GB2312" w:eastAsia="仿宋_GB2312" w:cs="仿宋_GB2312"/>
          <w:bCs/>
          <w:color w:val="auto"/>
          <w:sz w:val="22"/>
          <w:szCs w:val="22"/>
          <w:highlight w:val="none"/>
        </w:rPr>
        <w:t>。</w:t>
      </w:r>
    </w:p>
    <w:p w14:paraId="6D0840AA">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1</w:t>
      </w:r>
      <w:r>
        <w:rPr>
          <w:rFonts w:ascii="仿宋_GB2312" w:hAnsi="仿宋_GB2312" w:eastAsia="仿宋_GB2312" w:cs="仿宋_GB2312"/>
          <w:bCs/>
          <w:color w:val="auto"/>
          <w:sz w:val="22"/>
          <w:szCs w:val="22"/>
          <w:highlight w:val="none"/>
        </w:rPr>
        <w:t>.4</w:t>
      </w:r>
      <w:r>
        <w:rPr>
          <w:rFonts w:ascii="仿宋_GB2312" w:hAnsi="仿宋_GB2312" w:eastAsia="仿宋_GB2312" w:cs="仿宋_GB2312"/>
          <w:bCs/>
          <w:color w:val="auto"/>
          <w:sz w:val="22"/>
          <w:szCs w:val="22"/>
          <w:highlight w:val="none"/>
        </w:rPr>
        <w:tab/>
      </w:r>
      <w:r>
        <w:rPr>
          <w:rFonts w:hint="default" w:ascii="仿宋_GB2312" w:hAnsi="仿宋_GB2312" w:eastAsia="仿宋_GB2312" w:cs="仿宋_GB2312"/>
          <w:bCs/>
          <w:color w:val="auto"/>
          <w:sz w:val="22"/>
          <w:szCs w:val="22"/>
          <w:highlight w:val="none"/>
          <w:lang w:val="en-US" w:eastAsia="zh-CN"/>
        </w:rPr>
        <w:t>投标人在报价时应当充分考虑到合同期内市场</w:t>
      </w:r>
      <w:r>
        <w:rPr>
          <w:rFonts w:hint="eastAsia" w:ascii="仿宋_GB2312" w:hAnsi="仿宋_GB2312" w:eastAsia="仿宋_GB2312" w:cs="仿宋_GB2312"/>
          <w:bCs/>
          <w:color w:val="auto"/>
          <w:sz w:val="22"/>
          <w:szCs w:val="22"/>
          <w:highlight w:val="none"/>
          <w:lang w:val="en-US" w:eastAsia="zh-CN"/>
        </w:rPr>
        <w:t>价格波动</w:t>
      </w:r>
      <w:r>
        <w:rPr>
          <w:rFonts w:hint="default" w:ascii="仿宋_GB2312" w:hAnsi="仿宋_GB2312" w:eastAsia="仿宋_GB2312" w:cs="仿宋_GB2312"/>
          <w:bCs/>
          <w:color w:val="auto"/>
          <w:sz w:val="22"/>
          <w:szCs w:val="22"/>
          <w:highlight w:val="none"/>
          <w:lang w:val="en-US" w:eastAsia="zh-CN"/>
        </w:rPr>
        <w:t>造成的成本变化</w:t>
      </w:r>
      <w:r>
        <w:rPr>
          <w:rFonts w:ascii="仿宋_GB2312" w:hAnsi="仿宋_GB2312" w:eastAsia="仿宋_GB2312" w:cs="仿宋_GB2312"/>
          <w:bCs/>
          <w:color w:val="auto"/>
          <w:sz w:val="22"/>
          <w:szCs w:val="22"/>
          <w:highlight w:val="none"/>
        </w:rPr>
        <w:t>；合同期内基于投标人自身判断的各种可能存在或发生的风险；符合或满足招标人在招标文件中为中标人设定的全部责任和义务所需发生的任何费用。</w:t>
      </w:r>
    </w:p>
    <w:p w14:paraId="704A0AC2">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1</w:t>
      </w:r>
      <w:r>
        <w:rPr>
          <w:rFonts w:ascii="仿宋_GB2312" w:hAnsi="仿宋_GB2312" w:eastAsia="仿宋_GB2312" w:cs="仿宋_GB2312"/>
          <w:bCs/>
          <w:color w:val="auto"/>
          <w:sz w:val="22"/>
          <w:szCs w:val="22"/>
          <w:highlight w:val="none"/>
        </w:rPr>
        <w:t>.5</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投标人应按上述条款的要求填写投标报价。此报价作为本次评标委员会的评标标准之一，但是最低报价不作为授予合同的保证。</w:t>
      </w:r>
    </w:p>
    <w:p w14:paraId="4185C82D">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1</w:t>
      </w:r>
      <w:r>
        <w:rPr>
          <w:rFonts w:ascii="仿宋_GB2312" w:hAnsi="仿宋_GB2312" w:eastAsia="仿宋_GB2312" w:cs="仿宋_GB2312"/>
          <w:bCs/>
          <w:color w:val="auto"/>
          <w:sz w:val="22"/>
          <w:szCs w:val="22"/>
          <w:highlight w:val="none"/>
        </w:rPr>
        <w:t>.6</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人不得违反《中华人民共和国反不正当竞争法》的规定，以低于成本的价格销售货物或服务，否则应对其价格构成情况做出详细说明并提供相关证明资料。评标委员会评审中认为投标人的投标报价低于成本价时，有权要求投标人在规定期限内做出澄清或解释。如果评标委员会认为投标人所做的澄清或者解释不能被接受，有权拒绝其中标。投标人的澄清、说明或者补正应当采用书面形式，由其授权代表签字，并不得超出投标文件的范围或者改变投标文件的实质性内容，书面承诺为其投标文件的组成部分。</w:t>
      </w:r>
    </w:p>
    <w:p w14:paraId="39975507">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 xml:space="preserve">11.7  </w:t>
      </w:r>
      <w:r>
        <w:rPr>
          <w:rFonts w:ascii="仿宋_GB2312" w:hAnsi="仿宋_GB2312" w:eastAsia="仿宋_GB2312" w:cs="仿宋_GB2312"/>
          <w:bCs/>
          <w:color w:val="auto"/>
          <w:sz w:val="22"/>
          <w:szCs w:val="22"/>
          <w:highlight w:val="none"/>
        </w:rPr>
        <w:t>要求投标人提交唯一的投标报价，否则评标委员会有权否决其投标。</w:t>
      </w:r>
    </w:p>
    <w:p w14:paraId="2660CE9B">
      <w:p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12</w:t>
      </w:r>
      <w:r>
        <w:rPr>
          <w:rFonts w:ascii="仿宋_GB2312" w:hAnsi="仿宋_GB2312" w:eastAsia="仿宋_GB2312" w:cs="仿宋_GB2312"/>
          <w:b/>
          <w:color w:val="auto"/>
          <w:sz w:val="22"/>
          <w:szCs w:val="22"/>
          <w:highlight w:val="none"/>
        </w:rPr>
        <w:t>.</w:t>
      </w:r>
      <w:r>
        <w:rPr>
          <w:rFonts w:ascii="仿宋_GB2312" w:hAnsi="仿宋_GB2312" w:eastAsia="仿宋_GB2312" w:cs="仿宋_GB2312"/>
          <w:b/>
          <w:color w:val="auto"/>
          <w:sz w:val="22"/>
          <w:szCs w:val="22"/>
          <w:highlight w:val="none"/>
        </w:rPr>
        <w:tab/>
      </w:r>
      <w:r>
        <w:rPr>
          <w:rFonts w:ascii="仿宋_GB2312" w:hAnsi="仿宋_GB2312" w:eastAsia="仿宋_GB2312" w:cs="仿宋_GB2312"/>
          <w:b/>
          <w:color w:val="auto"/>
          <w:sz w:val="22"/>
          <w:szCs w:val="22"/>
          <w:highlight w:val="none"/>
        </w:rPr>
        <w:t>投标保证金</w:t>
      </w:r>
    </w:p>
    <w:p w14:paraId="3B988E94">
      <w:pPr>
        <w:spacing w:line="360" w:lineRule="auto"/>
        <w:ind w:firstLine="440" w:firstLineChars="200"/>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12</w:t>
      </w:r>
      <w:r>
        <w:rPr>
          <w:rFonts w:ascii="仿宋_GB2312" w:hAnsi="仿宋_GB2312" w:eastAsia="仿宋_GB2312" w:cs="仿宋_GB2312"/>
          <w:bCs/>
          <w:color w:val="auto"/>
          <w:sz w:val="22"/>
          <w:szCs w:val="22"/>
          <w:highlight w:val="none"/>
        </w:rPr>
        <w:t>.1</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投标人应提供投标保证金，并作为其投标的一部分。投标保证金相关内容详见投标人须知前附表及招标公告。</w:t>
      </w:r>
    </w:p>
    <w:p w14:paraId="5C66DCF4">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投标保证金是为了保护招标采购单位免遭因投标人的行为蒙受损失而要求的。</w:t>
      </w:r>
    </w:p>
    <w:p w14:paraId="1E126327">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下列任何情况发生，投标保证金将被没收：</w:t>
      </w:r>
    </w:p>
    <w:p w14:paraId="33080E61">
      <w:pPr>
        <w:numPr>
          <w:ilvl w:val="0"/>
          <w:numId w:val="10"/>
        </w:numPr>
        <w:spacing w:line="360" w:lineRule="auto"/>
        <w:ind w:left="0"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在开标之日后到投标有效期满前，投标人擅自撤回投标的；</w:t>
      </w:r>
    </w:p>
    <w:p w14:paraId="45C7F5DA">
      <w:pPr>
        <w:numPr>
          <w:ilvl w:val="0"/>
          <w:numId w:val="10"/>
        </w:numPr>
        <w:spacing w:line="360" w:lineRule="auto"/>
        <w:ind w:left="0"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中标人不按本须知第2</w:t>
      </w:r>
      <w:r>
        <w:rPr>
          <w:rFonts w:hint="eastAsia" w:ascii="仿宋_GB2312" w:hAnsi="仿宋_GB2312" w:eastAsia="仿宋_GB2312" w:cs="仿宋_GB2312"/>
          <w:bCs/>
          <w:color w:val="auto"/>
          <w:sz w:val="22"/>
          <w:szCs w:val="22"/>
          <w:highlight w:val="none"/>
        </w:rPr>
        <w:t>4</w:t>
      </w:r>
      <w:r>
        <w:rPr>
          <w:rFonts w:ascii="仿宋_GB2312" w:hAnsi="仿宋_GB2312" w:eastAsia="仿宋_GB2312" w:cs="仿宋_GB2312"/>
          <w:bCs/>
          <w:color w:val="auto"/>
          <w:sz w:val="22"/>
          <w:szCs w:val="22"/>
          <w:highlight w:val="none"/>
        </w:rPr>
        <w:t>条的规定与招标人签订合同的；</w:t>
      </w:r>
    </w:p>
    <w:p w14:paraId="2B3EB28B">
      <w:pPr>
        <w:numPr>
          <w:ilvl w:val="0"/>
          <w:numId w:val="10"/>
        </w:numPr>
        <w:spacing w:line="360" w:lineRule="auto"/>
        <w:ind w:left="0"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中标人不按本须知第2</w:t>
      </w:r>
      <w:r>
        <w:rPr>
          <w:rFonts w:hint="eastAsia" w:ascii="仿宋_GB2312" w:hAnsi="仿宋_GB2312" w:eastAsia="仿宋_GB2312" w:cs="仿宋_GB2312"/>
          <w:bCs/>
          <w:color w:val="auto"/>
          <w:sz w:val="22"/>
          <w:szCs w:val="22"/>
          <w:highlight w:val="none"/>
        </w:rPr>
        <w:t>5</w:t>
      </w:r>
      <w:r>
        <w:rPr>
          <w:rFonts w:ascii="仿宋_GB2312" w:hAnsi="仿宋_GB2312" w:eastAsia="仿宋_GB2312" w:cs="仿宋_GB2312"/>
          <w:bCs/>
          <w:color w:val="auto"/>
          <w:sz w:val="22"/>
          <w:szCs w:val="22"/>
          <w:highlight w:val="none"/>
        </w:rPr>
        <w:t>条的规定提交履约保证金的。</w:t>
      </w:r>
    </w:p>
    <w:p w14:paraId="6049B5C1">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.3</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投标保证金可采用电汇或银行转账，投标保证金应当来自其基本账户。</w:t>
      </w:r>
    </w:p>
    <w:p w14:paraId="02C14613">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.4</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凡没有根据本须知1</w:t>
      </w:r>
      <w:r>
        <w:rPr>
          <w:rFonts w:hint="eastAsia"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.1和第1</w:t>
      </w:r>
      <w:r>
        <w:rPr>
          <w:rFonts w:hint="eastAsia"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.3条的规定，随附投标保证金的投标，将被视为非响应性投标而予以拒绝。</w:t>
      </w:r>
    </w:p>
    <w:p w14:paraId="75C3EEF6">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.5</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按本招标文件规定的形式递交投标保证金的，招标代理机构退还投标保证金时除本金外，还将依据中国人民银行发布的同期银行活期存款利率退还相应银行利息。时间计算起点为自投标截止时间次日起，终点不晚于合同签订后第五日（以实际退还时间为准）。</w:t>
      </w:r>
    </w:p>
    <w:p w14:paraId="3C7494DC">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.6</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投标保证金的有效期应与投标有效期一致，招标采购单位如果延长了投标有效期，则投标保证金的有效期也相应延长。</w:t>
      </w:r>
    </w:p>
    <w:p w14:paraId="4341CFA8">
      <w:p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1</w:t>
      </w:r>
      <w:r>
        <w:rPr>
          <w:rFonts w:hint="eastAsia" w:ascii="仿宋_GB2312" w:hAnsi="仿宋_GB2312" w:eastAsia="仿宋_GB2312" w:cs="仿宋_GB2312"/>
          <w:b/>
          <w:color w:val="auto"/>
          <w:sz w:val="22"/>
          <w:szCs w:val="22"/>
          <w:highlight w:val="none"/>
        </w:rPr>
        <w:t>3</w:t>
      </w:r>
      <w:r>
        <w:rPr>
          <w:rFonts w:ascii="仿宋_GB2312" w:hAnsi="仿宋_GB2312" w:eastAsia="仿宋_GB2312" w:cs="仿宋_GB2312"/>
          <w:b/>
          <w:color w:val="auto"/>
          <w:sz w:val="22"/>
          <w:szCs w:val="22"/>
          <w:highlight w:val="none"/>
        </w:rPr>
        <w:t>.</w:t>
      </w:r>
      <w:r>
        <w:rPr>
          <w:rFonts w:ascii="仿宋_GB2312" w:hAnsi="仿宋_GB2312" w:eastAsia="仿宋_GB2312" w:cs="仿宋_GB2312"/>
          <w:b/>
          <w:color w:val="auto"/>
          <w:sz w:val="22"/>
          <w:szCs w:val="22"/>
          <w:highlight w:val="none"/>
        </w:rPr>
        <w:tab/>
      </w:r>
      <w:r>
        <w:rPr>
          <w:rFonts w:ascii="仿宋_GB2312" w:hAnsi="仿宋_GB2312" w:eastAsia="仿宋_GB2312" w:cs="仿宋_GB2312"/>
          <w:b/>
          <w:color w:val="auto"/>
          <w:sz w:val="22"/>
          <w:szCs w:val="22"/>
          <w:highlight w:val="none"/>
        </w:rPr>
        <w:t>投标有效期</w:t>
      </w:r>
    </w:p>
    <w:p w14:paraId="50056E57">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3</w:t>
      </w:r>
      <w:r>
        <w:rPr>
          <w:rFonts w:ascii="仿宋_GB2312" w:hAnsi="仿宋_GB2312" w:eastAsia="仿宋_GB2312" w:cs="仿宋_GB2312"/>
          <w:bCs/>
          <w:color w:val="auto"/>
          <w:sz w:val="22"/>
          <w:szCs w:val="22"/>
          <w:highlight w:val="none"/>
        </w:rPr>
        <w:t>.1</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投标应在规定的开标日后的90个日历日内保持有效，投标有效期不满足要求的投标将被视为非响应性投标而予以拒绝。</w:t>
      </w:r>
    </w:p>
    <w:p w14:paraId="0D9C53A8">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3</w:t>
      </w:r>
      <w:r>
        <w:rPr>
          <w:rFonts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招标采购单位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采购单位的这种要求，其投标保证金将不会被没收。上述要求和答复都应以书面形式提交。</w:t>
      </w:r>
    </w:p>
    <w:p w14:paraId="6A30FB7A">
      <w:pPr>
        <w:spacing w:line="360" w:lineRule="auto"/>
        <w:ind w:firstLine="442" w:firstLineChars="200"/>
        <w:outlineLvl w:val="2"/>
        <w:rPr>
          <w:rFonts w:hint="eastAsia" w:ascii="仿宋_GB2312" w:hAnsi="仿宋_GB2312" w:eastAsia="仿宋_GB2312" w:cs="仿宋_GB2312"/>
          <w:b/>
          <w:color w:val="auto"/>
          <w:sz w:val="22"/>
          <w:szCs w:val="22"/>
          <w:highlight w:val="none"/>
        </w:rPr>
      </w:pPr>
      <w:r>
        <w:rPr>
          <w:rFonts w:ascii="仿宋_GB2312" w:hAnsi="仿宋_GB2312" w:eastAsia="仿宋_GB2312" w:cs="仿宋_GB2312"/>
          <w:b/>
          <w:color w:val="auto"/>
          <w:sz w:val="22"/>
          <w:szCs w:val="22"/>
          <w:highlight w:val="none"/>
        </w:rPr>
        <w:t>1</w:t>
      </w:r>
      <w:r>
        <w:rPr>
          <w:rFonts w:hint="eastAsia" w:ascii="仿宋_GB2312" w:hAnsi="仿宋_GB2312" w:eastAsia="仿宋_GB2312" w:cs="仿宋_GB2312"/>
          <w:b/>
          <w:color w:val="auto"/>
          <w:sz w:val="22"/>
          <w:szCs w:val="22"/>
          <w:highlight w:val="none"/>
        </w:rPr>
        <w:t>4</w:t>
      </w:r>
      <w:r>
        <w:rPr>
          <w:rFonts w:ascii="仿宋_GB2312" w:hAnsi="仿宋_GB2312" w:eastAsia="仿宋_GB2312" w:cs="仿宋_GB2312"/>
          <w:b/>
          <w:color w:val="auto"/>
          <w:sz w:val="22"/>
          <w:szCs w:val="22"/>
          <w:highlight w:val="none"/>
        </w:rPr>
        <w:t>.</w:t>
      </w:r>
      <w:r>
        <w:rPr>
          <w:rFonts w:ascii="仿宋_GB2312" w:hAnsi="仿宋_GB2312" w:eastAsia="仿宋_GB2312" w:cs="仿宋_GB2312"/>
          <w:b/>
          <w:color w:val="auto"/>
          <w:sz w:val="22"/>
          <w:szCs w:val="22"/>
          <w:highlight w:val="none"/>
        </w:rPr>
        <w:tab/>
      </w:r>
      <w:r>
        <w:rPr>
          <w:rFonts w:ascii="仿宋_GB2312" w:hAnsi="仿宋_GB2312" w:eastAsia="仿宋_GB2312" w:cs="仿宋_GB2312"/>
          <w:b/>
          <w:color w:val="auto"/>
          <w:sz w:val="22"/>
          <w:szCs w:val="22"/>
          <w:highlight w:val="none"/>
        </w:rPr>
        <w:t>投标文件的签署及规定</w:t>
      </w:r>
    </w:p>
    <w:p w14:paraId="503A5A28">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4</w:t>
      </w:r>
      <w:r>
        <w:rPr>
          <w:rFonts w:ascii="仿宋_GB2312" w:hAnsi="仿宋_GB2312" w:eastAsia="仿宋_GB2312" w:cs="仿宋_GB2312"/>
          <w:bCs/>
          <w:color w:val="auto"/>
          <w:sz w:val="22"/>
          <w:szCs w:val="22"/>
          <w:highlight w:val="none"/>
        </w:rPr>
        <w:t>.1</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投标人应准备投标文件正本1 份和副本</w:t>
      </w:r>
      <w:r>
        <w:rPr>
          <w:rFonts w:hint="eastAsia" w:ascii="仿宋_GB2312" w:hAnsi="仿宋_GB2312" w:eastAsia="仿宋_GB2312" w:cs="仿宋_GB2312"/>
          <w:bCs/>
          <w:color w:val="auto"/>
          <w:sz w:val="22"/>
          <w:szCs w:val="22"/>
          <w:highlight w:val="none"/>
          <w:lang w:val="en-US" w:eastAsia="zh-CN"/>
        </w:rPr>
        <w:t>6</w:t>
      </w:r>
      <w:r>
        <w:rPr>
          <w:rFonts w:ascii="仿宋_GB2312" w:hAnsi="仿宋_GB2312" w:eastAsia="仿宋_GB2312" w:cs="仿宋_GB2312"/>
          <w:bCs/>
          <w:color w:val="auto"/>
          <w:sz w:val="22"/>
          <w:szCs w:val="22"/>
          <w:highlight w:val="none"/>
        </w:rPr>
        <w:t>份、电子版U盘</w:t>
      </w:r>
      <w:r>
        <w:rPr>
          <w:rFonts w:hint="eastAsia" w:ascii="仿宋_GB2312" w:hAnsi="仿宋_GB2312" w:eastAsia="仿宋_GB2312" w:cs="仿宋_GB2312"/>
          <w:bCs/>
          <w:color w:val="auto"/>
          <w:sz w:val="22"/>
          <w:szCs w:val="22"/>
          <w:highlight w:val="none"/>
          <w:lang w:val="en-US" w:eastAsia="zh-CN"/>
        </w:rPr>
        <w:t>1</w:t>
      </w:r>
      <w:r>
        <w:rPr>
          <w:rFonts w:ascii="仿宋_GB2312" w:hAnsi="仿宋_GB2312" w:eastAsia="仿宋_GB2312" w:cs="仿宋_GB2312"/>
          <w:bCs/>
          <w:color w:val="auto"/>
          <w:sz w:val="22"/>
          <w:szCs w:val="22"/>
          <w:highlight w:val="none"/>
        </w:rPr>
        <w:t>份【</w:t>
      </w:r>
      <w:r>
        <w:rPr>
          <w:rFonts w:hint="eastAsia" w:ascii="仿宋_GB2312" w:hAnsi="仿宋_GB2312" w:eastAsia="仿宋_GB2312" w:cs="仿宋_GB2312"/>
          <w:bCs/>
          <w:color w:val="auto"/>
          <w:sz w:val="22"/>
          <w:szCs w:val="22"/>
          <w:highlight w:val="none"/>
        </w:rPr>
        <w:t>电子版必须为投标文件正本的彩色扫描件PDF版，且包含投标文件的全部内容</w:t>
      </w:r>
      <w:r>
        <w:rPr>
          <w:rFonts w:ascii="仿宋_GB2312" w:hAnsi="仿宋_GB2312" w:eastAsia="仿宋_GB2312" w:cs="仿宋_GB2312"/>
          <w:bCs/>
          <w:color w:val="auto"/>
          <w:sz w:val="22"/>
          <w:szCs w:val="22"/>
          <w:highlight w:val="none"/>
        </w:rPr>
        <w:t>】，每份投标文件须清楚地标明“正本”或“副本”。若正本和副本不符，以正本为准</w:t>
      </w:r>
      <w:r>
        <w:rPr>
          <w:rFonts w:hint="eastAsia" w:ascii="仿宋_GB2312" w:hAnsi="仿宋_GB2312" w:eastAsia="仿宋_GB2312" w:cs="仿宋_GB2312"/>
          <w:bCs/>
          <w:color w:val="auto"/>
          <w:sz w:val="22"/>
          <w:szCs w:val="22"/>
          <w:highlight w:val="none"/>
        </w:rPr>
        <w:t>，电子版与纸质文件不符，以纸质文件为准。</w:t>
      </w:r>
    </w:p>
    <w:p w14:paraId="20E2FABD">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4</w:t>
      </w:r>
      <w:r>
        <w:rPr>
          <w:rFonts w:ascii="仿宋_GB2312" w:hAnsi="仿宋_GB2312" w:eastAsia="仿宋_GB2312" w:cs="仿宋_GB2312"/>
          <w:bCs/>
          <w:color w:val="auto"/>
          <w:sz w:val="22"/>
          <w:szCs w:val="22"/>
          <w:highlight w:val="none"/>
        </w:rPr>
        <w:t>.2</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投标文件的正本需打印，由投标人的法定代表人或经其正式授权的代表在</w:t>
      </w:r>
      <w:r>
        <w:rPr>
          <w:rFonts w:hint="eastAsia" w:ascii="仿宋_GB2312" w:hAnsi="仿宋_GB2312" w:eastAsia="仿宋_GB2312" w:cs="仿宋_GB2312"/>
          <w:bCs/>
          <w:color w:val="auto"/>
          <w:sz w:val="22"/>
          <w:szCs w:val="22"/>
          <w:highlight w:val="none"/>
        </w:rPr>
        <w:t>投标</w:t>
      </w:r>
      <w:r>
        <w:rPr>
          <w:rFonts w:ascii="仿宋_GB2312" w:hAnsi="仿宋_GB2312" w:eastAsia="仿宋_GB2312" w:cs="仿宋_GB2312"/>
          <w:bCs/>
          <w:color w:val="auto"/>
          <w:sz w:val="22"/>
          <w:szCs w:val="22"/>
          <w:highlight w:val="none"/>
        </w:rPr>
        <w:t>文件规定处签字并加盖投标人公章。授权代表须持有书面的“法定代表人授权书”（格式见附件</w:t>
      </w:r>
      <w:r>
        <w:rPr>
          <w:rFonts w:hint="eastAsia" w:ascii="仿宋_GB2312" w:hAnsi="仿宋_GB2312" w:eastAsia="仿宋_GB2312" w:cs="仿宋_GB2312"/>
          <w:bCs/>
          <w:color w:val="auto"/>
          <w:sz w:val="22"/>
          <w:szCs w:val="22"/>
          <w:highlight w:val="none"/>
        </w:rPr>
        <w:t>3-2</w:t>
      </w:r>
      <w:r>
        <w:rPr>
          <w:rFonts w:ascii="仿宋_GB2312" w:hAnsi="仿宋_GB2312" w:eastAsia="仿宋_GB2312" w:cs="仿宋_GB2312"/>
          <w:bCs/>
          <w:color w:val="auto"/>
          <w:sz w:val="22"/>
          <w:szCs w:val="22"/>
          <w:highlight w:val="none"/>
        </w:rPr>
        <w:t>），并将其附在投标文件中。如对投标文件进行了修改，则应由投标人的法定代表人或经其正式授权的代表在修改的每一页上签字。投标文件的副本可采用正本的复印件。</w:t>
      </w:r>
    </w:p>
    <w:p w14:paraId="56955DF7">
      <w:pPr>
        <w:spacing w:line="360" w:lineRule="auto"/>
        <w:ind w:firstLine="440" w:firstLineChars="20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1</w:t>
      </w:r>
      <w:r>
        <w:rPr>
          <w:rFonts w:hint="eastAsia" w:ascii="仿宋_GB2312" w:hAnsi="仿宋_GB2312" w:eastAsia="仿宋_GB2312" w:cs="仿宋_GB2312"/>
          <w:bCs/>
          <w:color w:val="auto"/>
          <w:sz w:val="22"/>
          <w:szCs w:val="22"/>
          <w:highlight w:val="none"/>
        </w:rPr>
        <w:t>4</w:t>
      </w:r>
      <w:r>
        <w:rPr>
          <w:rFonts w:ascii="仿宋_GB2312" w:hAnsi="仿宋_GB2312" w:eastAsia="仿宋_GB2312" w:cs="仿宋_GB2312"/>
          <w:bCs/>
          <w:color w:val="auto"/>
          <w:sz w:val="22"/>
          <w:szCs w:val="22"/>
          <w:highlight w:val="none"/>
        </w:rPr>
        <w:t>.3</w:t>
      </w:r>
      <w:r>
        <w:rPr>
          <w:rFonts w:ascii="仿宋_GB2312" w:hAnsi="仿宋_GB2312" w:eastAsia="仿宋_GB2312" w:cs="仿宋_GB2312"/>
          <w:bCs/>
          <w:color w:val="auto"/>
          <w:sz w:val="22"/>
          <w:szCs w:val="22"/>
          <w:highlight w:val="none"/>
        </w:rPr>
        <w:tab/>
      </w:r>
      <w:r>
        <w:rPr>
          <w:rFonts w:ascii="仿宋_GB2312" w:hAnsi="仿宋_GB2312" w:eastAsia="仿宋_GB2312" w:cs="仿宋_GB2312"/>
          <w:bCs/>
          <w:color w:val="auto"/>
          <w:sz w:val="22"/>
          <w:szCs w:val="22"/>
          <w:highlight w:val="none"/>
        </w:rPr>
        <w:t>投标文件因字迹潦草或表达不清所引起的后果由投标人负责。</w:t>
      </w:r>
    </w:p>
    <w:p w14:paraId="4F49683E">
      <w:pPr>
        <w:bidi w:val="0"/>
        <w:rPr>
          <w:highlight w:val="none"/>
          <w:lang w:val="en-US" w:eastAsia="zh-CN"/>
        </w:rPr>
      </w:pPr>
    </w:p>
    <w:p w14:paraId="4A5C0D82">
      <w:pPr>
        <w:bidi w:val="0"/>
        <w:rPr>
          <w:highlight w:val="none"/>
          <w:lang w:val="en-US" w:eastAsia="zh-CN"/>
        </w:rPr>
      </w:pPr>
    </w:p>
    <w:p w14:paraId="4CCF94C6">
      <w:pPr>
        <w:bidi w:val="0"/>
        <w:rPr>
          <w:highlight w:val="none"/>
          <w:lang w:val="en-US" w:eastAsia="zh-CN"/>
        </w:rPr>
      </w:pPr>
      <w:r>
        <w:rPr>
          <w:highlight w:val="none"/>
          <w:lang w:val="en-US" w:eastAsia="zh-CN"/>
        </w:rPr>
        <w:br w:type="page"/>
      </w:r>
    </w:p>
    <w:p w14:paraId="14E2B771">
      <w:pPr>
        <w:spacing w:line="480" w:lineRule="auto"/>
        <w:jc w:val="center"/>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第四章 评标标准及评标方法</w:t>
      </w:r>
    </w:p>
    <w:p w14:paraId="3FF18C34">
      <w:pPr>
        <w:spacing w:line="360" w:lineRule="auto"/>
        <w:outlineLvl w:val="1"/>
        <w:rPr>
          <w:rFonts w:hint="eastAsia" w:ascii="仿宋_GB2312" w:hAnsi="仿宋_GB2312" w:eastAsia="仿宋_GB2312" w:cs="仿宋_GB2312"/>
          <w:b/>
          <w:color w:val="auto"/>
          <w:sz w:val="24"/>
          <w:szCs w:val="24"/>
          <w:highlight w:val="none"/>
        </w:rPr>
      </w:pPr>
      <w:r>
        <w:rPr>
          <w:rFonts w:ascii="仿宋_GB2312" w:hAnsi="仿宋_GB2312" w:eastAsia="仿宋_GB2312" w:cs="仿宋_GB2312"/>
          <w:b/>
          <w:color w:val="auto"/>
          <w:sz w:val="24"/>
          <w:szCs w:val="24"/>
          <w:highlight w:val="none"/>
        </w:rPr>
        <w:t>一、</w:t>
      </w:r>
      <w:r>
        <w:rPr>
          <w:rFonts w:ascii="仿宋_GB2312" w:hAnsi="仿宋_GB2312" w:eastAsia="仿宋_GB2312" w:cs="仿宋_GB2312"/>
          <w:b/>
          <w:color w:val="auto"/>
          <w:sz w:val="24"/>
          <w:szCs w:val="24"/>
          <w:highlight w:val="none"/>
        </w:rPr>
        <w:tab/>
      </w:r>
      <w:r>
        <w:rPr>
          <w:rFonts w:ascii="仿宋_GB2312" w:hAnsi="仿宋_GB2312" w:eastAsia="仿宋_GB2312" w:cs="仿宋_GB2312"/>
          <w:b/>
          <w:color w:val="auto"/>
          <w:sz w:val="24"/>
          <w:szCs w:val="24"/>
          <w:highlight w:val="none"/>
        </w:rPr>
        <w:t>评标原则与标准</w:t>
      </w:r>
    </w:p>
    <w:p w14:paraId="79DFC55A">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w:t>
      </w:r>
      <w:r>
        <w:rPr>
          <w:rFonts w:ascii="仿宋_GB2312" w:hAnsi="仿宋_GB2312" w:eastAsia="仿宋_GB2312" w:cs="仿宋_GB2312"/>
          <w:bCs/>
          <w:color w:val="auto"/>
          <w:sz w:val="24"/>
          <w:szCs w:val="24"/>
          <w:highlight w:val="none"/>
        </w:rPr>
        <w:t>为保证本次项目评标工作顺利进行，本着客观公正的原则，依据《中华人民共和国招标投标法》、《中华人民共和国招标投标法实施条例》及国家颁布的有关法律、法规、行业标准和规范，针对本项目自身实际情况，制定本项目的评标办法。</w:t>
      </w:r>
    </w:p>
    <w:p w14:paraId="41E00BE2">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w:t>
      </w:r>
      <w:r>
        <w:rPr>
          <w:rFonts w:ascii="仿宋_GB2312" w:hAnsi="仿宋_GB2312" w:eastAsia="仿宋_GB2312" w:cs="仿宋_GB2312"/>
          <w:bCs/>
          <w:color w:val="auto"/>
          <w:sz w:val="24"/>
          <w:szCs w:val="24"/>
          <w:highlight w:val="none"/>
        </w:rPr>
        <w:t>评标原则是指参与评标的所有成员在评标活动中应遵循的原则，即“公平、公正、科学、择优”的原则和评标保密的原则</w:t>
      </w:r>
      <w:r>
        <w:rPr>
          <w:rFonts w:hint="eastAsia" w:ascii="仿宋_GB2312" w:hAnsi="仿宋_GB2312" w:eastAsia="仿宋_GB2312" w:cs="仿宋_GB2312"/>
          <w:bCs/>
          <w:color w:val="auto"/>
          <w:sz w:val="24"/>
          <w:szCs w:val="24"/>
          <w:highlight w:val="none"/>
        </w:rPr>
        <w:t>，任何单位和个人不得干预或者影响评标过程和结果。</w:t>
      </w:r>
    </w:p>
    <w:p w14:paraId="4E585018">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w:t>
      </w:r>
      <w:r>
        <w:rPr>
          <w:rFonts w:ascii="仿宋_GB2312" w:hAnsi="仿宋_GB2312" w:eastAsia="仿宋_GB2312" w:cs="仿宋_GB2312"/>
          <w:bCs/>
          <w:color w:val="auto"/>
          <w:sz w:val="24"/>
          <w:szCs w:val="24"/>
          <w:highlight w:val="none"/>
        </w:rPr>
        <w:t>评标标准是指招标文件中所规定的各项标准。评标委员会对各投标人就其投标文件对招标文件提出的实质性要求和条件作出的响应进行综合评标。</w:t>
      </w:r>
    </w:p>
    <w:p w14:paraId="4975EE98">
      <w:pPr>
        <w:spacing w:line="360" w:lineRule="auto"/>
        <w:outlineLvl w:val="1"/>
        <w:rPr>
          <w:rFonts w:hint="eastAsia" w:ascii="仿宋_GB2312" w:hAnsi="仿宋_GB2312" w:eastAsia="仿宋_GB2312" w:cs="仿宋_GB2312"/>
          <w:b/>
          <w:color w:val="auto"/>
          <w:sz w:val="24"/>
          <w:szCs w:val="24"/>
          <w:highlight w:val="none"/>
        </w:rPr>
      </w:pPr>
      <w:r>
        <w:rPr>
          <w:rFonts w:ascii="仿宋_GB2312" w:hAnsi="仿宋_GB2312" w:eastAsia="仿宋_GB2312" w:cs="仿宋_GB2312"/>
          <w:b/>
          <w:color w:val="auto"/>
          <w:sz w:val="24"/>
          <w:szCs w:val="24"/>
          <w:highlight w:val="none"/>
        </w:rPr>
        <w:t>二、</w:t>
      </w:r>
      <w:r>
        <w:rPr>
          <w:rFonts w:ascii="仿宋_GB2312" w:hAnsi="仿宋_GB2312" w:eastAsia="仿宋_GB2312" w:cs="仿宋_GB2312"/>
          <w:b/>
          <w:color w:val="auto"/>
          <w:sz w:val="24"/>
          <w:szCs w:val="24"/>
          <w:highlight w:val="none"/>
        </w:rPr>
        <w:tab/>
      </w:r>
      <w:r>
        <w:rPr>
          <w:rFonts w:ascii="仿宋_GB2312" w:hAnsi="仿宋_GB2312" w:eastAsia="仿宋_GB2312" w:cs="仿宋_GB2312"/>
          <w:b/>
          <w:color w:val="auto"/>
          <w:sz w:val="24"/>
          <w:szCs w:val="24"/>
          <w:highlight w:val="none"/>
        </w:rPr>
        <w:t>评标委员会</w:t>
      </w:r>
    </w:p>
    <w:p w14:paraId="21F3A135">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评标由招标采购单位依法组建的评标委员会负责，评标委员会由招标人代表和从评标专家库内随机抽取的有关该项目专业方面的专家组成，成员人数为5人或5人以上单数，投标人有利害关系的专家不能担任评委，评标委员会组长由评委选举产生</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eastAsia="仿宋_GB2312" w:cs="仿宋_GB2312"/>
          <w:bCs/>
          <w:color w:val="auto"/>
          <w:sz w:val="24"/>
          <w:szCs w:val="24"/>
          <w:highlight w:val="none"/>
          <w:lang w:val="en-US" w:eastAsia="zh-CN"/>
        </w:rPr>
        <w:t>招标人代表不得担任组长。</w:t>
      </w:r>
    </w:p>
    <w:p w14:paraId="22247E71">
      <w:pPr>
        <w:spacing w:line="360" w:lineRule="auto"/>
        <w:outlineLvl w:val="1"/>
        <w:rPr>
          <w:rFonts w:hint="eastAsia" w:ascii="仿宋_GB2312" w:hAnsi="仿宋_GB2312" w:eastAsia="仿宋_GB2312" w:cs="仿宋_GB2312"/>
          <w:b/>
          <w:color w:val="auto"/>
          <w:sz w:val="24"/>
          <w:szCs w:val="24"/>
          <w:highlight w:val="none"/>
        </w:rPr>
      </w:pPr>
      <w:r>
        <w:rPr>
          <w:rFonts w:ascii="仿宋_GB2312" w:hAnsi="仿宋_GB2312" w:eastAsia="仿宋_GB2312" w:cs="仿宋_GB2312"/>
          <w:b/>
          <w:color w:val="auto"/>
          <w:sz w:val="24"/>
          <w:szCs w:val="24"/>
          <w:highlight w:val="none"/>
        </w:rPr>
        <w:t>三、</w:t>
      </w:r>
      <w:r>
        <w:rPr>
          <w:rFonts w:ascii="仿宋_GB2312" w:hAnsi="仿宋_GB2312" w:eastAsia="仿宋_GB2312" w:cs="仿宋_GB2312"/>
          <w:b/>
          <w:color w:val="auto"/>
          <w:sz w:val="24"/>
          <w:szCs w:val="24"/>
          <w:highlight w:val="none"/>
        </w:rPr>
        <w:tab/>
      </w:r>
      <w:r>
        <w:rPr>
          <w:rFonts w:ascii="仿宋_GB2312" w:hAnsi="仿宋_GB2312" w:eastAsia="仿宋_GB2312" w:cs="仿宋_GB2312"/>
          <w:b/>
          <w:color w:val="auto"/>
          <w:sz w:val="24"/>
          <w:szCs w:val="24"/>
          <w:highlight w:val="none"/>
        </w:rPr>
        <w:t>评标方法</w:t>
      </w:r>
    </w:p>
    <w:p w14:paraId="4A13F0A2">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w:t>
      </w:r>
      <w:r>
        <w:rPr>
          <w:rFonts w:ascii="仿宋_GB2312" w:hAnsi="仿宋_GB2312" w:eastAsia="仿宋_GB2312" w:cs="仿宋_GB2312"/>
          <w:bCs/>
          <w:color w:val="auto"/>
          <w:sz w:val="24"/>
          <w:szCs w:val="24"/>
          <w:highlight w:val="none"/>
        </w:rPr>
        <w:t>本次评标分为初审和终审两阶段审查。初审内容详见符合性、完整性审查（表一）, 初审任一项不满足招标文件要求的，将导致投标被否决。通过初审的投标人进入终审评审。</w:t>
      </w:r>
    </w:p>
    <w:p w14:paraId="067EB842">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w:t>
      </w:r>
      <w:r>
        <w:rPr>
          <w:rFonts w:ascii="仿宋_GB2312" w:hAnsi="仿宋_GB2312" w:eastAsia="仿宋_GB2312" w:cs="仿宋_GB2312"/>
          <w:bCs/>
          <w:color w:val="auto"/>
          <w:sz w:val="24"/>
          <w:szCs w:val="24"/>
          <w:highlight w:val="none"/>
        </w:rPr>
        <w:t>通过符合性、完整性审查的投标人不足三家时，评标委员会可做废标处理，通过符合性、完整性审查的投标人只有一家时，本项目做废标处理。</w:t>
      </w:r>
    </w:p>
    <w:p w14:paraId="37C659A9">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7.</w:t>
      </w:r>
      <w:r>
        <w:rPr>
          <w:rFonts w:ascii="仿宋_GB2312" w:hAnsi="仿宋_GB2312" w:eastAsia="仿宋_GB2312" w:cs="仿宋_GB2312"/>
          <w:bCs/>
          <w:color w:val="auto"/>
          <w:sz w:val="24"/>
          <w:szCs w:val="24"/>
          <w:highlight w:val="none"/>
        </w:rPr>
        <w:t>终审评审采用百分制综合评分法（满分100分），分别从商务</w:t>
      </w:r>
      <w:r>
        <w:rPr>
          <w:rFonts w:hint="eastAsia" w:ascii="仿宋_GB2312" w:hAnsi="仿宋_GB2312" w:eastAsia="仿宋_GB2312" w:cs="仿宋_GB2312"/>
          <w:bCs/>
          <w:color w:val="auto"/>
          <w:sz w:val="24"/>
          <w:szCs w:val="24"/>
          <w:highlight w:val="none"/>
        </w:rPr>
        <w:t>部分</w:t>
      </w:r>
      <w:r>
        <w:rPr>
          <w:rFonts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szCs w:val="24"/>
          <w:highlight w:val="none"/>
        </w:rPr>
        <w:t>技术或</w:t>
      </w:r>
      <w:r>
        <w:rPr>
          <w:rFonts w:ascii="仿宋_GB2312" w:hAnsi="仿宋_GB2312" w:eastAsia="仿宋_GB2312" w:cs="仿宋_GB2312"/>
          <w:bCs/>
          <w:color w:val="auto"/>
          <w:sz w:val="24"/>
          <w:szCs w:val="24"/>
          <w:highlight w:val="none"/>
        </w:rPr>
        <w:t>服务</w:t>
      </w:r>
      <w:r>
        <w:rPr>
          <w:rFonts w:hint="eastAsia" w:ascii="仿宋_GB2312" w:hAnsi="仿宋_GB2312" w:eastAsia="仿宋_GB2312" w:cs="仿宋_GB2312"/>
          <w:bCs/>
          <w:color w:val="auto"/>
          <w:sz w:val="24"/>
          <w:szCs w:val="24"/>
          <w:highlight w:val="none"/>
        </w:rPr>
        <w:t>部分</w:t>
      </w:r>
      <w:r>
        <w:rPr>
          <w:rFonts w:ascii="仿宋_GB2312" w:hAnsi="仿宋_GB2312" w:eastAsia="仿宋_GB2312" w:cs="仿宋_GB2312"/>
          <w:bCs/>
          <w:color w:val="auto"/>
          <w:sz w:val="24"/>
          <w:szCs w:val="24"/>
          <w:highlight w:val="none"/>
        </w:rPr>
        <w:t>和报价</w:t>
      </w:r>
      <w:r>
        <w:rPr>
          <w:rFonts w:hint="eastAsia" w:ascii="仿宋_GB2312" w:hAnsi="仿宋_GB2312" w:eastAsia="仿宋_GB2312" w:cs="仿宋_GB2312"/>
          <w:bCs/>
          <w:color w:val="auto"/>
          <w:sz w:val="24"/>
          <w:szCs w:val="24"/>
          <w:highlight w:val="none"/>
        </w:rPr>
        <w:t>部分</w:t>
      </w:r>
      <w:r>
        <w:rPr>
          <w:rFonts w:ascii="仿宋_GB2312" w:hAnsi="仿宋_GB2312" w:eastAsia="仿宋_GB2312" w:cs="仿宋_GB2312"/>
          <w:bCs/>
          <w:color w:val="auto"/>
          <w:sz w:val="24"/>
          <w:szCs w:val="24"/>
          <w:highlight w:val="none"/>
        </w:rPr>
        <w:t>三方面进行综合评审。</w:t>
      </w:r>
    </w:p>
    <w:p w14:paraId="3C61966C">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8.</w:t>
      </w:r>
      <w:r>
        <w:rPr>
          <w:rFonts w:ascii="仿宋_GB2312" w:hAnsi="仿宋_GB2312" w:eastAsia="仿宋_GB2312" w:cs="仿宋_GB2312"/>
          <w:bCs/>
          <w:color w:val="auto"/>
          <w:sz w:val="24"/>
          <w:szCs w:val="24"/>
          <w:highlight w:val="none"/>
        </w:rPr>
        <w:t>评委应对所有有效投标人按上述评分方法逐项进行评分，各投标人的得分为所有评委的算术平均值；</w:t>
      </w:r>
    </w:p>
    <w:p w14:paraId="0BFB58DA">
      <w:pPr>
        <w:spacing w:line="360" w:lineRule="auto"/>
        <w:ind w:firstLine="480" w:firstLineChars="200"/>
        <w:outlineLvl w:val="2"/>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9.</w:t>
      </w:r>
      <w:r>
        <w:rPr>
          <w:rFonts w:ascii="仿宋_GB2312" w:hAnsi="仿宋_GB2312" w:eastAsia="仿宋_GB2312" w:cs="仿宋_GB2312"/>
          <w:bCs/>
          <w:color w:val="auto"/>
          <w:sz w:val="24"/>
          <w:szCs w:val="24"/>
          <w:highlight w:val="none"/>
        </w:rPr>
        <w:t>投标报价的修正</w:t>
      </w:r>
    </w:p>
    <w:p w14:paraId="40851D08">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9.1</w:t>
      </w:r>
      <w:r>
        <w:rPr>
          <w:rFonts w:ascii="仿宋_GB2312" w:hAnsi="仿宋_GB2312" w:eastAsia="仿宋_GB2312" w:cs="仿宋_GB2312"/>
          <w:bCs/>
          <w:color w:val="auto"/>
          <w:sz w:val="24"/>
          <w:szCs w:val="24"/>
          <w:highlight w:val="none"/>
        </w:rPr>
        <w:t>评标委员会将投标文件中的投标报价明细表中的各项价格和费率进行校核，以便发现其是否有计算或累计上的算术错误、错漏项等。</w:t>
      </w:r>
    </w:p>
    <w:p w14:paraId="3A674029">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9.2</w:t>
      </w:r>
      <w:r>
        <w:rPr>
          <w:rFonts w:ascii="仿宋_GB2312" w:hAnsi="仿宋_GB2312" w:eastAsia="仿宋_GB2312" w:cs="仿宋_GB2312"/>
          <w:bCs/>
          <w:color w:val="auto"/>
          <w:sz w:val="24"/>
          <w:szCs w:val="24"/>
          <w:highlight w:val="none"/>
        </w:rPr>
        <w:t>如果用数字表示的数额与用文字表示的数额不一致时，以文字表示的数额为准；</w:t>
      </w:r>
    </w:p>
    <w:p w14:paraId="10105E94">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9.3</w:t>
      </w:r>
      <w:r>
        <w:rPr>
          <w:rFonts w:ascii="仿宋_GB2312" w:hAnsi="仿宋_GB2312" w:eastAsia="仿宋_GB2312" w:cs="仿宋_GB2312"/>
          <w:bCs/>
          <w:color w:val="auto"/>
          <w:sz w:val="24"/>
          <w:szCs w:val="24"/>
          <w:highlight w:val="none"/>
        </w:rPr>
        <w:t>经评标委员会以质疑方式要求投标人澄清的其投标价格中的错、漏项，评标委员会将结合质疑和澄清的结果，在价格调整中予以必要的考虑。</w:t>
      </w:r>
    </w:p>
    <w:p w14:paraId="5A15CC7B">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9.4</w:t>
      </w:r>
      <w:r>
        <w:rPr>
          <w:rFonts w:ascii="仿宋_GB2312" w:hAnsi="仿宋_GB2312" w:eastAsia="仿宋_GB2312" w:cs="仿宋_GB2312"/>
          <w:bCs/>
          <w:color w:val="auto"/>
          <w:sz w:val="24"/>
          <w:szCs w:val="24"/>
          <w:highlight w:val="none"/>
        </w:rPr>
        <w:t>评标委员会在修正错误时有权要求有关投标人对其投标中出现的算术问题做出解释和澄清。</w:t>
      </w:r>
    </w:p>
    <w:p w14:paraId="117438AA">
      <w:pPr>
        <w:spacing w:line="360" w:lineRule="auto"/>
        <w:ind w:firstLine="480" w:firstLineChars="200"/>
        <w:outlineLvl w:val="2"/>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10.</w:t>
      </w:r>
      <w:r>
        <w:rPr>
          <w:rFonts w:ascii="仿宋_GB2312" w:hAnsi="仿宋_GB2312" w:eastAsia="仿宋_GB2312" w:cs="仿宋_GB2312"/>
          <w:bCs/>
          <w:color w:val="auto"/>
          <w:sz w:val="24"/>
          <w:szCs w:val="24"/>
          <w:highlight w:val="none"/>
        </w:rPr>
        <w:t>投标文件的澄清</w:t>
      </w:r>
    </w:p>
    <w:p w14:paraId="725D0E27">
      <w:pPr>
        <w:spacing w:line="360" w:lineRule="auto"/>
        <w:ind w:firstLine="480" w:firstLineChars="20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在评标期间，评标委员会可要求投标人对其投标文件进行澄清，但不得寻求、提供或允许对投标价格等实质性内容做任何更改。有关澄清的要求和答复均应以书面形式提交，澄清的内容应由投标人的法定代表人或法定代表人授权代表签字确认，并作为投标文件的组成部分具有同等的法律效力。</w:t>
      </w:r>
    </w:p>
    <w:p w14:paraId="107B4375">
      <w:pPr>
        <w:spacing w:line="360" w:lineRule="auto"/>
        <w:ind w:firstLine="480" w:firstLineChars="200"/>
        <w:outlineLvl w:val="2"/>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11.</w:t>
      </w:r>
      <w:r>
        <w:rPr>
          <w:rFonts w:ascii="仿宋_GB2312" w:hAnsi="仿宋_GB2312" w:eastAsia="仿宋_GB2312" w:cs="仿宋_GB2312"/>
          <w:bCs/>
          <w:color w:val="auto"/>
          <w:sz w:val="24"/>
          <w:szCs w:val="24"/>
          <w:highlight w:val="none"/>
        </w:rPr>
        <w:t>授标建议</w:t>
      </w:r>
    </w:p>
    <w:p w14:paraId="4C00E88D">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11.1</w:t>
      </w:r>
      <w:r>
        <w:rPr>
          <w:rFonts w:ascii="仿宋_GB2312" w:hAnsi="仿宋_GB2312" w:eastAsia="仿宋_GB2312" w:cs="仿宋_GB2312"/>
          <w:bCs/>
          <w:color w:val="auto"/>
          <w:sz w:val="24"/>
          <w:szCs w:val="24"/>
          <w:highlight w:val="none"/>
        </w:rPr>
        <w:t>按综合得分高低排序，排名第一的投标人为第一中标候选人，排名第二的投标人为第二中标候选人，排名第三的投标人为第三中标候选人；</w:t>
      </w:r>
    </w:p>
    <w:p w14:paraId="02FCFC3C">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11.2</w:t>
      </w:r>
      <w:r>
        <w:rPr>
          <w:rFonts w:ascii="仿宋_GB2312" w:hAnsi="仿宋_GB2312" w:eastAsia="仿宋_GB2312" w:cs="仿宋_GB2312"/>
          <w:bCs/>
          <w:color w:val="auto"/>
          <w:sz w:val="24"/>
          <w:szCs w:val="24"/>
          <w:highlight w:val="none"/>
        </w:rPr>
        <w:t>如果中标人放弃中标资格时，按综合得分由高到低依次递补。</w:t>
      </w:r>
    </w:p>
    <w:p w14:paraId="3554B77E">
      <w:pPr>
        <w:spacing w:line="360" w:lineRule="auto"/>
        <w:ind w:firstLine="480" w:firstLineChars="200"/>
        <w:outlineLvl w:val="2"/>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12.</w:t>
      </w:r>
      <w:r>
        <w:rPr>
          <w:rFonts w:ascii="仿宋_GB2312" w:hAnsi="仿宋_GB2312" w:eastAsia="仿宋_GB2312" w:cs="仿宋_GB2312"/>
          <w:bCs/>
          <w:color w:val="auto"/>
          <w:sz w:val="24"/>
          <w:szCs w:val="24"/>
          <w:highlight w:val="none"/>
        </w:rPr>
        <w:t>确定中标人</w:t>
      </w:r>
    </w:p>
    <w:p w14:paraId="7FC26C8C">
      <w:pPr>
        <w:spacing w:line="360" w:lineRule="auto"/>
        <w:ind w:firstLine="480" w:firstLineChars="20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评标结果经上网公示期满、无</w:t>
      </w:r>
      <w:r>
        <w:rPr>
          <w:rFonts w:hint="eastAsia" w:ascii="仿宋_GB2312" w:hAnsi="仿宋_GB2312" w:eastAsia="仿宋_GB2312" w:cs="仿宋_GB2312"/>
          <w:bCs/>
          <w:color w:val="auto"/>
          <w:sz w:val="24"/>
          <w:szCs w:val="24"/>
          <w:highlight w:val="none"/>
        </w:rPr>
        <w:t>异议</w:t>
      </w:r>
      <w:r>
        <w:rPr>
          <w:rFonts w:ascii="仿宋_GB2312" w:hAnsi="仿宋_GB2312" w:eastAsia="仿宋_GB2312" w:cs="仿宋_GB2312"/>
          <w:bCs/>
          <w:color w:val="auto"/>
          <w:sz w:val="24"/>
          <w:szCs w:val="24"/>
          <w:highlight w:val="none"/>
        </w:rPr>
        <w:t>、评标报告经招标人确认后由招标代理机构向中标人发出中标通知书。</w:t>
      </w:r>
    </w:p>
    <w:p w14:paraId="4151BE62">
      <w:pPr>
        <w:spacing w:line="360" w:lineRule="auto"/>
        <w:rPr>
          <w:rFonts w:hint="eastAsia" w:ascii="仿宋_GB2312" w:hAnsi="仿宋_GB2312" w:eastAsia="仿宋_GB2312" w:cs="仿宋_GB2312"/>
          <w:bCs/>
          <w:color w:val="auto"/>
          <w:sz w:val="24"/>
          <w:szCs w:val="24"/>
          <w:highlight w:val="none"/>
        </w:rPr>
        <w:sectPr>
          <w:pgSz w:w="11907" w:h="16840"/>
          <w:pgMar w:top="1440" w:right="1797" w:bottom="1440" w:left="1797" w:header="851" w:footer="851" w:gutter="0"/>
          <w:cols w:space="720" w:num="1"/>
          <w:titlePg/>
          <w:docGrid w:linePitch="462" w:charSpace="0"/>
        </w:sectPr>
      </w:pPr>
    </w:p>
    <w:p w14:paraId="4A0AB761">
      <w:pPr>
        <w:tabs>
          <w:tab w:val="left" w:pos="1117"/>
        </w:tabs>
        <w:spacing w:line="240" w:lineRule="auto"/>
        <w:jc w:val="center"/>
        <w:rPr>
          <w:rFonts w:hint="eastAsia" w:ascii="仿宋_GB2312" w:hAnsi="仿宋_GB2312" w:eastAsia="仿宋_GB2312" w:cs="仿宋_GB2312"/>
          <w:b/>
          <w:color w:val="auto"/>
          <w:sz w:val="28"/>
          <w:szCs w:val="28"/>
          <w:highlight w:val="none"/>
        </w:rPr>
      </w:pPr>
      <w:r>
        <w:rPr>
          <w:rFonts w:ascii="仿宋_GB2312" w:hAnsi="仿宋_GB2312" w:eastAsia="仿宋_GB2312" w:cs="仿宋_GB2312"/>
          <w:b/>
          <w:color w:val="auto"/>
          <w:sz w:val="28"/>
          <w:szCs w:val="28"/>
          <w:highlight w:val="none"/>
        </w:rPr>
        <w:t>符合性、完整性审查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6583"/>
        <w:gridCol w:w="1114"/>
      </w:tblGrid>
      <w:tr w14:paraId="6158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5" w:type="dxa"/>
            <w:vAlign w:val="center"/>
          </w:tcPr>
          <w:p w14:paraId="7B765B06">
            <w:pPr>
              <w:tabs>
                <w:tab w:val="left" w:pos="1117"/>
              </w:tabs>
              <w:jc w:val="center"/>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序号</w:t>
            </w:r>
          </w:p>
        </w:tc>
        <w:tc>
          <w:tcPr>
            <w:tcW w:w="6583" w:type="dxa"/>
            <w:vAlign w:val="center"/>
          </w:tcPr>
          <w:p w14:paraId="5D77BD20">
            <w:pPr>
              <w:tabs>
                <w:tab w:val="left" w:pos="1117"/>
              </w:tabs>
              <w:jc w:val="center"/>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评审内容</w:t>
            </w:r>
          </w:p>
        </w:tc>
        <w:tc>
          <w:tcPr>
            <w:tcW w:w="1114" w:type="dxa"/>
            <w:vAlign w:val="center"/>
          </w:tcPr>
          <w:p w14:paraId="5E72723E">
            <w:pPr>
              <w:tabs>
                <w:tab w:val="left" w:pos="1117"/>
              </w:tabs>
              <w:jc w:val="center"/>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
                <w:color w:val="auto"/>
                <w:sz w:val="22"/>
                <w:szCs w:val="22"/>
                <w:highlight w:val="none"/>
              </w:rPr>
              <w:t>审查情况</w:t>
            </w:r>
          </w:p>
        </w:tc>
      </w:tr>
      <w:tr w14:paraId="088E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7DFCFA56">
            <w:pPr>
              <w:tabs>
                <w:tab w:val="left" w:pos="1117"/>
              </w:tabs>
              <w:snapToGrid w:val="0"/>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w:t>
            </w:r>
          </w:p>
        </w:tc>
        <w:tc>
          <w:tcPr>
            <w:tcW w:w="6583" w:type="dxa"/>
          </w:tcPr>
          <w:p w14:paraId="5453B40B">
            <w:pPr>
              <w:tabs>
                <w:tab w:val="left" w:pos="1117"/>
              </w:tabs>
              <w:snapToGrid w:val="0"/>
              <w:spacing w:line="240" w:lineRule="atLeast"/>
              <w:rPr>
                <w:rFonts w:hint="eastAsia" w:ascii="仿宋_GB2312" w:hAnsi="仿宋_GB2312" w:eastAsia="仿宋_GB2312" w:cs="仿宋_GB2312"/>
                <w:b w:val="0"/>
                <w:color w:val="auto"/>
                <w:sz w:val="22"/>
                <w:szCs w:val="22"/>
                <w:highlight w:val="none"/>
              </w:rPr>
            </w:pPr>
            <w:r>
              <w:rPr>
                <w:rFonts w:hint="eastAsia" w:ascii="仿宋_GB2312" w:hAnsi="仿宋_GB2312" w:eastAsia="仿宋_GB2312" w:cs="仿宋_GB2312"/>
                <w:bCs w:val="0"/>
                <w:color w:val="auto"/>
                <w:sz w:val="22"/>
                <w:szCs w:val="22"/>
                <w:highlight w:val="none"/>
              </w:rPr>
              <w:t>投标人须为在中华人民共和国境内注册的独立法人单位或其他组织，具备在其合法的业务范围内履行民事责任的能力（提供营业执照复印件或其他证明文件,并加盖单位公章）</w:t>
            </w:r>
          </w:p>
        </w:tc>
        <w:tc>
          <w:tcPr>
            <w:tcW w:w="1114" w:type="dxa"/>
          </w:tcPr>
          <w:p w14:paraId="765605EC">
            <w:pPr>
              <w:tabs>
                <w:tab w:val="left" w:pos="1117"/>
              </w:tabs>
              <w:snapToGrid w:val="0"/>
              <w:rPr>
                <w:rFonts w:hint="eastAsia" w:ascii="仿宋_GB2312" w:hAnsi="仿宋_GB2312" w:eastAsia="仿宋_GB2312" w:cs="仿宋_GB2312"/>
                <w:b/>
                <w:color w:val="auto"/>
                <w:sz w:val="22"/>
                <w:szCs w:val="22"/>
                <w:highlight w:val="none"/>
              </w:rPr>
            </w:pPr>
          </w:p>
        </w:tc>
      </w:tr>
      <w:tr w14:paraId="255A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4DA9480F">
            <w:pPr>
              <w:tabs>
                <w:tab w:val="left" w:pos="1117"/>
              </w:tabs>
              <w:snapToGrid w:val="0"/>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2</w:t>
            </w:r>
          </w:p>
        </w:tc>
        <w:tc>
          <w:tcPr>
            <w:tcW w:w="6583" w:type="dxa"/>
          </w:tcPr>
          <w:p w14:paraId="147E3B28">
            <w:pPr>
              <w:tabs>
                <w:tab w:val="left" w:pos="1117"/>
              </w:tabs>
              <w:snapToGrid w:val="0"/>
              <w:rPr>
                <w:rFonts w:hint="eastAsia" w:ascii="仿宋_GB2312" w:hAnsi="仿宋_GB2312" w:eastAsia="仿宋_GB2312" w:cs="仿宋_GB2312"/>
                <w:b w:val="0"/>
                <w:color w:val="auto"/>
                <w:sz w:val="22"/>
                <w:szCs w:val="22"/>
                <w:highlight w:val="none"/>
              </w:rPr>
            </w:pPr>
            <w:r>
              <w:rPr>
                <w:rFonts w:ascii="仿宋_GB2312" w:hAnsi="仿宋_GB2312" w:eastAsia="仿宋_GB2312" w:cs="仿宋_GB2312"/>
                <w:b w:val="0"/>
                <w:color w:val="auto"/>
                <w:sz w:val="22"/>
                <w:szCs w:val="22"/>
                <w:highlight w:val="none"/>
              </w:rPr>
              <w:t>投标人应提供2023年度(本项目投标截止日前一年)经会计事务所审计的完整年度审计报告(复印件加盖投标人公章)或投标截止日前三个月内银行开具的资信证明原件或复印件(复印件加盖投标人公章)</w:t>
            </w:r>
          </w:p>
        </w:tc>
        <w:tc>
          <w:tcPr>
            <w:tcW w:w="1114" w:type="dxa"/>
          </w:tcPr>
          <w:p w14:paraId="40281C2B">
            <w:pPr>
              <w:tabs>
                <w:tab w:val="left" w:pos="1117"/>
              </w:tabs>
              <w:snapToGrid w:val="0"/>
              <w:rPr>
                <w:rFonts w:hint="eastAsia" w:ascii="仿宋_GB2312" w:hAnsi="仿宋_GB2312" w:eastAsia="仿宋_GB2312" w:cs="仿宋_GB2312"/>
                <w:b/>
                <w:color w:val="auto"/>
                <w:sz w:val="22"/>
                <w:szCs w:val="22"/>
                <w:highlight w:val="none"/>
              </w:rPr>
            </w:pPr>
          </w:p>
        </w:tc>
      </w:tr>
      <w:tr w14:paraId="3F6D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288201A5">
            <w:pPr>
              <w:tabs>
                <w:tab w:val="left" w:pos="1117"/>
              </w:tabs>
              <w:snapToGrid w:val="0"/>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3</w:t>
            </w:r>
          </w:p>
        </w:tc>
        <w:tc>
          <w:tcPr>
            <w:tcW w:w="6583" w:type="dxa"/>
          </w:tcPr>
          <w:p w14:paraId="4D291F5F">
            <w:pPr>
              <w:tabs>
                <w:tab w:val="left" w:pos="1117"/>
              </w:tabs>
              <w:snapToGrid w:val="0"/>
              <w:rPr>
                <w:rFonts w:hint="eastAsia" w:ascii="仿宋_GB2312" w:hAnsi="仿宋_GB2312" w:eastAsia="仿宋_GB2312" w:cs="仿宋_GB2312"/>
                <w:b w:val="0"/>
                <w:color w:val="auto"/>
                <w:sz w:val="22"/>
                <w:szCs w:val="22"/>
                <w:highlight w:val="none"/>
              </w:rPr>
            </w:pPr>
            <w:r>
              <w:rPr>
                <w:rFonts w:ascii="仿宋_GB2312" w:hAnsi="仿宋_GB2312" w:eastAsia="仿宋_GB2312" w:cs="仿宋_GB2312"/>
                <w:b w:val="0"/>
                <w:color w:val="auto"/>
                <w:sz w:val="22"/>
                <w:szCs w:val="22"/>
                <w:highlight w:val="none"/>
              </w:rPr>
              <w:t>投标人应提供税款所属时间为2023年12月至2024年11月(起止时间应为本项目投标截止日的前一年至投标截止日)期间任意连续三个月的相关机构出具的企业完税证明(企业代缴的个人所得税除外，如在其中某月无经营业务则应提供税务部门出具的相关证明）及社会保障资金缴纳记录（复印件加盖投标人公章）</w:t>
            </w:r>
          </w:p>
        </w:tc>
        <w:tc>
          <w:tcPr>
            <w:tcW w:w="1114" w:type="dxa"/>
          </w:tcPr>
          <w:p w14:paraId="7C60E86C">
            <w:pPr>
              <w:tabs>
                <w:tab w:val="left" w:pos="1117"/>
              </w:tabs>
              <w:snapToGrid w:val="0"/>
              <w:rPr>
                <w:rFonts w:hint="eastAsia" w:ascii="仿宋_GB2312" w:hAnsi="仿宋_GB2312" w:eastAsia="仿宋_GB2312" w:cs="仿宋_GB2312"/>
                <w:b/>
                <w:color w:val="auto"/>
                <w:sz w:val="22"/>
                <w:szCs w:val="22"/>
                <w:highlight w:val="none"/>
              </w:rPr>
            </w:pPr>
          </w:p>
        </w:tc>
      </w:tr>
      <w:tr w14:paraId="57C2A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021A37FD">
            <w:pPr>
              <w:tabs>
                <w:tab w:val="left" w:pos="1117"/>
              </w:tabs>
              <w:snapToGrid w:val="0"/>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4</w:t>
            </w:r>
          </w:p>
        </w:tc>
        <w:tc>
          <w:tcPr>
            <w:tcW w:w="6583" w:type="dxa"/>
          </w:tcPr>
          <w:p w14:paraId="0B5FCD07">
            <w:pPr>
              <w:tabs>
                <w:tab w:val="left" w:pos="1117"/>
              </w:tabs>
              <w:snapToGrid w:val="0"/>
              <w:rPr>
                <w:rFonts w:hint="eastAsia" w:ascii="仿宋_GB2312" w:hAnsi="仿宋_GB2312" w:eastAsia="仿宋_GB2312" w:cs="仿宋_GB2312"/>
                <w:b w:val="0"/>
                <w:color w:val="auto"/>
                <w:sz w:val="22"/>
                <w:szCs w:val="22"/>
                <w:highlight w:val="none"/>
              </w:rPr>
            </w:pPr>
            <w:r>
              <w:rPr>
                <w:rFonts w:hint="eastAsia" w:ascii="仿宋_GB2312" w:hAnsi="仿宋_GB2312" w:eastAsia="仿宋_GB2312" w:cs="仿宋_GB2312"/>
                <w:bCs w:val="0"/>
                <w:color w:val="auto"/>
                <w:sz w:val="22"/>
                <w:szCs w:val="22"/>
                <w:highlight w:val="none"/>
              </w:rPr>
              <w:t>业绩要求：投标人自202</w:t>
            </w:r>
            <w:r>
              <w:rPr>
                <w:rFonts w:hint="eastAsia" w:ascii="仿宋_GB2312" w:hAnsi="仿宋_GB2312" w:eastAsia="仿宋_GB2312" w:cs="仿宋_GB2312"/>
                <w:bCs w:val="0"/>
                <w:color w:val="auto"/>
                <w:sz w:val="22"/>
                <w:szCs w:val="22"/>
                <w:highlight w:val="none"/>
                <w:lang w:val="en-US" w:eastAsia="zh-CN"/>
              </w:rPr>
              <w:t>2</w:t>
            </w:r>
            <w:r>
              <w:rPr>
                <w:rFonts w:hint="eastAsia" w:ascii="仿宋_GB2312" w:hAnsi="仿宋_GB2312" w:eastAsia="仿宋_GB2312" w:cs="仿宋_GB2312"/>
                <w:bCs w:val="0"/>
                <w:color w:val="auto"/>
                <w:sz w:val="22"/>
                <w:szCs w:val="22"/>
                <w:highlight w:val="none"/>
              </w:rPr>
              <w:t>年1月1日至投标截止日期间，具备1个合同金额在</w:t>
            </w:r>
            <w:r>
              <w:rPr>
                <w:rFonts w:hint="eastAsia" w:ascii="仿宋_GB2312" w:hAnsi="仿宋_GB2312" w:eastAsia="仿宋_GB2312" w:cs="仿宋_GB2312"/>
                <w:bCs w:val="0"/>
                <w:color w:val="auto"/>
                <w:sz w:val="22"/>
                <w:szCs w:val="22"/>
                <w:highlight w:val="none"/>
                <w:lang w:val="en-US" w:eastAsia="zh-CN"/>
              </w:rPr>
              <w:t>190万</w:t>
            </w:r>
            <w:r>
              <w:rPr>
                <w:rFonts w:hint="eastAsia" w:ascii="仿宋_GB2312" w:hAnsi="仿宋_GB2312" w:eastAsia="仿宋_GB2312" w:cs="仿宋_GB2312"/>
                <w:bCs w:val="0"/>
                <w:color w:val="auto"/>
                <w:sz w:val="22"/>
                <w:szCs w:val="22"/>
                <w:highlight w:val="none"/>
              </w:rPr>
              <w:t>元及以上的信息系统建设项目业绩，须提供完整的合同复印件并加盖投标人公章（如所提供的合同无法体现服务内容或合同金额，需提供用户证明文件证明以上内容并加盖用户印章，招标人保留核实证明文件原件及真实性的权利）</w:t>
            </w:r>
          </w:p>
        </w:tc>
        <w:tc>
          <w:tcPr>
            <w:tcW w:w="1114" w:type="dxa"/>
          </w:tcPr>
          <w:p w14:paraId="6AA2C341">
            <w:pPr>
              <w:tabs>
                <w:tab w:val="left" w:pos="1117"/>
              </w:tabs>
              <w:snapToGrid w:val="0"/>
              <w:rPr>
                <w:rFonts w:hint="eastAsia" w:ascii="仿宋_GB2312" w:hAnsi="仿宋_GB2312" w:eastAsia="仿宋_GB2312" w:cs="仿宋_GB2312"/>
                <w:b/>
                <w:color w:val="auto"/>
                <w:sz w:val="22"/>
                <w:szCs w:val="22"/>
                <w:highlight w:val="none"/>
              </w:rPr>
            </w:pPr>
          </w:p>
        </w:tc>
      </w:tr>
      <w:tr w14:paraId="5C1F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25" w:type="dxa"/>
            <w:vAlign w:val="center"/>
          </w:tcPr>
          <w:p w14:paraId="53278FAD">
            <w:pPr>
              <w:tabs>
                <w:tab w:val="left" w:pos="1117"/>
              </w:tabs>
              <w:snapToGrid w:val="0"/>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5</w:t>
            </w:r>
          </w:p>
        </w:tc>
        <w:tc>
          <w:tcPr>
            <w:tcW w:w="6583" w:type="dxa"/>
            <w:vAlign w:val="center"/>
          </w:tcPr>
          <w:p w14:paraId="4A71F7A0">
            <w:pPr>
              <w:tabs>
                <w:tab w:val="left" w:pos="1117"/>
              </w:tabs>
              <w:snapToGrid w:val="0"/>
              <w:rPr>
                <w:rFonts w:hint="eastAsia" w:ascii="仿宋_GB2312" w:hAnsi="仿宋_GB2312" w:eastAsia="仿宋_GB2312" w:cs="仿宋_GB2312"/>
                <w:b w:val="0"/>
                <w:color w:val="auto"/>
                <w:sz w:val="22"/>
                <w:szCs w:val="22"/>
                <w:highlight w:val="none"/>
              </w:rPr>
            </w:pPr>
            <w:r>
              <w:rPr>
                <w:rFonts w:hint="eastAsia" w:ascii="仿宋_GB2312" w:hAnsi="仿宋_GB2312" w:eastAsia="仿宋_GB2312" w:cs="仿宋_GB2312"/>
                <w:b w:val="0"/>
                <w:color w:val="auto"/>
                <w:sz w:val="22"/>
                <w:szCs w:val="22"/>
                <w:highlight w:val="none"/>
              </w:rPr>
              <w:t>资质要求：</w:t>
            </w:r>
            <w:r>
              <w:rPr>
                <w:rFonts w:ascii="仿宋_GB2312" w:hAnsi="仿宋_GB2312" w:eastAsia="仿宋_GB2312" w:cs="仿宋_GB2312"/>
                <w:b w:val="0"/>
                <w:color w:val="auto"/>
                <w:sz w:val="22"/>
                <w:szCs w:val="22"/>
                <w:highlight w:val="none"/>
              </w:rPr>
              <w:t>投标人须具有有效期内的CMMI软件成熟度三级及以上认证证书</w:t>
            </w:r>
            <w:r>
              <w:rPr>
                <w:rFonts w:hint="eastAsia" w:ascii="仿宋_GB2312" w:hAnsi="仿宋_GB2312" w:eastAsia="仿宋_GB2312" w:cs="仿宋_GB2312"/>
                <w:b w:val="0"/>
                <w:color w:val="auto"/>
                <w:sz w:val="22"/>
                <w:szCs w:val="22"/>
                <w:highlight w:val="none"/>
              </w:rPr>
              <w:t>（复印件并加盖单位公章）</w:t>
            </w:r>
          </w:p>
        </w:tc>
        <w:tc>
          <w:tcPr>
            <w:tcW w:w="1114" w:type="dxa"/>
          </w:tcPr>
          <w:p w14:paraId="289B6933">
            <w:pPr>
              <w:tabs>
                <w:tab w:val="left" w:pos="1117"/>
              </w:tabs>
              <w:snapToGrid w:val="0"/>
              <w:rPr>
                <w:rFonts w:hint="eastAsia" w:ascii="仿宋_GB2312" w:hAnsi="仿宋_GB2312" w:eastAsia="仿宋_GB2312" w:cs="仿宋_GB2312"/>
                <w:b/>
                <w:color w:val="auto"/>
                <w:sz w:val="22"/>
                <w:szCs w:val="22"/>
                <w:highlight w:val="none"/>
              </w:rPr>
            </w:pPr>
          </w:p>
        </w:tc>
      </w:tr>
      <w:tr w14:paraId="4671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40EB57D7">
            <w:pPr>
              <w:tabs>
                <w:tab w:val="left" w:pos="1117"/>
              </w:tabs>
              <w:snapToGrid w:val="0"/>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6</w:t>
            </w:r>
          </w:p>
        </w:tc>
        <w:tc>
          <w:tcPr>
            <w:tcW w:w="6583" w:type="dxa"/>
          </w:tcPr>
          <w:p w14:paraId="7FF6CDB3">
            <w:pPr>
              <w:tabs>
                <w:tab w:val="left" w:pos="1117"/>
              </w:tabs>
              <w:snapToGrid w:val="0"/>
              <w:rPr>
                <w:rFonts w:hint="eastAsia" w:ascii="仿宋_GB2312" w:hAnsi="仿宋_GB2312" w:eastAsia="仿宋_GB2312" w:cs="仿宋_GB2312"/>
                <w:b/>
                <w:color w:val="auto"/>
                <w:sz w:val="22"/>
                <w:szCs w:val="22"/>
                <w:highlight w:val="none"/>
              </w:rPr>
            </w:pPr>
            <w:r>
              <w:rPr>
                <w:rFonts w:ascii="仿宋_GB2312" w:hAnsi="仿宋_GB2312" w:eastAsia="仿宋_GB2312" w:cs="仿宋_GB2312"/>
                <w:bCs/>
                <w:color w:val="auto"/>
                <w:sz w:val="22"/>
                <w:szCs w:val="22"/>
                <w:highlight w:val="none"/>
              </w:rPr>
              <w:t>本项目不接受联合体投标。未经招标人同意，投标人不允许转包、分包</w:t>
            </w:r>
          </w:p>
        </w:tc>
        <w:tc>
          <w:tcPr>
            <w:tcW w:w="1114" w:type="dxa"/>
          </w:tcPr>
          <w:p w14:paraId="1FABB206">
            <w:pPr>
              <w:tabs>
                <w:tab w:val="left" w:pos="1117"/>
              </w:tabs>
              <w:snapToGrid w:val="0"/>
              <w:rPr>
                <w:rFonts w:hint="eastAsia" w:ascii="仿宋_GB2312" w:hAnsi="仿宋_GB2312" w:eastAsia="仿宋_GB2312" w:cs="仿宋_GB2312"/>
                <w:b/>
                <w:color w:val="auto"/>
                <w:sz w:val="22"/>
                <w:szCs w:val="22"/>
                <w:highlight w:val="none"/>
              </w:rPr>
            </w:pPr>
          </w:p>
        </w:tc>
      </w:tr>
      <w:tr w14:paraId="7B93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180EAD4E">
            <w:pPr>
              <w:tabs>
                <w:tab w:val="left" w:pos="1117"/>
              </w:tabs>
              <w:snapToGrid w:val="0"/>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7</w:t>
            </w:r>
          </w:p>
        </w:tc>
        <w:tc>
          <w:tcPr>
            <w:tcW w:w="6583" w:type="dxa"/>
          </w:tcPr>
          <w:p w14:paraId="0A3F1389">
            <w:pPr>
              <w:tabs>
                <w:tab w:val="left" w:pos="1117"/>
              </w:tabs>
              <w:snapToGrid w:val="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投标人信誉要求： 投标人未进入北京首新航空地面服务有限公司不合格供应商目录、不诚信供应商目录及黑名单；投标人未在以往首都机场集团有限公司及下属成员企业采购项目中标（成交）后，由于中标人（成交人）责任而未签订或未履行合同的</w:t>
            </w:r>
          </w:p>
        </w:tc>
        <w:tc>
          <w:tcPr>
            <w:tcW w:w="1114" w:type="dxa"/>
          </w:tcPr>
          <w:p w14:paraId="56C62186">
            <w:pPr>
              <w:tabs>
                <w:tab w:val="left" w:pos="1117"/>
              </w:tabs>
              <w:snapToGrid w:val="0"/>
              <w:rPr>
                <w:rFonts w:hint="eastAsia" w:ascii="仿宋_GB2312" w:hAnsi="仿宋_GB2312" w:eastAsia="仿宋_GB2312" w:cs="仿宋_GB2312"/>
                <w:b/>
                <w:color w:val="auto"/>
                <w:sz w:val="22"/>
                <w:szCs w:val="22"/>
                <w:highlight w:val="none"/>
              </w:rPr>
            </w:pPr>
          </w:p>
        </w:tc>
      </w:tr>
      <w:tr w14:paraId="16D0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84CF440">
            <w:pPr>
              <w:tabs>
                <w:tab w:val="left" w:pos="1117"/>
              </w:tabs>
              <w:snapToGrid w:val="0"/>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8</w:t>
            </w:r>
          </w:p>
        </w:tc>
        <w:tc>
          <w:tcPr>
            <w:tcW w:w="6583" w:type="dxa"/>
            <w:vAlign w:val="center"/>
          </w:tcPr>
          <w:p w14:paraId="68072639">
            <w:pPr>
              <w:snapToGrid w:val="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本项目不接受投标人在过去三年内出现以下任一情况：</w:t>
            </w:r>
          </w:p>
          <w:p w14:paraId="2491CF55">
            <w:pPr>
              <w:numPr>
                <w:ilvl w:val="0"/>
                <w:numId w:val="11"/>
              </w:numPr>
              <w:snapToGrid w:val="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因产品/服务质量导致安全生产责任事故受到行政处罚的；</w:t>
            </w:r>
          </w:p>
          <w:p w14:paraId="1F8D583D">
            <w:pPr>
              <w:numPr>
                <w:ilvl w:val="0"/>
                <w:numId w:val="11"/>
              </w:numPr>
              <w:snapToGrid w:val="0"/>
              <w:rPr>
                <w:rFonts w:hint="eastAsia" w:ascii="仿宋_GB2312" w:hAnsi="仿宋_GB2312" w:eastAsia="仿宋_GB2312" w:cs="仿宋_GB2312"/>
                <w:bCs/>
                <w:color w:val="auto"/>
                <w:sz w:val="22"/>
                <w:szCs w:val="22"/>
                <w:highlight w:val="none"/>
              </w:rPr>
            </w:pPr>
            <w:r>
              <w:rPr>
                <w:rFonts w:ascii="仿宋_GB2312" w:hAnsi="仿宋_GB2312" w:eastAsia="仿宋_GB2312" w:cs="仿宋_GB2312"/>
                <w:bCs/>
                <w:color w:val="auto"/>
                <w:sz w:val="22"/>
                <w:szCs w:val="22"/>
                <w:highlight w:val="none"/>
              </w:rPr>
              <w:t>被信用中国网站（www.creditchina.gov.cn）列入失信被执行人、重大税收违法失信主体、经营异常名录、严重失信主体名单等</w:t>
            </w:r>
            <w:r>
              <w:rPr>
                <w:rFonts w:hint="eastAsia" w:ascii="仿宋_GB2312" w:hAnsi="仿宋_GB2312" w:eastAsia="仿宋_GB2312" w:cs="仿宋_GB2312"/>
                <w:bCs/>
                <w:color w:val="auto"/>
                <w:sz w:val="22"/>
                <w:szCs w:val="22"/>
                <w:highlight w:val="none"/>
              </w:rPr>
              <w:t>。</w:t>
            </w:r>
            <w:r>
              <w:rPr>
                <w:rFonts w:ascii="仿宋_GB2312" w:hAnsi="仿宋_GB2312" w:eastAsia="仿宋_GB2312" w:cs="仿宋_GB2312"/>
                <w:bCs/>
                <w:color w:val="auto"/>
                <w:sz w:val="22"/>
                <w:szCs w:val="22"/>
                <w:highlight w:val="none"/>
              </w:rPr>
              <w:t>注：提供投标文件递交截止时间前7日内的网站查询截图或信用报告(复印件并加盖单位公章)；</w:t>
            </w:r>
          </w:p>
          <w:p w14:paraId="7D7B13E6">
            <w:pPr>
              <w:numPr>
                <w:ilvl w:val="0"/>
                <w:numId w:val="11"/>
              </w:numPr>
              <w:snapToGrid w:val="0"/>
              <w:rPr>
                <w:rFonts w:hint="eastAsia" w:ascii="仿宋_GB2312" w:hAnsi="仿宋_GB2312" w:eastAsia="仿宋_GB2312" w:cs="仿宋_GB2312"/>
                <w:b/>
                <w:color w:val="auto"/>
                <w:sz w:val="22"/>
                <w:szCs w:val="22"/>
                <w:highlight w:val="none"/>
              </w:rPr>
            </w:pPr>
            <w:r>
              <w:rPr>
                <w:rFonts w:ascii="仿宋_GB2312" w:hAnsi="仿宋_GB2312" w:eastAsia="仿宋_GB2312" w:cs="仿宋_GB2312"/>
                <w:bCs/>
                <w:color w:val="auto"/>
                <w:sz w:val="22"/>
                <w:szCs w:val="22"/>
                <w:highlight w:val="none"/>
              </w:rPr>
              <w:t>投标人须提供加盖公章的承诺函原件，承诺其不存在上述情况。一经发现与承诺事实不符，取消中标资格并加入北京首新航空地面服务有限公司供应商黑名单，五年内不接受参与采购项目。</w:t>
            </w:r>
          </w:p>
        </w:tc>
        <w:tc>
          <w:tcPr>
            <w:tcW w:w="1114" w:type="dxa"/>
          </w:tcPr>
          <w:p w14:paraId="63D54F73">
            <w:pPr>
              <w:tabs>
                <w:tab w:val="left" w:pos="1117"/>
              </w:tabs>
              <w:snapToGrid w:val="0"/>
              <w:rPr>
                <w:rFonts w:hint="eastAsia" w:ascii="仿宋_GB2312" w:hAnsi="仿宋_GB2312" w:eastAsia="仿宋_GB2312" w:cs="仿宋_GB2312"/>
                <w:b/>
                <w:color w:val="auto"/>
                <w:sz w:val="22"/>
                <w:szCs w:val="22"/>
                <w:highlight w:val="none"/>
              </w:rPr>
            </w:pPr>
          </w:p>
        </w:tc>
      </w:tr>
      <w:tr w14:paraId="1105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14:paraId="6D09B86C">
            <w:pPr>
              <w:tabs>
                <w:tab w:val="left" w:pos="1117"/>
              </w:tabs>
              <w:snapToGrid w:val="0"/>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9</w:t>
            </w:r>
          </w:p>
        </w:tc>
        <w:tc>
          <w:tcPr>
            <w:tcW w:w="6583" w:type="dxa"/>
            <w:vAlign w:val="center"/>
          </w:tcPr>
          <w:p w14:paraId="2B689651">
            <w:pPr>
              <w:tabs>
                <w:tab w:val="left" w:pos="1117"/>
              </w:tabs>
              <w:snapToGrid w:val="0"/>
              <w:rPr>
                <w:rFonts w:hint="eastAsia" w:ascii="仿宋_GB2312" w:hAnsi="仿宋_GB2312" w:eastAsia="仿宋_GB2312" w:cs="仿宋_GB2312"/>
                <w:b/>
                <w:color w:val="auto"/>
                <w:sz w:val="22"/>
                <w:szCs w:val="22"/>
                <w:highlight w:val="none"/>
              </w:rPr>
            </w:pPr>
            <w:r>
              <w:rPr>
                <w:rFonts w:ascii="仿宋_GB2312" w:hAnsi="仿宋_GB2312" w:eastAsia="仿宋_GB2312" w:cs="仿宋_GB2312"/>
                <w:bCs/>
                <w:color w:val="auto"/>
                <w:sz w:val="22"/>
                <w:szCs w:val="22"/>
                <w:highlight w:val="none"/>
              </w:rPr>
              <w:t>同一法定代表人的企业或隶属关系（母公司、全资子公司及其控股公司）的企业，不得同时参加投标</w:t>
            </w:r>
          </w:p>
        </w:tc>
        <w:tc>
          <w:tcPr>
            <w:tcW w:w="1114" w:type="dxa"/>
          </w:tcPr>
          <w:p w14:paraId="59528FC6">
            <w:pPr>
              <w:tabs>
                <w:tab w:val="left" w:pos="1117"/>
              </w:tabs>
              <w:snapToGrid w:val="0"/>
              <w:rPr>
                <w:rFonts w:hint="eastAsia" w:ascii="仿宋_GB2312" w:hAnsi="仿宋_GB2312" w:eastAsia="仿宋_GB2312" w:cs="仿宋_GB2312"/>
                <w:b/>
                <w:color w:val="auto"/>
                <w:sz w:val="22"/>
                <w:szCs w:val="22"/>
                <w:highlight w:val="none"/>
              </w:rPr>
            </w:pPr>
          </w:p>
        </w:tc>
      </w:tr>
      <w:tr w14:paraId="1C84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5" w:type="dxa"/>
            <w:vAlign w:val="center"/>
          </w:tcPr>
          <w:p w14:paraId="65B84A64">
            <w:pPr>
              <w:tabs>
                <w:tab w:val="left" w:pos="1117"/>
              </w:tabs>
              <w:snapToGrid w:val="0"/>
              <w:jc w:val="center"/>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10</w:t>
            </w:r>
          </w:p>
        </w:tc>
        <w:tc>
          <w:tcPr>
            <w:tcW w:w="6583" w:type="dxa"/>
            <w:vAlign w:val="center"/>
          </w:tcPr>
          <w:p w14:paraId="41F6E5A3">
            <w:pPr>
              <w:snapToGrid w:val="0"/>
              <w:rPr>
                <w:rFonts w:hint="eastAsia" w:ascii="仿宋_GB2312" w:hAnsi="仿宋_GB2312" w:eastAsia="仿宋_GB2312" w:cs="仿宋_GB2312"/>
                <w:b/>
                <w:color w:val="auto"/>
                <w:sz w:val="22"/>
                <w:szCs w:val="22"/>
                <w:highlight w:val="none"/>
              </w:rPr>
            </w:pPr>
            <w:r>
              <w:rPr>
                <w:rFonts w:hint="eastAsia" w:ascii="仿宋_GB2312" w:hAnsi="仿宋_GB2312" w:eastAsia="仿宋_GB2312" w:cs="仿宋_GB2312"/>
                <w:bCs/>
                <w:color w:val="auto"/>
                <w:sz w:val="22"/>
                <w:szCs w:val="22"/>
                <w:highlight w:val="none"/>
              </w:rPr>
              <w:t>应遵守国家有关法律、法规和有关规定的</w:t>
            </w:r>
            <w:r>
              <w:rPr>
                <w:rFonts w:ascii="仿宋_GB2312" w:hAnsi="仿宋_GB2312" w:eastAsia="仿宋_GB2312" w:cs="仿宋_GB2312"/>
                <w:bCs/>
                <w:color w:val="auto"/>
                <w:sz w:val="22"/>
                <w:szCs w:val="22"/>
                <w:highlight w:val="none"/>
              </w:rPr>
              <w:t>其他条件</w:t>
            </w:r>
          </w:p>
        </w:tc>
        <w:tc>
          <w:tcPr>
            <w:tcW w:w="1114" w:type="dxa"/>
          </w:tcPr>
          <w:p w14:paraId="2A62DA22">
            <w:pPr>
              <w:tabs>
                <w:tab w:val="left" w:pos="1117"/>
              </w:tabs>
              <w:snapToGrid w:val="0"/>
              <w:rPr>
                <w:rFonts w:hint="eastAsia" w:ascii="仿宋_GB2312" w:hAnsi="仿宋_GB2312" w:eastAsia="仿宋_GB2312" w:cs="仿宋_GB2312"/>
                <w:b/>
                <w:color w:val="auto"/>
                <w:sz w:val="22"/>
                <w:szCs w:val="22"/>
                <w:highlight w:val="none"/>
              </w:rPr>
            </w:pPr>
          </w:p>
        </w:tc>
      </w:tr>
      <w:tr w14:paraId="3843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408" w:type="dxa"/>
            <w:gridSpan w:val="2"/>
            <w:vAlign w:val="center"/>
          </w:tcPr>
          <w:p w14:paraId="454219DA">
            <w:pPr>
              <w:tabs>
                <w:tab w:val="left" w:pos="1117"/>
              </w:tabs>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最终结论</w:t>
            </w:r>
          </w:p>
        </w:tc>
        <w:tc>
          <w:tcPr>
            <w:tcW w:w="1114" w:type="dxa"/>
            <w:vAlign w:val="center"/>
          </w:tcPr>
          <w:p w14:paraId="3C05EEEB">
            <w:pPr>
              <w:tabs>
                <w:tab w:val="left" w:pos="1117"/>
              </w:tabs>
              <w:rPr>
                <w:rFonts w:hint="eastAsia" w:ascii="仿宋_GB2312" w:hAnsi="仿宋_GB2312" w:eastAsia="仿宋_GB2312" w:cs="仿宋_GB2312"/>
                <w:bCs/>
                <w:color w:val="auto"/>
                <w:sz w:val="22"/>
                <w:szCs w:val="22"/>
                <w:highlight w:val="none"/>
              </w:rPr>
            </w:pPr>
          </w:p>
        </w:tc>
      </w:tr>
    </w:tbl>
    <w:p w14:paraId="779BAF81">
      <w:pPr>
        <w:tabs>
          <w:tab w:val="left" w:pos="1117"/>
        </w:tabs>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注：1.评审情况处填写：√/×；</w:t>
      </w:r>
    </w:p>
    <w:p w14:paraId="6437E74D">
      <w:pPr>
        <w:tabs>
          <w:tab w:val="left" w:pos="1117"/>
        </w:tabs>
        <w:ind w:firstLine="440" w:firstLineChars="200"/>
        <w:outlineLvl w:val="2"/>
        <w:rPr>
          <w:rFonts w:hint="eastAsia" w:ascii="仿宋_GB2312" w:hAnsi="仿宋_GB2312" w:eastAsia="仿宋_GB2312" w:cs="仿宋_GB2312"/>
          <w:bCs/>
          <w:color w:val="auto"/>
          <w:sz w:val="22"/>
          <w:szCs w:val="22"/>
          <w:highlight w:val="none"/>
        </w:rPr>
      </w:pPr>
      <w:r>
        <w:rPr>
          <w:rFonts w:hint="eastAsia" w:ascii="仿宋_GB2312" w:hAnsi="仿宋_GB2312" w:eastAsia="仿宋_GB2312" w:cs="仿宋_GB2312"/>
          <w:bCs/>
          <w:color w:val="auto"/>
          <w:sz w:val="22"/>
          <w:szCs w:val="22"/>
          <w:highlight w:val="none"/>
        </w:rPr>
        <w:t>2.最终结论处填写：通过/未通过。</w:t>
      </w:r>
    </w:p>
    <w:p w14:paraId="687CC2A1">
      <w:pPr>
        <w:tabs>
          <w:tab w:val="left" w:pos="1117"/>
          <w:tab w:val="left" w:pos="2349"/>
        </w:tabs>
        <w:rPr>
          <w:rFonts w:hint="eastAsia" w:ascii="仿宋_GB2312" w:hAnsi="仿宋_GB2312" w:eastAsia="仿宋_GB2312" w:cs="仿宋_GB2312"/>
          <w:b/>
          <w:color w:val="auto"/>
          <w:sz w:val="28"/>
          <w:szCs w:val="28"/>
          <w:highlight w:val="none"/>
        </w:rPr>
        <w:sectPr>
          <w:pgSz w:w="11907" w:h="16840"/>
          <w:pgMar w:top="1440" w:right="1797" w:bottom="1440" w:left="1797" w:header="851" w:footer="851" w:gutter="0"/>
          <w:cols w:space="720" w:num="1"/>
          <w:titlePg/>
          <w:docGrid w:linePitch="462" w:charSpace="0"/>
        </w:sectPr>
      </w:pPr>
    </w:p>
    <w:p w14:paraId="746F2D27">
      <w:pPr>
        <w:tabs>
          <w:tab w:val="left" w:pos="1117"/>
          <w:tab w:val="left" w:pos="2349"/>
        </w:tabs>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综合打分表</w:t>
      </w:r>
    </w:p>
    <w:tbl>
      <w:tblPr>
        <w:tblStyle w:val="1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00"/>
        <w:gridCol w:w="1182"/>
        <w:gridCol w:w="6681"/>
        <w:gridCol w:w="615"/>
      </w:tblGrid>
      <w:tr w14:paraId="2DB1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51FD9E2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1182" w:type="dxa"/>
            <w:tcBorders>
              <w:top w:val="single" w:color="auto" w:sz="4" w:space="0"/>
              <w:left w:val="nil"/>
              <w:bottom w:val="single" w:color="auto" w:sz="4" w:space="0"/>
              <w:right w:val="single" w:color="auto" w:sz="4" w:space="0"/>
            </w:tcBorders>
            <w:vAlign w:val="center"/>
          </w:tcPr>
          <w:p w14:paraId="497C6265">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评分因素</w:t>
            </w:r>
          </w:p>
        </w:tc>
        <w:tc>
          <w:tcPr>
            <w:tcW w:w="6681" w:type="dxa"/>
            <w:tcBorders>
              <w:top w:val="single" w:color="auto" w:sz="4" w:space="0"/>
              <w:left w:val="nil"/>
              <w:bottom w:val="single" w:color="auto" w:sz="4" w:space="0"/>
              <w:right w:val="single" w:color="auto" w:sz="4" w:space="0"/>
            </w:tcBorders>
            <w:vAlign w:val="center"/>
          </w:tcPr>
          <w:p w14:paraId="0ACDE86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评分标准</w:t>
            </w:r>
          </w:p>
        </w:tc>
        <w:tc>
          <w:tcPr>
            <w:tcW w:w="615" w:type="dxa"/>
            <w:tcBorders>
              <w:top w:val="single" w:color="auto" w:sz="4" w:space="0"/>
              <w:left w:val="nil"/>
              <w:bottom w:val="single" w:color="auto" w:sz="4" w:space="0"/>
              <w:right w:val="single" w:color="auto" w:sz="4" w:space="0"/>
            </w:tcBorders>
            <w:vAlign w:val="center"/>
          </w:tcPr>
          <w:p w14:paraId="6930020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满分</w:t>
            </w:r>
          </w:p>
        </w:tc>
      </w:tr>
      <w:tr w14:paraId="5055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9078" w:type="dxa"/>
            <w:gridSpan w:val="4"/>
            <w:tcBorders>
              <w:top w:val="single" w:color="auto" w:sz="4" w:space="0"/>
              <w:left w:val="single" w:color="auto" w:sz="4" w:space="0"/>
              <w:bottom w:val="single" w:color="auto" w:sz="4" w:space="0"/>
              <w:right w:val="single" w:color="auto" w:sz="4" w:space="0"/>
            </w:tcBorders>
            <w:vAlign w:val="center"/>
          </w:tcPr>
          <w:p w14:paraId="643D5EA9">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一、商务部分（20分）</w:t>
            </w:r>
          </w:p>
        </w:tc>
      </w:tr>
      <w:tr w14:paraId="7700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74"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4B9D1E6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182" w:type="dxa"/>
            <w:tcBorders>
              <w:top w:val="single" w:color="auto" w:sz="4" w:space="0"/>
              <w:left w:val="nil"/>
              <w:bottom w:val="single" w:color="auto" w:sz="4" w:space="0"/>
              <w:right w:val="single" w:color="auto" w:sz="4" w:space="0"/>
            </w:tcBorders>
            <w:vAlign w:val="center"/>
          </w:tcPr>
          <w:p w14:paraId="5670271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业绩情况</w:t>
            </w:r>
          </w:p>
        </w:tc>
        <w:tc>
          <w:tcPr>
            <w:tcW w:w="6681" w:type="dxa"/>
            <w:tcBorders>
              <w:top w:val="single" w:color="auto" w:sz="4" w:space="0"/>
              <w:left w:val="nil"/>
              <w:bottom w:val="single" w:color="auto" w:sz="4" w:space="0"/>
              <w:right w:val="single" w:color="auto" w:sz="4" w:space="0"/>
            </w:tcBorders>
            <w:vAlign w:val="center"/>
          </w:tcPr>
          <w:p w14:paraId="251A6D82">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202</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年1月1日至投标截止日期间，投标人具有单个合同金额在人民币</w:t>
            </w:r>
            <w:r>
              <w:rPr>
                <w:rFonts w:hint="eastAsia" w:ascii="仿宋" w:hAnsi="仿宋" w:eastAsia="仿宋" w:cs="仿宋"/>
                <w:color w:val="auto"/>
                <w:sz w:val="18"/>
                <w:szCs w:val="18"/>
                <w:highlight w:val="none"/>
                <w:lang w:eastAsia="zh-CN"/>
              </w:rPr>
              <w:t>190万</w:t>
            </w:r>
            <w:r>
              <w:rPr>
                <w:rFonts w:hint="eastAsia" w:ascii="仿宋" w:hAnsi="仿宋" w:eastAsia="仿宋" w:cs="仿宋"/>
                <w:color w:val="auto"/>
                <w:sz w:val="18"/>
                <w:szCs w:val="18"/>
                <w:highlight w:val="none"/>
              </w:rPr>
              <w:t>元及以上的信息系统建设项目业绩，第一个不得分，此外每多提供一个业绩得1分，满分2分。投标人须提供完整的证明材料并加盖投标人公章。</w:t>
            </w:r>
          </w:p>
        </w:tc>
        <w:tc>
          <w:tcPr>
            <w:tcW w:w="615" w:type="dxa"/>
            <w:tcBorders>
              <w:top w:val="single" w:color="auto" w:sz="4" w:space="0"/>
              <w:left w:val="nil"/>
              <w:bottom w:val="single" w:color="auto" w:sz="4" w:space="0"/>
              <w:right w:val="single" w:color="auto" w:sz="4" w:space="0"/>
            </w:tcBorders>
            <w:vAlign w:val="center"/>
          </w:tcPr>
          <w:p w14:paraId="2FE2823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2分</w:t>
            </w:r>
          </w:p>
        </w:tc>
      </w:tr>
      <w:tr w14:paraId="3859B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5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699FFC8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182" w:type="dxa"/>
            <w:tcBorders>
              <w:top w:val="single" w:color="auto" w:sz="4" w:space="0"/>
              <w:left w:val="nil"/>
              <w:bottom w:val="single" w:color="auto" w:sz="4" w:space="0"/>
              <w:right w:val="single" w:color="auto" w:sz="4" w:space="0"/>
            </w:tcBorders>
            <w:vAlign w:val="center"/>
          </w:tcPr>
          <w:p w14:paraId="371D416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相关认证</w:t>
            </w:r>
          </w:p>
        </w:tc>
        <w:tc>
          <w:tcPr>
            <w:tcW w:w="6681" w:type="dxa"/>
            <w:tcBorders>
              <w:top w:val="single" w:color="auto" w:sz="4" w:space="0"/>
              <w:left w:val="nil"/>
              <w:bottom w:val="single" w:color="auto" w:sz="4" w:space="0"/>
              <w:right w:val="single" w:color="auto" w:sz="4" w:space="0"/>
            </w:tcBorders>
            <w:vAlign w:val="center"/>
          </w:tcPr>
          <w:p w14:paraId="6B15F0A3">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（1）具备ISO27001信息安全管理体系认证，得1分；</w:t>
            </w:r>
          </w:p>
          <w:p w14:paraId="7F0AFE47">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（2）具备ISO20000信息技术服务管理体系证书得1分；</w:t>
            </w:r>
          </w:p>
          <w:p w14:paraId="03973B75">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（3）具备有效的企业信用等级证书，AA级得1分，AAA级得2分；</w:t>
            </w:r>
          </w:p>
          <w:p w14:paraId="345B54B0">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（4）具备ITSS信息技术服务运行维护标准证书（满足二级或二级以上得2分，满足三级得1分，否则得0分）；</w:t>
            </w:r>
          </w:p>
          <w:p w14:paraId="334F73F3">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（5）拥有CCRC信息安全服务资质证书（满足二级或二级以上得2分，满足三级得1分，否则得0分）</w:t>
            </w:r>
          </w:p>
          <w:p w14:paraId="139B3874">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（6）投标人具有信息化工程与技术服务能力评价证书CN-IETS二级及以上认证证书的得2分</w:t>
            </w:r>
          </w:p>
          <w:p w14:paraId="676482FD">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（注：</w:t>
            </w:r>
            <w:r>
              <w:rPr>
                <w:rFonts w:hint="eastAsia" w:ascii="仿宋" w:hAnsi="仿宋" w:eastAsia="仿宋" w:cs="仿宋"/>
                <w:color w:val="auto"/>
                <w:sz w:val="18"/>
                <w:szCs w:val="18"/>
                <w:highlight w:val="none"/>
              </w:rPr>
              <w:t>投标人需提供</w:t>
            </w:r>
            <w:r>
              <w:rPr>
                <w:rFonts w:hint="eastAsia" w:ascii="仿宋" w:hAnsi="仿宋" w:eastAsia="仿宋" w:cs="仿宋"/>
                <w:color w:val="auto"/>
                <w:sz w:val="18"/>
                <w:szCs w:val="18"/>
                <w:highlight w:val="none"/>
                <w:lang w:val="en-US" w:eastAsia="zh-CN"/>
              </w:rPr>
              <w:t>有效的</w:t>
            </w:r>
            <w:r>
              <w:rPr>
                <w:rFonts w:hint="eastAsia" w:ascii="仿宋" w:hAnsi="仿宋" w:eastAsia="仿宋" w:cs="仿宋"/>
                <w:color w:val="auto"/>
                <w:sz w:val="18"/>
                <w:szCs w:val="18"/>
                <w:highlight w:val="none"/>
              </w:rPr>
              <w:t>证书复印件并加盖公章。</w:t>
            </w:r>
            <w:r>
              <w:rPr>
                <w:rFonts w:hint="eastAsia" w:ascii="仿宋" w:hAnsi="仿宋" w:eastAsia="仿宋" w:cs="仿宋"/>
                <w:color w:val="auto"/>
                <w:sz w:val="18"/>
                <w:szCs w:val="18"/>
                <w:highlight w:val="none"/>
                <w:lang w:val="en-US" w:eastAsia="zh-CN"/>
              </w:rPr>
              <w:t>）</w:t>
            </w:r>
          </w:p>
        </w:tc>
        <w:tc>
          <w:tcPr>
            <w:tcW w:w="615" w:type="dxa"/>
            <w:tcBorders>
              <w:top w:val="single" w:color="auto" w:sz="4" w:space="0"/>
              <w:left w:val="nil"/>
              <w:bottom w:val="single" w:color="auto" w:sz="4" w:space="0"/>
              <w:right w:val="single" w:color="auto" w:sz="4" w:space="0"/>
            </w:tcBorders>
            <w:vAlign w:val="center"/>
          </w:tcPr>
          <w:p w14:paraId="0A848BA9">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10分</w:t>
            </w:r>
          </w:p>
        </w:tc>
      </w:tr>
      <w:tr w14:paraId="1163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83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74915229">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1182" w:type="dxa"/>
            <w:tcBorders>
              <w:top w:val="single" w:color="auto" w:sz="4" w:space="0"/>
              <w:left w:val="nil"/>
              <w:bottom w:val="single" w:color="auto" w:sz="4" w:space="0"/>
              <w:right w:val="single" w:color="auto" w:sz="4" w:space="0"/>
            </w:tcBorders>
            <w:vAlign w:val="center"/>
          </w:tcPr>
          <w:p w14:paraId="4C2FA350">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项目成员</w:t>
            </w:r>
          </w:p>
        </w:tc>
        <w:tc>
          <w:tcPr>
            <w:tcW w:w="6681" w:type="dxa"/>
            <w:tcBorders>
              <w:top w:val="single" w:color="auto" w:sz="4" w:space="0"/>
              <w:left w:val="nil"/>
              <w:bottom w:val="single" w:color="auto" w:sz="4" w:space="0"/>
              <w:right w:val="single" w:color="auto" w:sz="4" w:space="0"/>
            </w:tcBorders>
            <w:vAlign w:val="center"/>
          </w:tcPr>
          <w:p w14:paraId="55215613">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（1）投标人拟派技术负责人具有PMP证书的得3分</w:t>
            </w:r>
          </w:p>
          <w:p w14:paraId="316AFD1A">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（2）投标人拟派的项目经理具有信息系统项目管理师（高级））证书得2分。（证书由中华人民共和国人力资源和社会保障部、工业和信息化部颁发）</w:t>
            </w:r>
          </w:p>
          <w:p w14:paraId="5EFC7ECF">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（3）投标人拟派的项目团队成员具信息安全保障人员证书、系统架构设计师、系统分析师等证书注册、信息安全专业人员（CISP）证书，全部具备得3分，缺少一个扣1分，扣完为止。</w:t>
            </w:r>
          </w:p>
          <w:p w14:paraId="36C9CC60">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（注：所有项目成员须提供近半年内连续三个月的社保证明材料，并加盖单位公章</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项目人员不得兼任</w:t>
            </w:r>
            <w:r>
              <w:rPr>
                <w:rFonts w:hint="eastAsia" w:ascii="仿宋" w:hAnsi="仿宋" w:eastAsia="仿宋" w:cs="仿宋"/>
                <w:color w:val="auto"/>
                <w:sz w:val="18"/>
                <w:szCs w:val="18"/>
                <w:highlight w:val="none"/>
              </w:rPr>
              <w:t>）</w:t>
            </w:r>
          </w:p>
        </w:tc>
        <w:tc>
          <w:tcPr>
            <w:tcW w:w="615" w:type="dxa"/>
            <w:tcBorders>
              <w:top w:val="single" w:color="auto" w:sz="4" w:space="0"/>
              <w:left w:val="nil"/>
              <w:bottom w:val="single" w:color="auto" w:sz="4" w:space="0"/>
              <w:right w:val="single" w:color="auto" w:sz="4" w:space="0"/>
            </w:tcBorders>
            <w:vAlign w:val="center"/>
          </w:tcPr>
          <w:p w14:paraId="7CF8C769">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8分</w:t>
            </w:r>
          </w:p>
        </w:tc>
      </w:tr>
      <w:tr w14:paraId="4626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39" w:hRule="atLeast"/>
          <w:jc w:val="center"/>
        </w:trPr>
        <w:tc>
          <w:tcPr>
            <w:tcW w:w="9078" w:type="dxa"/>
            <w:gridSpan w:val="4"/>
            <w:tcBorders>
              <w:top w:val="single" w:color="auto" w:sz="4" w:space="0"/>
              <w:left w:val="single" w:color="auto" w:sz="4" w:space="0"/>
              <w:bottom w:val="single" w:color="auto" w:sz="4" w:space="0"/>
              <w:right w:val="single" w:color="auto" w:sz="4" w:space="0"/>
            </w:tcBorders>
            <w:vAlign w:val="center"/>
          </w:tcPr>
          <w:p w14:paraId="3ED5B052">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二、技术部分（50分）</w:t>
            </w:r>
          </w:p>
        </w:tc>
      </w:tr>
      <w:tr w14:paraId="6499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61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05A3745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182" w:type="dxa"/>
            <w:tcBorders>
              <w:top w:val="single" w:color="auto" w:sz="4" w:space="0"/>
              <w:left w:val="single" w:color="auto" w:sz="4" w:space="0"/>
              <w:bottom w:val="single" w:color="auto" w:sz="4" w:space="0"/>
              <w:right w:val="single" w:color="auto" w:sz="4" w:space="0"/>
            </w:tcBorders>
            <w:vAlign w:val="center"/>
          </w:tcPr>
          <w:p w14:paraId="38A6A70A">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项目重点难点分析</w:t>
            </w:r>
          </w:p>
        </w:tc>
        <w:tc>
          <w:tcPr>
            <w:tcW w:w="6681" w:type="dxa"/>
            <w:tcBorders>
              <w:top w:val="single" w:color="auto" w:sz="4" w:space="0"/>
              <w:left w:val="single" w:color="auto" w:sz="4" w:space="0"/>
              <w:bottom w:val="single" w:color="auto" w:sz="4" w:space="0"/>
              <w:right w:val="single" w:color="auto" w:sz="4" w:space="0"/>
            </w:tcBorders>
            <w:vAlign w:val="center"/>
          </w:tcPr>
          <w:p w14:paraId="777CDD42">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结合项目背景及投标人经验，对项目的整体认识和理解：</w:t>
            </w:r>
          </w:p>
          <w:p w14:paraId="5F0E73A9">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（1）理解透彻，分析详尽，对于采购需求的重点和难点有深入解析，得4-5分；</w:t>
            </w:r>
          </w:p>
          <w:p w14:paraId="15EF57AC">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（2）有一般性理解，分析详细，能够对采购需求的重点和难点进行解析，得2-3分；</w:t>
            </w:r>
          </w:p>
          <w:p w14:paraId="6D719716">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（3）有一般性理解，但不能完全分析，对采购需求的重点和难点有片面性解析，得1分；</w:t>
            </w:r>
          </w:p>
          <w:p w14:paraId="5238D1E1">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（4）不能理解，分析粗浅或未提供项目分析，得0分。</w:t>
            </w:r>
          </w:p>
        </w:tc>
        <w:tc>
          <w:tcPr>
            <w:tcW w:w="615" w:type="dxa"/>
            <w:tcBorders>
              <w:top w:val="single" w:color="auto" w:sz="4" w:space="0"/>
              <w:left w:val="single" w:color="auto" w:sz="4" w:space="0"/>
              <w:bottom w:val="single" w:color="auto" w:sz="4" w:space="0"/>
              <w:right w:val="single" w:color="auto" w:sz="4" w:space="0"/>
            </w:tcBorders>
            <w:vAlign w:val="center"/>
          </w:tcPr>
          <w:p w14:paraId="2923BE5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14:paraId="3B84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77"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0C01BE7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182" w:type="dxa"/>
            <w:tcBorders>
              <w:top w:val="single" w:color="auto" w:sz="4" w:space="0"/>
              <w:left w:val="single" w:color="auto" w:sz="4" w:space="0"/>
              <w:bottom w:val="single" w:color="auto" w:sz="4" w:space="0"/>
              <w:right w:val="single" w:color="auto" w:sz="4" w:space="0"/>
            </w:tcBorders>
            <w:vAlign w:val="center"/>
          </w:tcPr>
          <w:p w14:paraId="4EA664CC">
            <w:pPr>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服务方案及工作计划</w:t>
            </w:r>
          </w:p>
        </w:tc>
        <w:tc>
          <w:tcPr>
            <w:tcW w:w="6681" w:type="dxa"/>
            <w:tcBorders>
              <w:top w:val="single" w:color="auto" w:sz="4" w:space="0"/>
              <w:left w:val="single" w:color="auto" w:sz="4" w:space="0"/>
              <w:bottom w:val="single" w:color="auto" w:sz="4" w:space="0"/>
              <w:right w:val="single" w:color="auto" w:sz="4" w:space="0"/>
            </w:tcBorders>
            <w:vAlign w:val="center"/>
          </w:tcPr>
          <w:p w14:paraId="7CF2ADA3">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投标人应针对“第六章服务需求”整体情况进行响应。充分考虑招标人的实际情况，制定工作计划，提供符合或优于需求内容的完整服务方案。</w:t>
            </w:r>
          </w:p>
          <w:p w14:paraId="0CFB6AF9">
            <w:pPr>
              <w:snapToGrid/>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方案详细、完善、合理并完全满足招标人需求的，得4-5分，</w:t>
            </w:r>
          </w:p>
          <w:p w14:paraId="2CB8DF50">
            <w:pPr>
              <w:snapToGrid/>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方案较详细、完善、合理、满足技术需求的，得2-3分；</w:t>
            </w:r>
          </w:p>
          <w:p w14:paraId="5453C1AF">
            <w:pPr>
              <w:snapToGrid/>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方案一般，部分满足技术需求的，得1分；</w:t>
            </w:r>
          </w:p>
          <w:p w14:paraId="70B2DF3F">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4</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不满足本项目运行需求的，得0分。</w:t>
            </w:r>
          </w:p>
        </w:tc>
        <w:tc>
          <w:tcPr>
            <w:tcW w:w="615" w:type="dxa"/>
            <w:tcBorders>
              <w:top w:val="single" w:color="auto" w:sz="4" w:space="0"/>
              <w:left w:val="single" w:color="auto" w:sz="4" w:space="0"/>
              <w:bottom w:val="single" w:color="auto" w:sz="4" w:space="0"/>
              <w:right w:val="single" w:color="auto" w:sz="4" w:space="0"/>
            </w:tcBorders>
            <w:vAlign w:val="center"/>
          </w:tcPr>
          <w:p w14:paraId="4A8A8CE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14:paraId="48052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78" w:hRule="atLeast"/>
          <w:jc w:val="center"/>
        </w:trPr>
        <w:tc>
          <w:tcPr>
            <w:tcW w:w="600" w:type="dxa"/>
            <w:tcBorders>
              <w:top w:val="single" w:color="auto" w:sz="4" w:space="0"/>
              <w:left w:val="single" w:color="auto" w:sz="4" w:space="0"/>
              <w:right w:val="single" w:color="auto" w:sz="4" w:space="0"/>
            </w:tcBorders>
            <w:vAlign w:val="center"/>
          </w:tcPr>
          <w:p w14:paraId="68934C13">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1182" w:type="dxa"/>
            <w:tcBorders>
              <w:top w:val="single" w:color="auto" w:sz="4" w:space="0"/>
              <w:left w:val="nil"/>
              <w:right w:val="single" w:color="auto" w:sz="4" w:space="0"/>
            </w:tcBorders>
            <w:vAlign w:val="center"/>
          </w:tcPr>
          <w:p w14:paraId="557A242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对信息系统认识和理解</w:t>
            </w:r>
          </w:p>
        </w:tc>
        <w:tc>
          <w:tcPr>
            <w:tcW w:w="6681" w:type="dxa"/>
            <w:tcBorders>
              <w:top w:val="single" w:color="auto" w:sz="4" w:space="0"/>
              <w:left w:val="nil"/>
              <w:bottom w:val="single" w:color="auto" w:sz="4" w:space="0"/>
              <w:right w:val="single" w:color="auto" w:sz="4" w:space="0"/>
            </w:tcBorders>
            <w:vAlign w:val="center"/>
          </w:tcPr>
          <w:p w14:paraId="7E098BA9">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投标人应针对“第六章服务需求 </w:t>
            </w:r>
            <w:r>
              <w:rPr>
                <w:rFonts w:hint="eastAsia" w:ascii="仿宋" w:hAnsi="仿宋" w:eastAsia="仿宋" w:cs="仿宋"/>
                <w:color w:val="auto"/>
                <w:sz w:val="18"/>
                <w:szCs w:val="18"/>
                <w:highlight w:val="none"/>
                <w:lang w:val="en-US" w:eastAsia="zh-CN"/>
              </w:rPr>
              <w:t>二、</w:t>
            </w:r>
            <w:r>
              <w:rPr>
                <w:rFonts w:hint="eastAsia" w:ascii="仿宋" w:hAnsi="仿宋" w:eastAsia="仿宋" w:cs="仿宋"/>
                <w:color w:val="auto"/>
                <w:sz w:val="18"/>
                <w:szCs w:val="18"/>
                <w:highlight w:val="none"/>
              </w:rPr>
              <w:t>项目内容</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服务范围”进行响应：</w:t>
            </w:r>
          </w:p>
          <w:p w14:paraId="6F14FC2A">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（1）对系统理解透彻、分析详尽、完全响应要求和具体服务内容得14-20分；</w:t>
            </w:r>
          </w:p>
          <w:p w14:paraId="2A8E77B5">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（2）对系统理解一般、分析简单或不全，完全响应要求和具体服务内容得1-13分，（3）对系统不能理解，分析粗浅或未提供项目分析，得0分。</w:t>
            </w:r>
          </w:p>
        </w:tc>
        <w:tc>
          <w:tcPr>
            <w:tcW w:w="615" w:type="dxa"/>
            <w:tcBorders>
              <w:top w:val="single" w:color="auto" w:sz="4" w:space="0"/>
              <w:left w:val="nil"/>
              <w:right w:val="single" w:color="auto" w:sz="4" w:space="0"/>
            </w:tcBorders>
            <w:vAlign w:val="center"/>
          </w:tcPr>
          <w:p w14:paraId="611E1668">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20分</w:t>
            </w:r>
          </w:p>
        </w:tc>
      </w:tr>
      <w:tr w14:paraId="2D02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652D169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w:t>
            </w:r>
          </w:p>
        </w:tc>
        <w:tc>
          <w:tcPr>
            <w:tcW w:w="1182" w:type="dxa"/>
            <w:tcBorders>
              <w:top w:val="single" w:color="auto" w:sz="4" w:space="0"/>
              <w:left w:val="nil"/>
              <w:bottom w:val="single" w:color="auto" w:sz="4" w:space="0"/>
              <w:right w:val="single" w:color="auto" w:sz="4" w:space="0"/>
            </w:tcBorders>
            <w:vAlign w:val="center"/>
          </w:tcPr>
          <w:p w14:paraId="1E6A9B7F">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软件开发服务</w:t>
            </w:r>
          </w:p>
        </w:tc>
        <w:tc>
          <w:tcPr>
            <w:tcW w:w="6681" w:type="dxa"/>
            <w:tcBorders>
              <w:top w:val="single" w:color="auto" w:sz="4" w:space="0"/>
              <w:left w:val="nil"/>
              <w:bottom w:val="single" w:color="auto" w:sz="4" w:space="0"/>
              <w:right w:val="single" w:color="auto" w:sz="4" w:space="0"/>
            </w:tcBorders>
            <w:vAlign w:val="center"/>
          </w:tcPr>
          <w:p w14:paraId="15CC0B8C">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投标人应针对“第六章服务需求”</w:t>
            </w:r>
            <w:r>
              <w:rPr>
                <w:rFonts w:hint="eastAsia" w:ascii="仿宋" w:hAnsi="仿宋" w:eastAsia="仿宋" w:cs="仿宋"/>
                <w:color w:val="auto"/>
                <w:sz w:val="18"/>
                <w:szCs w:val="18"/>
                <w:highlight w:val="none"/>
                <w:lang w:val="en-US" w:eastAsia="zh-CN"/>
              </w:rPr>
              <w:t>中的软件开发服务</w:t>
            </w:r>
            <w:r>
              <w:rPr>
                <w:rFonts w:hint="eastAsia" w:ascii="仿宋" w:hAnsi="仿宋" w:eastAsia="仿宋" w:cs="仿宋"/>
                <w:color w:val="auto"/>
                <w:sz w:val="18"/>
                <w:szCs w:val="18"/>
                <w:highlight w:val="none"/>
              </w:rPr>
              <w:t>进行响应：</w:t>
            </w:r>
          </w:p>
          <w:p w14:paraId="67909A61">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（1）完全理解采购软件定制开发服务目标，对开发工时资源的管理模式、业务流程等有详尽分析、完全响应要求和具体服务内容得6-10分；</w:t>
            </w:r>
          </w:p>
          <w:p w14:paraId="250A94B7">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（2）一般性理解采购软件开发工时目标，对工时资源的管理模式、业务流程等有简单分析或部分分析、完全响应要求和具体服务内容得1-5分；</w:t>
            </w:r>
          </w:p>
          <w:p w14:paraId="7BAF0735">
            <w:pPr>
              <w:jc w:val="left"/>
              <w:rPr>
                <w:rFonts w:hint="eastAsia" w:ascii="仿宋" w:hAnsi="仿宋" w:eastAsia="仿宋" w:cs="仿宋"/>
                <w:color w:val="auto"/>
                <w:highlight w:val="none"/>
              </w:rPr>
            </w:pPr>
            <w:r>
              <w:rPr>
                <w:rFonts w:hint="eastAsia" w:ascii="仿宋" w:hAnsi="仿宋" w:eastAsia="仿宋" w:cs="仿宋"/>
                <w:color w:val="auto"/>
                <w:sz w:val="18"/>
                <w:szCs w:val="18"/>
                <w:highlight w:val="none"/>
              </w:rPr>
              <w:t>（3）不能理解，分析粗浅或未提供项目分析，得0分。</w:t>
            </w:r>
          </w:p>
        </w:tc>
        <w:tc>
          <w:tcPr>
            <w:tcW w:w="615" w:type="dxa"/>
            <w:tcBorders>
              <w:top w:val="single" w:color="auto" w:sz="4" w:space="0"/>
              <w:left w:val="nil"/>
              <w:bottom w:val="single" w:color="auto" w:sz="4" w:space="0"/>
              <w:right w:val="single" w:color="auto" w:sz="4" w:space="0"/>
            </w:tcBorders>
            <w:vAlign w:val="center"/>
          </w:tcPr>
          <w:p w14:paraId="37CC1E47">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10分</w:t>
            </w:r>
          </w:p>
        </w:tc>
      </w:tr>
      <w:tr w14:paraId="6DEE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20"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1F428AD9">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 xml:space="preserve"> 5</w:t>
            </w:r>
          </w:p>
        </w:tc>
        <w:tc>
          <w:tcPr>
            <w:tcW w:w="1182" w:type="dxa"/>
            <w:tcBorders>
              <w:top w:val="single" w:color="auto" w:sz="4" w:space="0"/>
              <w:left w:val="nil"/>
              <w:bottom w:val="single" w:color="auto" w:sz="4" w:space="0"/>
              <w:right w:val="single" w:color="auto" w:sz="4" w:space="0"/>
            </w:tcBorders>
            <w:vAlign w:val="center"/>
          </w:tcPr>
          <w:p w14:paraId="7215D951">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项目管理方案</w:t>
            </w:r>
          </w:p>
        </w:tc>
        <w:tc>
          <w:tcPr>
            <w:tcW w:w="6681" w:type="dxa"/>
            <w:tcBorders>
              <w:top w:val="single" w:color="auto" w:sz="4" w:space="0"/>
              <w:left w:val="nil"/>
              <w:bottom w:val="single" w:color="auto" w:sz="4" w:space="0"/>
              <w:right w:val="single" w:color="auto" w:sz="4" w:space="0"/>
            </w:tcBorders>
            <w:vAlign w:val="center"/>
          </w:tcPr>
          <w:p w14:paraId="20823260">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投标人应针对“第六章服务需求 三项目管理方案”进行响应：</w:t>
            </w:r>
          </w:p>
          <w:p w14:paraId="4AB5F0F1">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（1）方案完善、详实、专业、先进，可行性强，得4-5分；</w:t>
            </w:r>
          </w:p>
          <w:p w14:paraId="4155143B">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（2）方案完整、详细、专业、可行，得3分；</w:t>
            </w:r>
          </w:p>
          <w:p w14:paraId="23DC60D8">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（3）方案一般、简单、可行，不存在技术缺陷，得2分；</w:t>
            </w:r>
          </w:p>
          <w:p w14:paraId="25148649">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（4）方案不完整、可行性弱，存在技术缺陷，得1分；</w:t>
            </w:r>
          </w:p>
          <w:p w14:paraId="24B481A7">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（5）未提供，得0分。</w:t>
            </w:r>
          </w:p>
        </w:tc>
        <w:tc>
          <w:tcPr>
            <w:tcW w:w="615" w:type="dxa"/>
            <w:tcBorders>
              <w:top w:val="single" w:color="auto" w:sz="4" w:space="0"/>
              <w:left w:val="nil"/>
              <w:bottom w:val="single" w:color="auto" w:sz="4" w:space="0"/>
              <w:right w:val="single" w:color="auto" w:sz="4" w:space="0"/>
            </w:tcBorders>
            <w:vAlign w:val="center"/>
          </w:tcPr>
          <w:p w14:paraId="3CC32D8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14:paraId="682C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22"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368D158D">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w:t>
            </w:r>
          </w:p>
        </w:tc>
        <w:tc>
          <w:tcPr>
            <w:tcW w:w="1182" w:type="dxa"/>
            <w:tcBorders>
              <w:top w:val="single" w:color="auto" w:sz="4" w:space="0"/>
              <w:left w:val="nil"/>
              <w:bottom w:val="single" w:color="auto" w:sz="4" w:space="0"/>
              <w:right w:val="single" w:color="auto" w:sz="4" w:space="0"/>
            </w:tcBorders>
            <w:vAlign w:val="center"/>
          </w:tcPr>
          <w:p w14:paraId="24B3E682">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培训计划</w:t>
            </w:r>
          </w:p>
          <w:p w14:paraId="2494C82E">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与要求</w:t>
            </w:r>
          </w:p>
        </w:tc>
        <w:tc>
          <w:tcPr>
            <w:tcW w:w="6681" w:type="dxa"/>
            <w:tcBorders>
              <w:top w:val="single" w:color="auto" w:sz="4" w:space="0"/>
              <w:left w:val="nil"/>
              <w:bottom w:val="single" w:color="auto" w:sz="4" w:space="0"/>
              <w:right w:val="single" w:color="auto" w:sz="4" w:space="0"/>
            </w:tcBorders>
            <w:vAlign w:val="center"/>
          </w:tcPr>
          <w:p w14:paraId="257CAB21">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投标人应针对“第六章服务需求 四培训计划与要求”进行响应：</w:t>
            </w:r>
          </w:p>
          <w:p w14:paraId="43C2FC71">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（1）方案完善、详实、专业、先进，可行性强，得4-5分；</w:t>
            </w:r>
          </w:p>
          <w:p w14:paraId="626209BC">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（2）方案完整、详细、专业、可行，得3分；</w:t>
            </w:r>
          </w:p>
          <w:p w14:paraId="0DB9C862">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（3）方案一般、简单、可行，不存在技术缺陷，得2分；</w:t>
            </w:r>
          </w:p>
          <w:p w14:paraId="3F2B0DEA">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（4）方案不完整、可行性弱，存在技术缺陷，得1分；</w:t>
            </w:r>
          </w:p>
          <w:p w14:paraId="082010D0">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（5）未提供，得0分。</w:t>
            </w:r>
          </w:p>
        </w:tc>
        <w:tc>
          <w:tcPr>
            <w:tcW w:w="615" w:type="dxa"/>
            <w:tcBorders>
              <w:top w:val="single" w:color="auto" w:sz="4" w:space="0"/>
              <w:left w:val="nil"/>
              <w:bottom w:val="single" w:color="auto" w:sz="4" w:space="0"/>
              <w:right w:val="single" w:color="auto" w:sz="4" w:space="0"/>
            </w:tcBorders>
            <w:vAlign w:val="center"/>
          </w:tcPr>
          <w:p w14:paraId="183C049A">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5分</w:t>
            </w:r>
          </w:p>
        </w:tc>
      </w:tr>
      <w:tr w14:paraId="2538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19" w:hRule="atLeast"/>
          <w:jc w:val="center"/>
        </w:trPr>
        <w:tc>
          <w:tcPr>
            <w:tcW w:w="9078" w:type="dxa"/>
            <w:gridSpan w:val="4"/>
            <w:tcBorders>
              <w:top w:val="single" w:color="auto" w:sz="4" w:space="0"/>
              <w:left w:val="single" w:color="auto" w:sz="4" w:space="0"/>
              <w:bottom w:val="single" w:color="auto" w:sz="4" w:space="0"/>
              <w:right w:val="single" w:color="auto" w:sz="4" w:space="0"/>
            </w:tcBorders>
            <w:vAlign w:val="center"/>
          </w:tcPr>
          <w:p w14:paraId="1CBE8162">
            <w:pPr>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三、价格部分（30分）</w:t>
            </w:r>
          </w:p>
        </w:tc>
      </w:tr>
      <w:tr w14:paraId="12A0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556"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14:paraId="56B51A76">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182" w:type="dxa"/>
            <w:tcBorders>
              <w:top w:val="single" w:color="auto" w:sz="4" w:space="0"/>
              <w:left w:val="nil"/>
              <w:bottom w:val="single" w:color="auto" w:sz="4" w:space="0"/>
              <w:right w:val="single" w:color="auto" w:sz="4" w:space="0"/>
            </w:tcBorders>
            <w:vAlign w:val="center"/>
          </w:tcPr>
          <w:p w14:paraId="6BE47CFC">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投标报价</w:t>
            </w:r>
          </w:p>
        </w:tc>
        <w:tc>
          <w:tcPr>
            <w:tcW w:w="6681" w:type="dxa"/>
            <w:tcBorders>
              <w:top w:val="single" w:color="auto" w:sz="4" w:space="0"/>
              <w:left w:val="nil"/>
              <w:bottom w:val="single" w:color="auto" w:sz="4" w:space="0"/>
              <w:right w:val="single" w:color="auto" w:sz="4" w:space="0"/>
            </w:tcBorders>
            <w:vAlign w:val="center"/>
          </w:tcPr>
          <w:p w14:paraId="25E5668F">
            <w:pPr>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各投标人的投标报价以评标基准价为基准，等于评标基准价得30分，投标报价每低于评标基准价1%，扣0.5分，扣完为止；投标报价每高于评标基准价1%，扣1分，扣完为止。（采用内插法计算，结果保留2位小数）</w:t>
            </w:r>
          </w:p>
          <w:p w14:paraId="4403A25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评标价的计算步骤：</w:t>
            </w:r>
          </w:p>
          <w:p w14:paraId="110E788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（1）评标价的确定：</w:t>
            </w:r>
          </w:p>
          <w:p w14:paraId="34E1C2B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评标价=投标人开标一览表中的文字报价</w:t>
            </w:r>
          </w:p>
          <w:p w14:paraId="11E7C71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（2）有效评标价的确定</w:t>
            </w:r>
          </w:p>
          <w:p w14:paraId="3C8556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所有通过资格评审的投标文件的评标价为有效评标价</w:t>
            </w:r>
          </w:p>
          <w:p w14:paraId="52AAB3F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（3）有效评标价平均值的计算</w:t>
            </w:r>
          </w:p>
          <w:p w14:paraId="143C8C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所有有效评标价去掉一个最高值和一个最低值后的算术平均值即为有效评标价平均值（如果有效评标价少于5家（不含等于五家）时，则计算时不去掉最高值和最低值）</w:t>
            </w:r>
          </w:p>
          <w:p w14:paraId="02FFDE5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（4）评标基准价的确定：</w:t>
            </w:r>
          </w:p>
          <w:p w14:paraId="2497A45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将有效评标价平均值直接作为评标基准价。</w:t>
            </w:r>
          </w:p>
          <w:p w14:paraId="78851B8D">
            <w:pPr>
              <w:jc w:val="left"/>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投标报价的偏差率计算公式：偏差率=100% ×|投标人有效评标价-评标基准价|/评标基准价</w:t>
            </w:r>
          </w:p>
        </w:tc>
        <w:tc>
          <w:tcPr>
            <w:tcW w:w="615" w:type="dxa"/>
            <w:tcBorders>
              <w:top w:val="single" w:color="auto" w:sz="4" w:space="0"/>
              <w:left w:val="nil"/>
              <w:bottom w:val="single" w:color="auto" w:sz="4" w:space="0"/>
              <w:right w:val="single" w:color="auto" w:sz="4" w:space="0"/>
            </w:tcBorders>
            <w:vAlign w:val="center"/>
          </w:tcPr>
          <w:p w14:paraId="0A89DA6B">
            <w:pPr>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30分</w:t>
            </w:r>
          </w:p>
        </w:tc>
      </w:tr>
    </w:tbl>
    <w:p w14:paraId="2ACBF36E">
      <w:pPr>
        <w:tabs>
          <w:tab w:val="left" w:pos="1117"/>
          <w:tab w:val="left" w:pos="2349"/>
        </w:tabs>
        <w:rPr>
          <w:rFonts w:hint="eastAsia" w:ascii="仿宋_GB2312" w:hAnsi="仿宋_GB2312" w:eastAsia="仿宋_GB2312" w:cs="仿宋_GB2312"/>
          <w:bCs/>
          <w:color w:val="auto"/>
          <w:sz w:val="32"/>
          <w:szCs w:val="32"/>
          <w:highlight w:val="none"/>
        </w:rPr>
      </w:pPr>
    </w:p>
    <w:p w14:paraId="66BFA1A5">
      <w:pPr>
        <w:rPr>
          <w:color w:val="auto"/>
          <w:highlight w:val="none"/>
        </w:rPr>
      </w:pPr>
    </w:p>
    <w:p w14:paraId="37DA6605">
      <w:pPr>
        <w:rPr>
          <w:color w:val="auto"/>
          <w:highlight w:val="none"/>
        </w:rPr>
      </w:pPr>
    </w:p>
    <w:p w14:paraId="46F81A19">
      <w:pPr>
        <w:tabs>
          <w:tab w:val="left" w:pos="1117"/>
        </w:tabs>
        <w:spacing w:line="480" w:lineRule="auto"/>
        <w:jc w:val="center"/>
        <w:outlineLvl w:val="0"/>
        <w:rPr>
          <w:rFonts w:hint="eastAsia" w:ascii="仿宋_GB2312" w:hAnsi="仿宋_GB2312" w:eastAsia="仿宋_GB2312" w:cs="仿宋_GB2312"/>
          <w:b/>
          <w:color w:val="auto"/>
          <w:sz w:val="32"/>
          <w:szCs w:val="32"/>
          <w:highlight w:val="none"/>
        </w:rPr>
      </w:pPr>
      <w:r>
        <w:rPr>
          <w:rFonts w:hint="default" w:ascii="仿宋_GB2312" w:hAnsi="仿宋_GB2312" w:eastAsia="仿宋_GB2312" w:cs="仿宋_GB2312"/>
          <w:b/>
          <w:color w:val="auto"/>
          <w:sz w:val="32"/>
          <w:szCs w:val="32"/>
          <w:highlight w:val="none"/>
          <w:lang w:val="en-US"/>
        </w:rPr>
        <w:br w:type="page"/>
      </w:r>
      <w:r>
        <w:rPr>
          <w:rFonts w:hint="eastAsia" w:ascii="仿宋_GB2312" w:hAnsi="仿宋_GB2312" w:eastAsia="仿宋_GB2312" w:cs="仿宋_GB2312"/>
          <w:b/>
          <w:color w:val="auto"/>
          <w:sz w:val="32"/>
          <w:szCs w:val="32"/>
          <w:highlight w:val="none"/>
        </w:rPr>
        <w:t xml:space="preserve">第五章 </w:t>
      </w:r>
      <w:r>
        <w:rPr>
          <w:rFonts w:ascii="仿宋_GB2312" w:hAnsi="仿宋_GB2312" w:eastAsia="仿宋_GB2312" w:cs="仿宋_GB2312"/>
          <w:b/>
          <w:color w:val="auto"/>
          <w:sz w:val="32"/>
          <w:szCs w:val="32"/>
          <w:highlight w:val="none"/>
        </w:rPr>
        <w:t>合同</w:t>
      </w:r>
      <w:r>
        <w:rPr>
          <w:rFonts w:hint="eastAsia" w:ascii="仿宋_GB2312" w:hAnsi="仿宋_GB2312" w:eastAsia="仿宋_GB2312" w:cs="仿宋_GB2312"/>
          <w:b/>
          <w:color w:val="auto"/>
          <w:sz w:val="32"/>
          <w:szCs w:val="32"/>
          <w:highlight w:val="none"/>
        </w:rPr>
        <w:t>（格式）</w:t>
      </w:r>
    </w:p>
    <w:p w14:paraId="6EEAD994">
      <w:pPr>
        <w:widowControl/>
        <w:numPr>
          <w:ilvl w:val="255"/>
          <w:numId w:val="0"/>
        </w:numPr>
        <w:jc w:val="center"/>
        <w:rPr>
          <w:b/>
          <w:bCs/>
          <w:color w:val="auto"/>
          <w:sz w:val="24"/>
          <w:szCs w:val="22"/>
          <w:highlight w:val="none"/>
        </w:rPr>
      </w:pPr>
      <w:r>
        <w:rPr>
          <w:rFonts w:hint="eastAsia"/>
          <w:b/>
          <w:bCs/>
          <w:color w:val="auto"/>
          <w:sz w:val="24"/>
          <w:szCs w:val="22"/>
          <w:highlight w:val="none"/>
        </w:rPr>
        <w:t>（本合同样本仅供参考，招标人保留修改的权利）</w:t>
      </w:r>
    </w:p>
    <w:p w14:paraId="3916A917">
      <w:pPr>
        <w:widowControl/>
        <w:snapToGrid w:val="0"/>
        <w:spacing w:line="360" w:lineRule="auto"/>
        <w:ind w:right="1600" w:firstLine="2800" w:firstLineChars="1000"/>
        <w:jc w:val="right"/>
        <w:rPr>
          <w:rFonts w:hint="eastAsia" w:ascii="仿宋_GB2312" w:hAnsi="宋体" w:eastAsia="仿宋_GB2312"/>
          <w:b/>
          <w:bCs/>
          <w:color w:val="auto"/>
          <w:kern w:val="0"/>
          <w:sz w:val="28"/>
          <w:szCs w:val="28"/>
          <w:highlight w:val="none"/>
        </w:rPr>
      </w:pPr>
      <w:r>
        <w:rPr>
          <w:rFonts w:hint="eastAsia" w:ascii="仿宋_GB2312" w:hAnsi="宋体" w:eastAsia="仿宋_GB2312"/>
          <w:color w:val="auto"/>
          <w:kern w:val="0"/>
          <w:sz w:val="28"/>
          <w:szCs w:val="28"/>
          <w:highlight w:val="none"/>
        </w:rPr>
        <w:t xml:space="preserve">   </w:t>
      </w:r>
      <w:r>
        <w:rPr>
          <w:rFonts w:hint="eastAsia" w:ascii="仿宋_GB2312" w:hAnsi="宋体" w:eastAsia="仿宋_GB2312"/>
          <w:b/>
          <w:bCs/>
          <w:color w:val="auto"/>
          <w:kern w:val="0"/>
          <w:sz w:val="28"/>
          <w:szCs w:val="28"/>
          <w:highlight w:val="none"/>
        </w:rPr>
        <w:t>合同编号：</w:t>
      </w:r>
    </w:p>
    <w:p w14:paraId="0A7268AB">
      <w:pPr>
        <w:widowControl/>
        <w:snapToGrid w:val="0"/>
        <w:spacing w:line="360" w:lineRule="auto"/>
        <w:ind w:right="1600" w:firstLine="2811" w:firstLineChars="1000"/>
        <w:jc w:val="right"/>
        <w:rPr>
          <w:rFonts w:hint="eastAsia" w:ascii="仿宋_GB2312" w:hAnsi="宋体" w:eastAsia="仿宋_GB2312"/>
          <w:b/>
          <w:bCs/>
          <w:color w:val="auto"/>
          <w:kern w:val="0"/>
          <w:sz w:val="28"/>
          <w:szCs w:val="28"/>
          <w:highlight w:val="none"/>
        </w:rPr>
      </w:pPr>
    </w:p>
    <w:p w14:paraId="4AEE9D9E">
      <w:pPr>
        <w:widowControl/>
        <w:snapToGrid w:val="0"/>
        <w:spacing w:line="360" w:lineRule="auto"/>
        <w:ind w:right="1600" w:firstLine="2811" w:firstLineChars="1000"/>
        <w:jc w:val="right"/>
        <w:rPr>
          <w:rFonts w:hint="eastAsia" w:ascii="仿宋_GB2312" w:hAnsi="宋体" w:eastAsia="仿宋_GB2312"/>
          <w:b/>
          <w:bCs/>
          <w:color w:val="auto"/>
          <w:kern w:val="0"/>
          <w:sz w:val="28"/>
          <w:szCs w:val="28"/>
          <w:highlight w:val="none"/>
        </w:rPr>
      </w:pPr>
    </w:p>
    <w:p w14:paraId="67ED0552">
      <w:pPr>
        <w:widowControl/>
        <w:snapToGrid w:val="0"/>
        <w:spacing w:line="360" w:lineRule="auto"/>
        <w:ind w:right="1600" w:firstLine="2811" w:firstLineChars="1000"/>
        <w:jc w:val="right"/>
        <w:rPr>
          <w:rFonts w:hint="eastAsia" w:ascii="仿宋_GB2312" w:hAnsi="宋体" w:eastAsia="仿宋_GB2312"/>
          <w:b/>
          <w:bCs/>
          <w:color w:val="auto"/>
          <w:kern w:val="0"/>
          <w:sz w:val="28"/>
          <w:szCs w:val="28"/>
          <w:highlight w:val="none"/>
        </w:rPr>
      </w:pPr>
    </w:p>
    <w:p w14:paraId="1B5FD711">
      <w:pPr>
        <w:spacing w:line="480" w:lineRule="auto"/>
        <w:jc w:val="center"/>
        <w:outlineLvl w:val="0"/>
        <w:rPr>
          <w:rFonts w:hint="eastAsia" w:ascii="仿宋_GB2312" w:hAnsi="宋体" w:eastAsia="仿宋_GB2312" w:cs="仿宋"/>
          <w:b/>
          <w:bCs/>
          <w:color w:val="auto"/>
          <w:sz w:val="52"/>
          <w:szCs w:val="52"/>
          <w:highlight w:val="none"/>
        </w:rPr>
      </w:pPr>
      <w:bookmarkStart w:id="0" w:name="_Hlk74035497"/>
      <w:r>
        <w:rPr>
          <w:rFonts w:hint="eastAsia" w:ascii="仿宋_GB2312" w:hAnsi="宋体" w:eastAsia="仿宋_GB2312" w:cs="仿宋"/>
          <w:b/>
          <w:bCs/>
          <w:color w:val="auto"/>
          <w:sz w:val="52"/>
          <w:szCs w:val="52"/>
          <w:highlight w:val="none"/>
        </w:rPr>
        <w:t>软件开发运维服务合同</w:t>
      </w:r>
    </w:p>
    <w:bookmarkEnd w:id="0"/>
    <w:p w14:paraId="06CEEAB5">
      <w:pPr>
        <w:spacing w:line="480" w:lineRule="auto"/>
        <w:jc w:val="center"/>
        <w:rPr>
          <w:rFonts w:hint="eastAsia" w:ascii="仿宋_GB2312" w:hAnsi="宋体" w:eastAsia="仿宋_GB2312" w:cs="仿宋"/>
          <w:b/>
          <w:bCs/>
          <w:color w:val="auto"/>
          <w:sz w:val="32"/>
          <w:szCs w:val="32"/>
          <w:highlight w:val="none"/>
        </w:rPr>
      </w:pPr>
    </w:p>
    <w:p w14:paraId="2A4C432B">
      <w:pPr>
        <w:spacing w:line="480" w:lineRule="auto"/>
        <w:jc w:val="center"/>
        <w:rPr>
          <w:rFonts w:hint="eastAsia" w:ascii="仿宋_GB2312" w:hAnsi="宋体" w:eastAsia="仿宋_GB2312" w:cs="仿宋"/>
          <w:b/>
          <w:bCs/>
          <w:color w:val="auto"/>
          <w:sz w:val="32"/>
          <w:szCs w:val="32"/>
          <w:highlight w:val="none"/>
        </w:rPr>
      </w:pPr>
    </w:p>
    <w:p w14:paraId="0773AF52">
      <w:pPr>
        <w:spacing w:line="480" w:lineRule="auto"/>
        <w:jc w:val="center"/>
        <w:rPr>
          <w:rFonts w:hint="eastAsia" w:ascii="仿宋_GB2312" w:hAnsi="宋体" w:eastAsia="仿宋_GB2312" w:cs="仿宋"/>
          <w:b/>
          <w:bCs/>
          <w:color w:val="auto"/>
          <w:sz w:val="32"/>
          <w:szCs w:val="32"/>
          <w:highlight w:val="none"/>
        </w:rPr>
      </w:pPr>
    </w:p>
    <w:p w14:paraId="1EBE19CD">
      <w:pPr>
        <w:spacing w:line="480" w:lineRule="auto"/>
        <w:jc w:val="center"/>
        <w:rPr>
          <w:rFonts w:hint="eastAsia" w:ascii="仿宋_GB2312" w:hAnsi="宋体" w:eastAsia="仿宋_GB2312" w:cs="仿宋"/>
          <w:b/>
          <w:bCs/>
          <w:color w:val="auto"/>
          <w:sz w:val="32"/>
          <w:szCs w:val="32"/>
          <w:highlight w:val="none"/>
        </w:rPr>
      </w:pPr>
    </w:p>
    <w:p w14:paraId="4C88A2E2">
      <w:pPr>
        <w:spacing w:line="720" w:lineRule="auto"/>
        <w:jc w:val="left"/>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 xml:space="preserve">项目内容: </w:t>
      </w:r>
    </w:p>
    <w:p w14:paraId="18894C25">
      <w:pPr>
        <w:spacing w:line="720" w:lineRule="auto"/>
        <w:jc w:val="left"/>
        <w:rPr>
          <w:rFonts w:hint="eastAsia" w:ascii="宋体" w:hAnsi="宋体" w:cs="仿宋"/>
          <w:b/>
          <w:bCs/>
          <w:color w:val="auto"/>
          <w:sz w:val="28"/>
          <w:szCs w:val="28"/>
          <w:highlight w:val="none"/>
          <w:u w:val="single"/>
        </w:rPr>
      </w:pPr>
      <w:r>
        <w:rPr>
          <w:rFonts w:hint="eastAsia" w:ascii="宋体" w:hAnsi="宋体" w:cs="仿宋"/>
          <w:b/>
          <w:bCs/>
          <w:color w:val="auto"/>
          <w:sz w:val="28"/>
          <w:szCs w:val="28"/>
          <w:highlight w:val="none"/>
        </w:rPr>
        <w:t>甲方:</w:t>
      </w:r>
      <w:r>
        <w:rPr>
          <w:rFonts w:hint="eastAsia"/>
          <w:color w:val="auto"/>
          <w:highlight w:val="none"/>
        </w:rPr>
        <w:t xml:space="preserve"> </w:t>
      </w:r>
    </w:p>
    <w:p w14:paraId="5AF79269">
      <w:pPr>
        <w:spacing w:line="720" w:lineRule="auto"/>
        <w:jc w:val="left"/>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乙方:</w:t>
      </w:r>
      <w:r>
        <w:rPr>
          <w:rFonts w:hint="eastAsia"/>
          <w:color w:val="auto"/>
          <w:highlight w:val="none"/>
        </w:rPr>
        <w:t xml:space="preserve"> </w:t>
      </w:r>
    </w:p>
    <w:p w14:paraId="68B2CC6C">
      <w:pPr>
        <w:spacing w:line="720" w:lineRule="auto"/>
        <w:jc w:val="left"/>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 xml:space="preserve">签订时间:                                           </w:t>
      </w:r>
    </w:p>
    <w:p w14:paraId="2DE51C8D">
      <w:pPr>
        <w:spacing w:line="720" w:lineRule="auto"/>
        <w:jc w:val="left"/>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 xml:space="preserve">到期时间: </w:t>
      </w:r>
    </w:p>
    <w:p w14:paraId="6CA8E3F8">
      <w:pPr>
        <w:spacing w:line="720" w:lineRule="auto"/>
        <w:jc w:val="left"/>
        <w:rPr>
          <w:rFonts w:hint="eastAsia" w:ascii="宋体" w:hAnsi="宋体" w:cs="仿宋"/>
          <w:b/>
          <w:bCs/>
          <w:color w:val="auto"/>
          <w:sz w:val="28"/>
          <w:szCs w:val="28"/>
          <w:highlight w:val="none"/>
        </w:rPr>
      </w:pPr>
    </w:p>
    <w:p w14:paraId="1C823FF9">
      <w:pPr>
        <w:spacing w:line="480" w:lineRule="auto"/>
        <w:jc w:val="center"/>
        <w:outlineLvl w:val="0"/>
        <w:rPr>
          <w:rFonts w:hint="eastAsia" w:ascii="仿宋_GB2312" w:hAnsi="宋体" w:eastAsia="仿宋_GB2312" w:cs="仿宋"/>
          <w:b/>
          <w:bCs/>
          <w:color w:val="auto"/>
          <w:sz w:val="32"/>
          <w:szCs w:val="32"/>
          <w:highlight w:val="none"/>
        </w:rPr>
      </w:pPr>
      <w:r>
        <w:rPr>
          <w:rFonts w:hint="eastAsia" w:ascii="仿宋_GB2312" w:hAnsi="宋体" w:eastAsia="仿宋_GB2312" w:cs="仿宋"/>
          <w:b/>
          <w:bCs/>
          <w:color w:val="auto"/>
          <w:sz w:val="32"/>
          <w:szCs w:val="32"/>
          <w:highlight w:val="none"/>
        </w:rPr>
        <w:t>软件开发运维服务合同</w:t>
      </w:r>
    </w:p>
    <w:p w14:paraId="0106DA6A">
      <w:pPr>
        <w:widowControl/>
        <w:snapToGrid w:val="0"/>
        <w:spacing w:before="153" w:after="100" w:afterAutospacing="1" w:line="300" w:lineRule="auto"/>
        <w:ind w:left="118" w:firstLine="479"/>
        <w:jc w:val="left"/>
        <w:rPr>
          <w:rFonts w:hint="eastAsia" w:ascii="仿宋_GB2312" w:hAnsi="楷体" w:eastAsia="仿宋_GB2312"/>
          <w:b/>
          <w:color w:val="auto"/>
          <w:sz w:val="24"/>
          <w:szCs w:val="24"/>
          <w:highlight w:val="none"/>
        </w:rPr>
      </w:pPr>
      <w:r>
        <w:rPr>
          <w:rFonts w:hint="eastAsia" w:ascii="仿宋_GB2312" w:hAnsi="楷体" w:eastAsia="仿宋_GB2312"/>
          <w:b/>
          <w:color w:val="auto"/>
          <w:sz w:val="24"/>
          <w:szCs w:val="24"/>
          <w:highlight w:val="none"/>
        </w:rPr>
        <w:t>鉴于甲方为提升公司信息化水平，确保软件系统安全稳定运行，拟由乙方进行软件开发运维服务，根据《中华人民共和国民法典》等相关法律法规的规定，双方经友好协商，达成如下协议：</w:t>
      </w:r>
    </w:p>
    <w:p w14:paraId="3B7E3B28">
      <w:pPr>
        <w:widowControl/>
        <w:snapToGrid w:val="0"/>
        <w:spacing w:before="153" w:after="100" w:afterAutospacing="1" w:line="300" w:lineRule="auto"/>
        <w:ind w:left="118" w:firstLine="479"/>
        <w:jc w:val="left"/>
        <w:rPr>
          <w:rFonts w:hint="eastAsia"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甲方</w:t>
      </w:r>
      <w:r>
        <w:rPr>
          <w:rFonts w:hint="eastAsia" w:ascii="仿宋_GB2312" w:hAnsi="宋体" w:eastAsia="仿宋_GB2312" w:cs="宋体"/>
          <w:color w:val="auto"/>
          <w:spacing w:val="-5"/>
          <w:kern w:val="0"/>
          <w:sz w:val="24"/>
          <w:szCs w:val="24"/>
          <w:highlight w:val="none"/>
        </w:rPr>
        <w:t>与</w:t>
      </w:r>
      <w:r>
        <w:rPr>
          <w:rFonts w:hint="eastAsia" w:ascii="仿宋_GB2312" w:hAnsi="宋体" w:eastAsia="仿宋_GB2312" w:cs="宋体"/>
          <w:color w:val="auto"/>
          <w:kern w:val="0"/>
          <w:sz w:val="24"/>
          <w:szCs w:val="24"/>
          <w:highlight w:val="none"/>
        </w:rPr>
        <w:t>乙方</w:t>
      </w:r>
      <w:r>
        <w:rPr>
          <w:rFonts w:hint="eastAsia" w:ascii="仿宋_GB2312" w:hAnsi="宋体" w:eastAsia="仿宋_GB2312" w:cs="宋体"/>
          <w:color w:val="auto"/>
          <w:spacing w:val="-6"/>
          <w:kern w:val="0"/>
          <w:sz w:val="24"/>
          <w:szCs w:val="24"/>
          <w:highlight w:val="none"/>
        </w:rPr>
        <w:t>同意，在合同期内按照本合同条款，由乙方</w:t>
      </w:r>
      <w:r>
        <w:rPr>
          <w:rFonts w:hint="eastAsia" w:ascii="仿宋_GB2312" w:hAnsi="宋体" w:eastAsia="仿宋_GB2312" w:cs="宋体"/>
          <w:color w:val="auto"/>
          <w:spacing w:val="-13"/>
          <w:kern w:val="0"/>
          <w:sz w:val="24"/>
          <w:szCs w:val="24"/>
          <w:highlight w:val="none"/>
        </w:rPr>
        <w:t>向甲方提供软件开发运维服务</w:t>
      </w:r>
      <w:r>
        <w:rPr>
          <w:rFonts w:hint="eastAsia" w:ascii="仿宋_GB2312" w:hAnsi="宋体" w:eastAsia="仿宋_GB2312" w:cs="宋体"/>
          <w:color w:val="auto"/>
          <w:kern w:val="0"/>
          <w:sz w:val="24"/>
          <w:szCs w:val="24"/>
          <w:highlight w:val="none"/>
        </w:rPr>
        <w:t>。 </w:t>
      </w:r>
    </w:p>
    <w:p w14:paraId="003C435A">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甲方：北京首新航空地面服务有限公司</w:t>
      </w:r>
    </w:p>
    <w:p w14:paraId="447901DF">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法定代表人：</w:t>
      </w:r>
    </w:p>
    <w:p w14:paraId="2C993B3C">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地址：</w:t>
      </w:r>
    </w:p>
    <w:p w14:paraId="3609FF3F">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邮政编码：</w:t>
      </w:r>
    </w:p>
    <w:p w14:paraId="69858F8E">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联系人：</w:t>
      </w:r>
    </w:p>
    <w:p w14:paraId="19D39CE4">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电话：</w:t>
      </w:r>
    </w:p>
    <w:p w14:paraId="19015D85">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传真：</w:t>
      </w:r>
    </w:p>
    <w:p w14:paraId="74D3C577">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电子邮箱：</w:t>
      </w:r>
    </w:p>
    <w:p w14:paraId="28DC048D">
      <w:pPr>
        <w:widowControl/>
        <w:spacing w:line="480" w:lineRule="auto"/>
        <w:jc w:val="left"/>
        <w:rPr>
          <w:rFonts w:hint="eastAsia" w:ascii="仿宋_GB2312" w:hAnsi="宋体" w:eastAsia="仿宋_GB2312"/>
          <w:b/>
          <w:color w:val="auto"/>
          <w:sz w:val="24"/>
          <w:szCs w:val="24"/>
          <w:highlight w:val="none"/>
        </w:rPr>
      </w:pPr>
    </w:p>
    <w:p w14:paraId="28D0016C">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乙方：</w:t>
      </w:r>
    </w:p>
    <w:p w14:paraId="7E4F2B8D">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法定代表人：</w:t>
      </w:r>
    </w:p>
    <w:p w14:paraId="24267736">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地址：</w:t>
      </w:r>
    </w:p>
    <w:p w14:paraId="62C2C790">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邮政编码：</w:t>
      </w:r>
    </w:p>
    <w:p w14:paraId="3D342B05">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联系人：</w:t>
      </w:r>
    </w:p>
    <w:p w14:paraId="000E8EDA">
      <w:pPr>
        <w:widowControl/>
        <w:spacing w:line="480" w:lineRule="auto"/>
        <w:jc w:val="lef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电话：</w:t>
      </w:r>
    </w:p>
    <w:p w14:paraId="2F27C2A7">
      <w:pPr>
        <w:widowControl/>
        <w:spacing w:line="480" w:lineRule="auto"/>
        <w:jc w:val="left"/>
        <w:rPr>
          <w:rFonts w:hint="eastAsia" w:ascii="仿宋_GB2312" w:hAnsi="宋体" w:eastAsia="仿宋_GB2312" w:cs="宋体"/>
          <w:b/>
          <w:bCs/>
          <w:color w:val="auto"/>
          <w:kern w:val="36"/>
          <w:sz w:val="24"/>
          <w:szCs w:val="24"/>
          <w:highlight w:val="none"/>
        </w:rPr>
      </w:pPr>
      <w:r>
        <w:rPr>
          <w:rFonts w:hint="eastAsia" w:ascii="仿宋_GB2312" w:hAnsi="宋体" w:eastAsia="仿宋_GB2312"/>
          <w:b/>
          <w:color w:val="auto"/>
          <w:sz w:val="24"/>
          <w:szCs w:val="24"/>
          <w:highlight w:val="none"/>
        </w:rPr>
        <w:t>电子邮箱：</w:t>
      </w:r>
      <w:r>
        <w:rPr>
          <w:rFonts w:ascii="仿宋_GB2312" w:hAnsi="宋体" w:eastAsia="仿宋_GB2312" w:cs="宋体"/>
          <w:b/>
          <w:bCs/>
          <w:color w:val="auto"/>
          <w:kern w:val="36"/>
          <w:sz w:val="24"/>
          <w:szCs w:val="24"/>
          <w:highlight w:val="none"/>
        </w:rPr>
        <w:br w:type="page"/>
      </w:r>
    </w:p>
    <w:p w14:paraId="1972678A">
      <w:pPr>
        <w:pStyle w:val="3"/>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第一条：定义</w:t>
      </w:r>
    </w:p>
    <w:p w14:paraId="696F37E9">
      <w:pPr>
        <w:widowControl/>
        <w:numPr>
          <w:ilvl w:val="0"/>
          <w:numId w:val="12"/>
        </w:numPr>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“系统”：指乙方根据合同规定须向甲方提供运维服务的软件系统。</w:t>
      </w:r>
    </w:p>
    <w:p w14:paraId="0DB689B8">
      <w:pPr>
        <w:widowControl/>
        <w:numPr>
          <w:ilvl w:val="0"/>
          <w:numId w:val="12"/>
        </w:numPr>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“服务”：指乙方按照合同约定为甲方提供的系统运维基础服务、系统开发服务、共享开发资源池管理服务以及其他相关服务。</w:t>
      </w:r>
    </w:p>
    <w:p w14:paraId="1FF53B66">
      <w:pPr>
        <w:widowControl/>
        <w:numPr>
          <w:ilvl w:val="0"/>
          <w:numId w:val="12"/>
        </w:numPr>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“项目”：指甲方要求乙方进行的软件开发运维服务项目。</w:t>
      </w:r>
    </w:p>
    <w:p w14:paraId="6684AB66">
      <w:pPr>
        <w:widowControl/>
        <w:numPr>
          <w:ilvl w:val="0"/>
          <w:numId w:val="12"/>
        </w:numPr>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“项目现场”：指甲方指定的软件系统运维服务实施地点。</w:t>
      </w:r>
    </w:p>
    <w:p w14:paraId="62B69180">
      <w:pPr>
        <w:widowControl/>
        <w:numPr>
          <w:ilvl w:val="0"/>
          <w:numId w:val="12"/>
        </w:numPr>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“天”：指日历日数。</w:t>
      </w:r>
    </w:p>
    <w:p w14:paraId="4E3F92E9">
      <w:pPr>
        <w:pStyle w:val="3"/>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第二条：服务内容及要求</w:t>
      </w:r>
    </w:p>
    <w:p w14:paraId="2C2B2F4A">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保障性维护服务内容</w:t>
      </w:r>
    </w:p>
    <w:p w14:paraId="2EA53B18">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负责所有甲方具有软件著作权的系统的运行维护和升级工作。包括但不限于受理分析系统宕机、变慢、系统灾难恢复问题。</w:t>
      </w:r>
    </w:p>
    <w:p w14:paraId="4300C11E">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根据甲方的需求，及时进行系统的运维工作，包括故障排查、性能优化和安全防护等。</w:t>
      </w:r>
    </w:p>
    <w:p w14:paraId="37CD4B94">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及时跟进软件著作权系统的升级和更新，确保系统的稳定运行和功能完善性。</w:t>
      </w:r>
    </w:p>
    <w:p w14:paraId="5851A76A">
      <w:pPr>
        <w:pStyle w:val="21"/>
        <w:numPr>
          <w:ilvl w:val="0"/>
          <w:numId w:val="13"/>
        </w:numPr>
        <w:ind w:firstLineChars="0"/>
        <w:outlineLvl w:val="3"/>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提供系统的BUG问题处理。</w:t>
      </w:r>
    </w:p>
    <w:p w14:paraId="2D1BFDBB">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通过电话、传真或信函解答甲方提出的技术问题。</w:t>
      </w:r>
    </w:p>
    <w:p w14:paraId="1217F6AC">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针对应用环境要求，提供必要的系统软件升级，修补程序安装、测试以及配套资料文档的更新。</w:t>
      </w:r>
    </w:p>
    <w:p w14:paraId="1761085C">
      <w:pPr>
        <w:pStyle w:val="21"/>
        <w:numPr>
          <w:ilvl w:val="0"/>
          <w:numId w:val="13"/>
        </w:numPr>
        <w:ind w:firstLineChars="0"/>
        <w:rPr>
          <w:rFonts w:hint="eastAsia" w:ascii="仿宋" w:hAnsi="仿宋" w:eastAsia="仿宋" w:cs="仿宋"/>
          <w:color w:val="auto"/>
          <w:highlight w:val="none"/>
        </w:rPr>
      </w:pPr>
      <w:r>
        <w:rPr>
          <w:rFonts w:hint="eastAsia" w:ascii="仿宋" w:hAnsi="仿宋" w:eastAsia="仿宋" w:cs="仿宋"/>
          <w:color w:val="auto"/>
          <w:sz w:val="21"/>
          <w:szCs w:val="21"/>
          <w:highlight w:val="none"/>
        </w:rPr>
        <w:t>根据实际系统使用情况，维护人员帮助提供日常维护手册以及提供日常维护知识库。</w:t>
      </w:r>
    </w:p>
    <w:p w14:paraId="4C4A3E96">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与产品集成的第三方产品以及系统所用平台服务过期后，可代理购买第三方厂家相关售后服务。</w:t>
      </w:r>
    </w:p>
    <w:p w14:paraId="154473F8">
      <w:pPr>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安全性维护服务内容</w:t>
      </w:r>
    </w:p>
    <w:p w14:paraId="0D146E09">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采取必要的安全措施进行数据保护。</w:t>
      </w:r>
    </w:p>
    <w:p w14:paraId="53951916">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定期进行数据备份，并提供数据恢复的能力和方案。</w:t>
      </w:r>
    </w:p>
    <w:p w14:paraId="47DB99F1">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重要网络设备、关键安全设备、核心业务服务器等日志记录不少于6个月。</w:t>
      </w:r>
    </w:p>
    <w:p w14:paraId="5CAC1725">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配合定期进行网络安全漏洞扫描和风险评估，并提供相应的修复方案并实施。</w:t>
      </w:r>
    </w:p>
    <w:p w14:paraId="25FCF99F">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提供网络入侵检测和防御系统，及时发现并应对网络攻击行为。</w:t>
      </w:r>
    </w:p>
    <w:p w14:paraId="64E58029">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定期进行安全意识培训，提高员工的网络安全意识和应急响应能力。</w:t>
      </w:r>
    </w:p>
    <w:p w14:paraId="4046715C">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遵守相关的网络安全法规和标准，确保公司系统数据的安全性和隐私保护。</w:t>
      </w:r>
    </w:p>
    <w:p w14:paraId="1F89C211">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建立完善的安全事件响应机制，能够迅速处理各类安全事件，并进行事后分析和改进。</w:t>
      </w:r>
    </w:p>
    <w:p w14:paraId="1473D15C">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在重大保障任务期间，服务提供商应派遣专门的技术人员在岗值班，以确保系统的稳定运行和及时响应。</w:t>
      </w:r>
    </w:p>
    <w:p w14:paraId="1557FEE3">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在岗值班人员应具备相应的技术能力和经验，能够迅速处理各类突发情况和故障，并与我司的相关人员密切配合。</w:t>
      </w:r>
    </w:p>
    <w:p w14:paraId="0194CAA1">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确保信息系统安全隐患清零，具备“一键关停”功能及方案。定期进行系统安全隐患排查。</w:t>
      </w:r>
    </w:p>
    <w:p w14:paraId="56C71CCA">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配合甲方明确系统安全保护等级并提供安全设计方案及运行实施方案。</w:t>
      </w:r>
    </w:p>
    <w:p w14:paraId="51FD92B2">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配合甲方评估相关系统的软硬件采购是否符合信创产品要求，确保采用信创产品，若确需采购非信创产品，配合甲方进行充分评估论证。</w:t>
      </w:r>
    </w:p>
    <w:p w14:paraId="5A6A94E5">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配合甲方进行安全检测评估工作，并完成评估后的整改工作。</w:t>
      </w:r>
    </w:p>
    <w:p w14:paraId="0ABD040D">
      <w:pPr>
        <w:spacing w:line="360" w:lineRule="auto"/>
        <w:ind w:firstLine="422" w:firstLineChars="200"/>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软件定制开发服务范围和方式</w:t>
      </w:r>
    </w:p>
    <w:p w14:paraId="1556C3B3">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范围：根据甲方要求，完成服务范围内系统/平台上提出的定制软件的设计、开发与测试，根据甲方对定制软件的质量要求和验收标准核算软件开发工时，以人天方式计算出合理报价，按实际工作量统计汇总工时数，定时核销工时数。</w:t>
      </w:r>
    </w:p>
    <w:p w14:paraId="2C8F897B">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方式：根据甲方要求，做好需求调研、方案设计的确认，完成功能设计、软件编码、测试、上线部署、试运行、本地现场服务等工作。开发计划及需求评估由甲乙双方协商制定，工作量评估由甲乙双方统一认定后开始实施，实施过程中，如没有发生新增需求等原因，无论实际实施过程中产生的实际工作量大于还是小于评估的工作量都以开始实施前甲乙双方统一认定的工作量为准。</w:t>
      </w:r>
    </w:p>
    <w:p w14:paraId="362F808F">
      <w:pPr>
        <w:pStyle w:val="21"/>
        <w:tabs>
          <w:tab w:val="left" w:pos="2127"/>
        </w:tabs>
        <w:ind w:left="420" w:firstLine="0" w:firstLineChars="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软件定制服务内容</w:t>
      </w:r>
    </w:p>
    <w:p w14:paraId="560D103F">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新增的员工日常事务办理审核应用需求。</w:t>
      </w:r>
    </w:p>
    <w:p w14:paraId="59F641D8">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新增或变更的应用界面展示优化需求。</w:t>
      </w:r>
    </w:p>
    <w:p w14:paraId="7C2392A6">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新增或变更的前台应用功能需求。</w:t>
      </w:r>
    </w:p>
    <w:p w14:paraId="2303AD5A">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新增或变更的内外部数据接口需求。</w:t>
      </w:r>
    </w:p>
    <w:p w14:paraId="60695132">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新增或变更的规则或参数配置需求。</w:t>
      </w:r>
    </w:p>
    <w:p w14:paraId="0FA0B662">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新增或变更的后台应用服务需求。</w:t>
      </w:r>
    </w:p>
    <w:p w14:paraId="3527D562">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以及其它甲方提出的定制化开发及服务需求。</w:t>
      </w:r>
    </w:p>
    <w:p w14:paraId="49ACB23E">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提供因变更操作等公司要求的现场保障服务。</w:t>
      </w:r>
    </w:p>
    <w:p w14:paraId="38CCE1EC">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根据公司需求，合理安排工作进行需求分析、编制文档、程序开发、联调测试、上线实施等工作，在规定时间内交付文档及代码等。</w:t>
      </w:r>
    </w:p>
    <w:p w14:paraId="0D9010FA">
      <w:pPr>
        <w:pStyle w:val="21"/>
        <w:numPr>
          <w:ilvl w:val="0"/>
          <w:numId w:val="13"/>
        </w:numPr>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上述需求分析、设计、开发、测试、培训、部署等全流程管理服务。</w:t>
      </w:r>
    </w:p>
    <w:p w14:paraId="1F6769BD">
      <w:pPr>
        <w:pStyle w:val="21"/>
        <w:numPr>
          <w:ilvl w:val="255"/>
          <w:numId w:val="0"/>
        </w:numPr>
        <w:ind w:left="42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服务质量保障</w:t>
      </w:r>
    </w:p>
    <w:p w14:paraId="59686F72">
      <w:pPr>
        <w:pStyle w:val="21"/>
        <w:widowControl/>
        <w:numPr>
          <w:ilvl w:val="0"/>
          <w:numId w:val="13"/>
        </w:numPr>
        <w:snapToGrid w:val="0"/>
        <w:spacing w:before="243" w:after="100" w:afterAutospacing="1" w:line="300" w:lineRule="auto"/>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保证系统可用性不低于 99.3%，即每月系统不可用时间累计不超过 5小时。若系统可用性未达到此标准，每低 0.1%，乙方应向甲方支付合同金额 0.5% 的违约金；若系统可用性低于 95%，甲方有权解除合同，并要求乙方返还已支付款项的 50%，同时乙方需承担因此给甲方造成的全部损失。</w:t>
      </w:r>
    </w:p>
    <w:p w14:paraId="40AFDD91">
      <w:pPr>
        <w:pStyle w:val="21"/>
        <w:widowControl/>
        <w:numPr>
          <w:ilvl w:val="0"/>
          <w:numId w:val="13"/>
        </w:numPr>
        <w:snapToGrid w:val="0"/>
        <w:spacing w:before="243" w:after="100" w:afterAutospacing="1" w:line="300" w:lineRule="auto"/>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针对系统故障，提供 7×24 小时故障响应服务，故障响应时间不得超过 30分钟；对于一般故障，应在 4 小时内解决；对于严重故障，解决时间不得超过 8 小时。若应答方未能在规定时间内响应或解决故障，每延迟 1 小时，应向甲方支付合同金额 0.2% 的违约金；若因故障导致系统停机超过 24 小时，甲方有权扣除乙方当月服务费用的 50%，并要求应答方采取额外措施确保类似情况不再发生。</w:t>
      </w:r>
    </w:p>
    <w:p w14:paraId="212636D1">
      <w:pPr>
        <w:pStyle w:val="21"/>
        <w:widowControl/>
        <w:numPr>
          <w:ilvl w:val="0"/>
          <w:numId w:val="13"/>
        </w:numPr>
        <w:snapToGrid w:val="0"/>
        <w:spacing w:before="243" w:after="100" w:afterAutospacing="1" w:line="300" w:lineRule="auto"/>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对于甲方提出的合理需求变更，乙方应在5个工作日内完成需求分析和评估，并提供详细的变更方案和影响评估报告。需求交付时间不得超过双方约定的合理期限，每延迟 1 个工作日，乙方应向甲方支付合同金额 0.3% 的违约金；若因需求变更处理不当导致项目进度延误超过20个工作日，甲方有权解除合同，并要求乙方赔偿因此造成的全部损失。</w:t>
      </w:r>
    </w:p>
    <w:p w14:paraId="216856C9">
      <w:pPr>
        <w:pStyle w:val="21"/>
        <w:widowControl/>
        <w:numPr>
          <w:ilvl w:val="0"/>
          <w:numId w:val="13"/>
        </w:numPr>
        <w:snapToGrid w:val="0"/>
        <w:spacing w:before="243" w:after="100" w:afterAutospacing="1" w:line="300" w:lineRule="auto"/>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应定期（至少每月一次）对 SLA 执行情况进行自我评估，并向甲方提交详细的评估报告。报告应包括各项服务指标的达成情况、存在的问题及改进措施等内容。甲方有权对乙方的评估结果进行审核，若发现乙方存在虚报或隐瞒情况，乙方应向甲方支付合同金额 5% 的违约金，并立即整改。</w:t>
      </w:r>
    </w:p>
    <w:p w14:paraId="1A022A42">
      <w:pPr>
        <w:pStyle w:val="3"/>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第三条：合同组成</w:t>
      </w:r>
    </w:p>
    <w:p w14:paraId="65DE02F7">
      <w:pPr>
        <w:widowControl/>
        <w:snapToGrid w:val="0"/>
        <w:spacing w:before="243" w:after="100" w:afterAutospacing="1" w:line="300" w:lineRule="auto"/>
        <w:jc w:val="left"/>
        <w:rPr>
          <w:rFonts w:hint="eastAsia" w:ascii="仿宋" w:hAnsi="仿宋" w:eastAsia="仿宋" w:cs="仿宋"/>
          <w:color w:val="auto"/>
          <w:kern w:val="0"/>
          <w:sz w:val="24"/>
          <w:szCs w:val="24"/>
          <w:highlight w:val="none"/>
        </w:rPr>
      </w:pPr>
      <w:bookmarkStart w:id="1" w:name="_Toc281936799"/>
      <w:r>
        <w:rPr>
          <w:rFonts w:hint="eastAsia" w:ascii="仿宋" w:hAnsi="仿宋" w:eastAsia="仿宋" w:cs="仿宋"/>
          <w:color w:val="auto"/>
          <w:kern w:val="0"/>
          <w:sz w:val="24"/>
          <w:szCs w:val="24"/>
          <w:highlight w:val="none"/>
        </w:rPr>
        <w:t>下述文件</w:t>
      </w:r>
      <w:bookmarkEnd w:id="1"/>
      <w:r>
        <w:rPr>
          <w:rFonts w:hint="eastAsia" w:ascii="仿宋" w:hAnsi="仿宋" w:eastAsia="仿宋" w:cs="仿宋"/>
          <w:color w:val="auto"/>
          <w:kern w:val="0"/>
          <w:sz w:val="24"/>
          <w:szCs w:val="24"/>
          <w:highlight w:val="none"/>
        </w:rPr>
        <w:t>是构成本合同不可分割的部分:</w:t>
      </w:r>
    </w:p>
    <w:p w14:paraId="75947946">
      <w:pPr>
        <w:widowControl/>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1、本合同条款及其所有附件；</w:t>
      </w:r>
    </w:p>
    <w:p w14:paraId="1BD6F253">
      <w:pPr>
        <w:widowControl/>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2、甲方的招标文件；</w:t>
      </w:r>
    </w:p>
    <w:p w14:paraId="521FA47E">
      <w:pPr>
        <w:widowControl/>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3、乙方的投标响应文件及质疑解答文件；</w:t>
      </w:r>
    </w:p>
    <w:p w14:paraId="4872684E">
      <w:pPr>
        <w:widowControl/>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4、法人代表授权书。</w:t>
      </w:r>
    </w:p>
    <w:p w14:paraId="0F3B7F4B">
      <w:pPr>
        <w:widowControl/>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果乙方的投标响应文件及质疑解答文件内容违背或低于甲方招标文件要求或任何可能导致影响当次采购目的的情形，均应当被视为乙方自动放弃投标响应文件及质疑解答文件中相应部分而同意以甲方招标文件相应内容为准。如果乙方的投标响应文件及质疑解答文件内容高于甲方招标文件要求，则以乙方的投标响应文件及质疑解答文件内容为准。如果合同条款与合同附件有矛盾之处，以合同条款内容为准。</w:t>
      </w:r>
    </w:p>
    <w:p w14:paraId="7082E2F8">
      <w:pPr>
        <w:pStyle w:val="3"/>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第四条：服务期限</w:t>
      </w:r>
    </w:p>
    <w:p w14:paraId="4AFDBC44">
      <w:pPr>
        <w:widowControl/>
        <w:snapToGrid w:val="0"/>
        <w:spacing w:before="243" w:after="100" w:afterAutospacing="1" w:line="30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本合同服务期限自合同签订之日起12个月。合同期满后，根据服务质量和双方意愿可协商续签。</w:t>
      </w:r>
    </w:p>
    <w:p w14:paraId="08412F5A">
      <w:pPr>
        <w:pStyle w:val="3"/>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第五条：合同价款</w:t>
      </w:r>
    </w:p>
    <w:tbl>
      <w:tblPr>
        <w:tblStyle w:val="14"/>
        <w:tblW w:w="827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9"/>
        <w:gridCol w:w="1736"/>
        <w:gridCol w:w="5194"/>
      </w:tblGrid>
      <w:tr w14:paraId="573EEE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9" w:type="dxa"/>
            <w:vMerge w:val="restart"/>
            <w:vAlign w:val="center"/>
          </w:tcPr>
          <w:p w14:paraId="10D642F5">
            <w:pPr>
              <w:spacing w:line="520" w:lineRule="exact"/>
              <w:ind w:right="71" w:firstLine="32"/>
              <w:jc w:val="center"/>
              <w:rPr>
                <w:rFonts w:hint="eastAsia" w:ascii="仿宋" w:hAnsi="仿宋" w:eastAsia="仿宋" w:cs="仿宋"/>
                <w:b/>
                <w:bCs/>
                <w:color w:val="auto"/>
                <w:spacing w:val="4"/>
                <w:sz w:val="22"/>
                <w:szCs w:val="22"/>
                <w:highlight w:val="none"/>
              </w:rPr>
            </w:pPr>
            <w:r>
              <w:rPr>
                <w:rFonts w:hint="eastAsia" w:ascii="仿宋" w:hAnsi="仿宋" w:eastAsia="仿宋" w:cs="仿宋"/>
                <w:b/>
                <w:bCs/>
                <w:color w:val="auto"/>
                <w:spacing w:val="4"/>
                <w:sz w:val="22"/>
                <w:szCs w:val="22"/>
                <w:highlight w:val="none"/>
              </w:rPr>
              <w:t>总价</w:t>
            </w:r>
          </w:p>
          <w:p w14:paraId="442E3A60">
            <w:pPr>
              <w:spacing w:line="520" w:lineRule="exact"/>
              <w:ind w:right="71" w:firstLine="32"/>
              <w:jc w:val="center"/>
              <w:rPr>
                <w:rFonts w:hint="eastAsia" w:ascii="仿宋" w:hAnsi="仿宋" w:eastAsia="仿宋" w:cs="仿宋"/>
                <w:b/>
                <w:bCs/>
                <w:color w:val="auto"/>
                <w:spacing w:val="4"/>
                <w:sz w:val="22"/>
                <w:szCs w:val="22"/>
                <w:highlight w:val="none"/>
              </w:rPr>
            </w:pPr>
            <w:r>
              <w:rPr>
                <w:rFonts w:hint="eastAsia" w:ascii="仿宋" w:hAnsi="仿宋" w:eastAsia="仿宋" w:cs="仿宋"/>
                <w:b/>
                <w:bCs/>
                <w:color w:val="auto"/>
                <w:spacing w:val="4"/>
                <w:sz w:val="22"/>
                <w:szCs w:val="22"/>
                <w:highlight w:val="none"/>
              </w:rPr>
              <w:t>（人民币）</w:t>
            </w:r>
          </w:p>
        </w:tc>
        <w:tc>
          <w:tcPr>
            <w:tcW w:w="1736" w:type="dxa"/>
          </w:tcPr>
          <w:p w14:paraId="45779CE3">
            <w:pPr>
              <w:spacing w:line="520" w:lineRule="exact"/>
              <w:ind w:right="71" w:firstLine="32"/>
              <w:jc w:val="center"/>
              <w:rPr>
                <w:rFonts w:hint="eastAsia" w:ascii="仿宋" w:hAnsi="仿宋" w:eastAsia="仿宋" w:cs="仿宋"/>
                <w:bCs/>
                <w:color w:val="auto"/>
                <w:spacing w:val="4"/>
                <w:sz w:val="22"/>
                <w:szCs w:val="22"/>
                <w:highlight w:val="none"/>
              </w:rPr>
            </w:pPr>
            <w:r>
              <w:rPr>
                <w:rFonts w:hint="eastAsia" w:ascii="仿宋" w:hAnsi="仿宋" w:eastAsia="仿宋" w:cs="仿宋"/>
                <w:bCs/>
                <w:color w:val="auto"/>
                <w:spacing w:val="4"/>
                <w:sz w:val="22"/>
                <w:szCs w:val="22"/>
                <w:highlight w:val="none"/>
              </w:rPr>
              <w:t>不含税价格</w:t>
            </w:r>
          </w:p>
        </w:tc>
        <w:tc>
          <w:tcPr>
            <w:tcW w:w="5194" w:type="dxa"/>
            <w:vAlign w:val="center"/>
          </w:tcPr>
          <w:p w14:paraId="43014239">
            <w:pPr>
              <w:spacing w:line="520" w:lineRule="exact"/>
              <w:ind w:right="71" w:firstLine="32"/>
              <w:rPr>
                <w:rFonts w:hint="eastAsia" w:ascii="仿宋" w:hAnsi="仿宋" w:eastAsia="仿宋" w:cs="仿宋"/>
                <w:b/>
                <w:bCs/>
                <w:color w:val="auto"/>
                <w:spacing w:val="4"/>
                <w:sz w:val="22"/>
                <w:szCs w:val="22"/>
                <w:highlight w:val="none"/>
              </w:rPr>
            </w:pPr>
          </w:p>
        </w:tc>
      </w:tr>
      <w:tr w14:paraId="22647A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9" w:type="dxa"/>
            <w:vMerge w:val="continue"/>
            <w:vAlign w:val="center"/>
          </w:tcPr>
          <w:p w14:paraId="17126ED3">
            <w:pPr>
              <w:spacing w:line="520" w:lineRule="exact"/>
              <w:ind w:right="71" w:firstLine="32"/>
              <w:jc w:val="center"/>
              <w:rPr>
                <w:rFonts w:hint="eastAsia" w:ascii="仿宋" w:hAnsi="仿宋" w:eastAsia="仿宋" w:cs="仿宋"/>
                <w:b/>
                <w:bCs/>
                <w:color w:val="auto"/>
                <w:spacing w:val="4"/>
                <w:sz w:val="22"/>
                <w:szCs w:val="22"/>
                <w:highlight w:val="none"/>
              </w:rPr>
            </w:pPr>
          </w:p>
        </w:tc>
        <w:tc>
          <w:tcPr>
            <w:tcW w:w="1736" w:type="dxa"/>
          </w:tcPr>
          <w:p w14:paraId="15F79DAB">
            <w:pPr>
              <w:spacing w:line="520" w:lineRule="exact"/>
              <w:ind w:right="71" w:firstLine="32"/>
              <w:jc w:val="center"/>
              <w:rPr>
                <w:rFonts w:hint="eastAsia" w:ascii="仿宋" w:hAnsi="仿宋" w:eastAsia="仿宋" w:cs="仿宋"/>
                <w:color w:val="auto"/>
                <w:spacing w:val="4"/>
                <w:sz w:val="22"/>
                <w:szCs w:val="22"/>
                <w:highlight w:val="none"/>
              </w:rPr>
            </w:pPr>
            <w:r>
              <w:rPr>
                <w:rFonts w:hint="eastAsia" w:ascii="仿宋" w:hAnsi="仿宋" w:eastAsia="仿宋" w:cs="仿宋"/>
                <w:color w:val="auto"/>
                <w:spacing w:val="4"/>
                <w:sz w:val="22"/>
                <w:szCs w:val="22"/>
                <w:highlight w:val="none"/>
              </w:rPr>
              <w:t>税金</w:t>
            </w:r>
          </w:p>
        </w:tc>
        <w:tc>
          <w:tcPr>
            <w:tcW w:w="5194" w:type="dxa"/>
            <w:vAlign w:val="center"/>
          </w:tcPr>
          <w:p w14:paraId="4F02D5D1">
            <w:pPr>
              <w:spacing w:line="520" w:lineRule="exact"/>
              <w:ind w:right="71" w:firstLine="32"/>
              <w:rPr>
                <w:rFonts w:hint="eastAsia" w:ascii="仿宋" w:hAnsi="仿宋" w:eastAsia="仿宋" w:cs="仿宋"/>
                <w:color w:val="auto"/>
                <w:spacing w:val="4"/>
                <w:sz w:val="22"/>
                <w:szCs w:val="22"/>
                <w:highlight w:val="none"/>
              </w:rPr>
            </w:pPr>
          </w:p>
        </w:tc>
      </w:tr>
      <w:tr w14:paraId="558862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9" w:type="dxa"/>
            <w:vMerge w:val="continue"/>
            <w:vAlign w:val="center"/>
          </w:tcPr>
          <w:p w14:paraId="456A3B9C">
            <w:pPr>
              <w:spacing w:line="520" w:lineRule="exact"/>
              <w:ind w:right="71" w:firstLine="32"/>
              <w:jc w:val="center"/>
              <w:rPr>
                <w:rFonts w:hint="eastAsia" w:ascii="仿宋" w:hAnsi="仿宋" w:eastAsia="仿宋" w:cs="仿宋"/>
                <w:b/>
                <w:bCs/>
                <w:color w:val="auto"/>
                <w:spacing w:val="4"/>
                <w:sz w:val="22"/>
                <w:szCs w:val="22"/>
                <w:highlight w:val="none"/>
              </w:rPr>
            </w:pPr>
          </w:p>
        </w:tc>
        <w:tc>
          <w:tcPr>
            <w:tcW w:w="1736" w:type="dxa"/>
          </w:tcPr>
          <w:p w14:paraId="7F635A66">
            <w:pPr>
              <w:spacing w:line="520" w:lineRule="exact"/>
              <w:ind w:right="71" w:firstLine="32"/>
              <w:jc w:val="center"/>
              <w:rPr>
                <w:rFonts w:hint="eastAsia" w:ascii="仿宋" w:hAnsi="仿宋" w:eastAsia="仿宋" w:cs="仿宋"/>
                <w:color w:val="auto"/>
                <w:spacing w:val="4"/>
                <w:sz w:val="22"/>
                <w:szCs w:val="22"/>
                <w:highlight w:val="none"/>
              </w:rPr>
            </w:pPr>
            <w:r>
              <w:rPr>
                <w:rFonts w:hint="eastAsia" w:ascii="仿宋" w:hAnsi="仿宋" w:eastAsia="仿宋" w:cs="仿宋"/>
                <w:color w:val="auto"/>
                <w:spacing w:val="4"/>
                <w:sz w:val="22"/>
                <w:szCs w:val="22"/>
                <w:highlight w:val="none"/>
              </w:rPr>
              <w:t>含税价格</w:t>
            </w:r>
          </w:p>
        </w:tc>
        <w:tc>
          <w:tcPr>
            <w:tcW w:w="5194" w:type="dxa"/>
            <w:vAlign w:val="center"/>
          </w:tcPr>
          <w:p w14:paraId="6768911F">
            <w:pPr>
              <w:spacing w:line="520" w:lineRule="exact"/>
              <w:ind w:right="71" w:firstLine="32"/>
              <w:rPr>
                <w:rFonts w:hint="eastAsia" w:ascii="仿宋" w:hAnsi="仿宋" w:eastAsia="仿宋" w:cs="仿宋"/>
                <w:color w:val="auto"/>
                <w:spacing w:val="4"/>
                <w:sz w:val="22"/>
                <w:szCs w:val="22"/>
                <w:highlight w:val="none"/>
              </w:rPr>
            </w:pPr>
            <w:r>
              <w:rPr>
                <w:rFonts w:hint="eastAsia" w:ascii="仿宋" w:hAnsi="仿宋" w:eastAsia="仿宋" w:cs="仿宋"/>
                <w:color w:val="auto"/>
                <w:spacing w:val="4"/>
                <w:sz w:val="22"/>
                <w:szCs w:val="22"/>
                <w:highlight w:val="none"/>
              </w:rPr>
              <w:t>¥    元（大写：人民币元整）</w:t>
            </w:r>
          </w:p>
        </w:tc>
      </w:tr>
    </w:tbl>
    <w:p w14:paraId="6E41938F">
      <w:pPr>
        <w:widowControl/>
        <w:numPr>
          <w:ilvl w:val="0"/>
          <w:numId w:val="14"/>
        </w:numPr>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根据本项目的采购需求，本合同的总金额为人民币¥  元整(大写：人民币元整)。合同总金额为乙方提供软件开发运维服务的全部价格（包括但不限于使用培训、售后服务、保修期服务以及所有伴随的其他服务价格）；合同总金额也是甲方依据本合同应向乙方支付的全部价款，此价款为含增值税的含税价，且已包含乙方的所有收费项目。如根据项目实际情况需要对部分服务内容进行调整的，原则上不增加费用。</w:t>
      </w:r>
    </w:p>
    <w:p w14:paraId="36DF5B79">
      <w:pPr>
        <w:widowControl/>
        <w:numPr>
          <w:ilvl w:val="0"/>
          <w:numId w:val="14"/>
        </w:numPr>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软件开发增值部分按照</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元签订订单核算。</w:t>
      </w:r>
    </w:p>
    <w:p w14:paraId="25775E62">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3）本合同项下的一切价款和费用均以人民币结算及支付。</w:t>
      </w:r>
    </w:p>
    <w:p w14:paraId="10BCCF62">
      <w:pPr>
        <w:pStyle w:val="3"/>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第六条：付款方式</w:t>
      </w:r>
    </w:p>
    <w:p w14:paraId="47096CA8">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1）价款支付条件和时间</w:t>
      </w:r>
    </w:p>
    <w:p w14:paraId="4E936619">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甲方应当按照下列约定向乙方分三阶段支付价款：</w:t>
      </w:r>
    </w:p>
    <w:p w14:paraId="5FD86F08">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合同签订后，甲方收到乙方提交的第一次付款需要提交的相关文件（所有文件同时具备且以后至者为起算时间点）后20日内，甲方向乙方支付合同总金额的30%，即￥元，大写：人民币（其中，不含税价格￥元，税金￥元）；第一次付款需要提交的相关文件。乙方未提供如下文件的，甲方有权拒绝付款：</w:t>
      </w:r>
    </w:p>
    <w:p w14:paraId="27F2859F">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A.乙方开具、交付且经甲方认证成功的符合国家规定的全额增值税专用发票；</w:t>
      </w:r>
    </w:p>
    <w:p w14:paraId="65C46FD5">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B.乙方填写的付款申请书。</w:t>
      </w:r>
    </w:p>
    <w:p w14:paraId="4D8D2745">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合同签订6个月后，甲方收到乙方提交的第二次付款需要提交的相关文件（所有文件同时具备且以后至者为起算时间点）后15日内，甲方向乙方支付合同总金额的30%，即￥元，大写：人民币（其中，不含税价格￥元，税金￥元）。第二次付款需要提交的相关文件。乙方未提供如下文件的，甲方有权拒绝付款：</w:t>
      </w:r>
    </w:p>
    <w:p w14:paraId="423D178A">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A.乙方开具、交付且经甲方认证成功的符合国家规定的全额增值税专用发票。</w:t>
      </w:r>
    </w:p>
    <w:p w14:paraId="2B1CA767">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B.乙方填写的付款申请书；</w:t>
      </w:r>
    </w:p>
    <w:p w14:paraId="04965347">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合同截止当月，甲方收到乙方提交的第三次付款需要提交的相关文件（所有文件同时具备且以后至者为起算时间点）后15日内，甲方向乙方支付合同总金额的40%，即￥元，大写：人民币（其中，不含税价格￥元，税金￥元）。第三次付款需要提交的相关文件。乙方未提供如下文件的，甲方有权拒绝付款：</w:t>
      </w:r>
    </w:p>
    <w:p w14:paraId="71B17896">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A.乙方填写的付款申请书；</w:t>
      </w:r>
    </w:p>
    <w:p w14:paraId="09EBF368">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B.乙方开具、交付且经甲方认证成功的符合国家规定的全额增值税专用发票。</w:t>
      </w:r>
    </w:p>
    <w:p w14:paraId="01B58441">
      <w:pPr>
        <w:pStyle w:val="22"/>
        <w:widowControl/>
        <w:numPr>
          <w:ilvl w:val="0"/>
          <w:numId w:val="15"/>
        </w:numPr>
        <w:snapToGrid w:val="0"/>
        <w:spacing w:before="243" w:after="100" w:afterAutospacing="1" w:line="300" w:lineRule="auto"/>
        <w:ind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支付账户</w:t>
      </w:r>
    </w:p>
    <w:p w14:paraId="0A3F827C">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支付时，甲方应按照本合同约定将款项划转入如下账户：</w:t>
      </w:r>
    </w:p>
    <w:p w14:paraId="021C38FA">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w:t>
      </w:r>
    </w:p>
    <w:p w14:paraId="7CF50F3B">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账户户名：</w:t>
      </w:r>
    </w:p>
    <w:p w14:paraId="41568738">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账号：</w:t>
      </w:r>
    </w:p>
    <w:p w14:paraId="1F27E65F">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上述账户信息如有变更，乙方应在合同约定的相关付款期限前至少提前10个工作日以书面方式通知甲方，通知应加盖乙方公章。如乙方账户信息变更而未按合同约定通知甲方的，由此造成的一切后果由乙方承担。</w:t>
      </w:r>
    </w:p>
    <w:p w14:paraId="111C4F30">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发票</w:t>
      </w:r>
    </w:p>
    <w:p w14:paraId="562DAF0F">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（1）乙方应当在提交付款需要的相关文件时依据法律法规向甲方开具（或通过税务集团代开）增值税专用发票并交付至甲方指定联系人。甲方收到增值税专用发票并认证成功后再支付款项。</w:t>
      </w:r>
    </w:p>
    <w:p w14:paraId="1DCCDE93">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（2）甲方开票信息</w:t>
      </w:r>
    </w:p>
    <w:p w14:paraId="4F3B5F6F">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纳税人名称：北京首新航空地面服务有限公司</w:t>
      </w:r>
    </w:p>
    <w:p w14:paraId="62A471BD">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纳税人识别号：</w:t>
      </w:r>
    </w:p>
    <w:p w14:paraId="5DB174DA">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地址、电话: </w:t>
      </w:r>
    </w:p>
    <w:p w14:paraId="76733EF3">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开户行及账号:  </w:t>
      </w:r>
    </w:p>
    <w:p w14:paraId="5DB7E1CE">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乙方开具的增值税专用发票出现（包括但不限于）以下情形的，甲方有权延迟支付应付款项直至乙方重新开具增值税专用发票，且不承担任何违约责任。甲方有权要求乙方承担由此造成的全部损失，包括但不限于税金、附加费、罚金、滞纳金。</w:t>
      </w:r>
    </w:p>
    <w:p w14:paraId="4EDD8F34">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乙方开具的发票虚假、作废、无效或违反国家法律法规；</w:t>
      </w:r>
    </w:p>
    <w:p w14:paraId="302BB5E5">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乙方开具的发票种类、税率及甲方开票信息错误；</w:t>
      </w:r>
    </w:p>
    <w:p w14:paraId="411D77DA">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因乙方延迟交付发票等原因造成发票认证失败的其他情况。</w:t>
      </w:r>
    </w:p>
    <w:p w14:paraId="6B3E5255">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如发生需要作废发票或开具红字发票等情形，乙方应当根据甲方要求在甲方指定期限内提供协助。</w:t>
      </w:r>
    </w:p>
    <w:p w14:paraId="63156441">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乙方为中华人民共和国境外供应商，且在中华人民共和国境内设有营业机构或者有代理人为乙方扣缴增值税，乙方应立即将该情形通知甲方，并在甲方付款前向甲方提供解缴税款的相关完税凭证。如乙方未向甲方提供完税凭证，甲方将在支付款项前根据中国税收法律、行政法规或者国家税务总局的有关要求，代乙方扣缴相关款项适用的增值税和附加税费，乙方应向甲方提供中国税务集团要求由乙方出具的文件和信息。为完成在中华人民共和国境内的增值税扣缴，乙方应向甲方提供对账单或商业发票，并在商业发票上注明发票金额已包含增值税和增值税附加税费。</w:t>
      </w:r>
    </w:p>
    <w:p w14:paraId="73B8383B">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根据合同相关条款的规定，如乙方有赔偿和/或罚款责任，则甲方有权从未支付款项中扣除相关金额；如扣除全部未支付款项后仍然不足，则甲方有权继续向乙方追偿。</w:t>
      </w:r>
    </w:p>
    <w:p w14:paraId="02D710CD">
      <w:pPr>
        <w:pStyle w:val="3"/>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第七条：权利瑕疵</w:t>
      </w:r>
    </w:p>
    <w:p w14:paraId="5219AEB3">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相对人造成损失的应给予赔偿。 </w:t>
      </w:r>
    </w:p>
    <w:p w14:paraId="670DB06E">
      <w:pPr>
        <w:pStyle w:val="3"/>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第八条：知识产权</w:t>
      </w:r>
    </w:p>
    <w:p w14:paraId="142D5045">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为甲方专门开发的应用软件的知识产权归甲方所有；在双方提供的软件产品基础上开发、研制形成的技术成果（包括但不限于程序、源代码、文件、资料等）的知识产权归甲方所有。以上技术成果未事先获得甲方书面许可，任何人不得擅自使用。乙方不得以自己或第三方名义提出权利申请、注册或备案等。未经甲方书面同意，乙方（包括乙方开发人员）不得对开发软件进行商业利用，也不得将开发软件以任何方式复制发行、传播、许可、转让、出租或交换给任何第三方。</w:t>
      </w:r>
    </w:p>
    <w:p w14:paraId="2AACCD11">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保证在系统交货时或安装完毕前向甲方提供本合同中甲方不拥有知识产权的软件的授权使用证明。对于乙方拥有自主知识产权的软件，乙方应提供由乙方授权代表签署并加盖公章的授权使用证明；对乙方不拥有知识产权的软件，乙方应提供由拥有知识产权的原厂商签署的授权使用证明；</w:t>
      </w:r>
    </w:p>
    <w:p w14:paraId="24448437">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应保证甲方在中华人民共和国使用本合同系统或其任何一部分时不受第三方关于侵犯其专利权、商标权或工业设计等知识产权的指控。任何第三方如果提出侵权指控，乙方须与第三方交涉并承担由此引起的一切法律责任和费用以及赔偿由此给甲方造成的一切损失，并且乙方应当选择下列措施之一进行补救：</w:t>
      </w:r>
    </w:p>
    <w:p w14:paraId="488023D5">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1、取得第三方的许可。</w:t>
      </w:r>
    </w:p>
    <w:p w14:paraId="55F0849B">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2、修改或更换开发软件使其不侵权。</w:t>
      </w:r>
    </w:p>
    <w:p w14:paraId="6BA81812">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为甲方申办计算机软件著作权，包括：计算机软件著作申请书撰写、递交、手续办理和官方费用交付。乙方应在递交申请后第二个工作日开始计算的月31-40个工作日内为甲方取得证书。（此条款可能产生的费用已包含在合同总金额中，不再另行支付）</w:t>
      </w:r>
    </w:p>
    <w:p w14:paraId="1766DA17">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本合同条款的规定不因本合同的到期而效力终止。</w:t>
      </w:r>
    </w:p>
    <w:p w14:paraId="1BD6F596">
      <w:pPr>
        <w:pStyle w:val="3"/>
        <w:rPr>
          <w:rFonts w:hint="eastAsia" w:ascii="仿宋" w:hAnsi="仿宋" w:eastAsia="仿宋" w:cs="仿宋"/>
          <w:color w:val="auto"/>
          <w:sz w:val="24"/>
          <w:szCs w:val="44"/>
          <w:highlight w:val="none"/>
        </w:rPr>
      </w:pPr>
      <w:bookmarkStart w:id="2" w:name="_Toc498523609"/>
      <w:bookmarkStart w:id="3" w:name="_Toc420514541"/>
      <w:bookmarkStart w:id="4" w:name="_Toc66048714"/>
      <w:bookmarkStart w:id="5" w:name="_Toc453593873"/>
      <w:bookmarkStart w:id="6" w:name="_Toc433890341"/>
      <w:bookmarkStart w:id="7" w:name="_Toc5074"/>
      <w:bookmarkStart w:id="8" w:name="_Toc24894"/>
      <w:bookmarkStart w:id="9" w:name="_Toc82697720"/>
      <w:bookmarkStart w:id="10" w:name="_Toc21626"/>
      <w:bookmarkStart w:id="11" w:name="_Toc1138"/>
      <w:bookmarkStart w:id="12" w:name="_Toc119420513"/>
      <w:bookmarkStart w:id="13" w:name="_Toc14097"/>
      <w:bookmarkStart w:id="14" w:name="_Toc21273"/>
      <w:bookmarkStart w:id="15" w:name="_Toc521675473"/>
      <w:bookmarkStart w:id="16" w:name="_Toc431314780"/>
      <w:bookmarkStart w:id="17" w:name="_Toc67493567"/>
      <w:bookmarkStart w:id="18" w:name="_Toc491682931"/>
      <w:bookmarkStart w:id="19" w:name="_Toc129702495"/>
      <w:r>
        <w:rPr>
          <w:rFonts w:hint="eastAsia" w:ascii="仿宋" w:hAnsi="仿宋" w:eastAsia="仿宋" w:cs="仿宋"/>
          <w:color w:val="auto"/>
          <w:sz w:val="24"/>
          <w:szCs w:val="44"/>
          <w:highlight w:val="none"/>
        </w:rPr>
        <w:t>第九条：不可抗力</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CE4E6AC">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如双方任何一方因不可抗力导致合同实施延误或不能履行其它合同义务，双方均不承担赔偿责任，但乙方迟延履行发生不可抗力的，乙方应承担给甲方造成的一切损失；</w:t>
      </w:r>
    </w:p>
    <w:p w14:paraId="4EE1AE5A">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条款所述的“不可抗力”系指那些双方在签订合同时所不能预见的，并且它的发生及其后果是无法避免和无法克服的事件，但不包括乙方的违约或疏忽。不可抗力事件包括但不限于：战争、严重火灾、洪水、台风、地震、疫情管制等；</w:t>
      </w:r>
    </w:p>
    <w:p w14:paraId="082EF540">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不可抗力事件发生时，受不可抗力影响的一方应尽快以书面形式将不可抗力的情况和原因通知对方;并在事故发生后15日内，将有关部门出具的证明文件、详细情况报告以及不可抗力对合同影响程度的说明用特快专递或挂号信的形式寄给另一方。如果不可抗力影响时间延续60日以上，双方应通过友好协商在合理的时间内达成进一步履行合同或终止合同的协议。如果履行合同，那么合同期限应予以延长，延长的期限应相当于事故所影响的时间；</w:t>
      </w:r>
    </w:p>
    <w:p w14:paraId="57B29223">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发生不可抗力时，任何一方均不对因不可抗力无法履行或迟延履行本合同义务而使另一方蒙受的损失承担责任，但遭受不可抗力一方有责任尽可能及时采取适当或必要措施减少或消除不可抗力的影响。遭受不可抗力的一方对因未尽本项义务而造成的损失承担赔偿责任。</w:t>
      </w:r>
    </w:p>
    <w:p w14:paraId="716C17EA">
      <w:pPr>
        <w:pStyle w:val="3"/>
        <w:rPr>
          <w:rFonts w:hint="eastAsia" w:ascii="仿宋" w:hAnsi="仿宋" w:eastAsia="仿宋" w:cs="仿宋"/>
          <w:color w:val="auto"/>
          <w:sz w:val="24"/>
          <w:szCs w:val="44"/>
          <w:highlight w:val="none"/>
        </w:rPr>
      </w:pPr>
      <w:bookmarkStart w:id="20" w:name="_Toc498523610"/>
      <w:bookmarkStart w:id="21" w:name="_Toc119420514"/>
      <w:bookmarkStart w:id="22" w:name="_Toc6854"/>
      <w:bookmarkStart w:id="23" w:name="_Toc5124"/>
      <w:bookmarkStart w:id="24" w:name="_Toc30274"/>
      <w:bookmarkStart w:id="25" w:name="_Toc453593874"/>
      <w:bookmarkStart w:id="26" w:name="_Toc32258"/>
      <w:bookmarkStart w:id="27" w:name="_Toc26619"/>
      <w:bookmarkStart w:id="28" w:name="_Toc431314783"/>
      <w:bookmarkStart w:id="29" w:name="_Toc521675474"/>
      <w:bookmarkStart w:id="30" w:name="_Toc66048715"/>
      <w:bookmarkStart w:id="31" w:name="_Toc129702496"/>
      <w:bookmarkStart w:id="32" w:name="_Toc82697721"/>
      <w:bookmarkStart w:id="33" w:name="_Toc420514544"/>
      <w:bookmarkStart w:id="34" w:name="_Toc282503304"/>
      <w:bookmarkStart w:id="35" w:name="_Toc433890344"/>
      <w:bookmarkStart w:id="36" w:name="_Toc4529"/>
      <w:bookmarkStart w:id="37" w:name="_Toc67493568"/>
      <w:bookmarkStart w:id="38" w:name="_Toc491682932"/>
      <w:r>
        <w:rPr>
          <w:rFonts w:hint="eastAsia" w:ascii="仿宋" w:hAnsi="仿宋" w:eastAsia="仿宋" w:cs="仿宋"/>
          <w:color w:val="auto"/>
          <w:sz w:val="24"/>
          <w:szCs w:val="44"/>
          <w:highlight w:val="none"/>
        </w:rPr>
        <w:t>第十条：合同文件及</w:t>
      </w:r>
      <w:bookmarkStart w:id="39" w:name="_Toc281936814"/>
      <w:r>
        <w:rPr>
          <w:rFonts w:hint="eastAsia" w:ascii="仿宋" w:hAnsi="仿宋" w:eastAsia="仿宋" w:cs="仿宋"/>
          <w:color w:val="auto"/>
          <w:sz w:val="24"/>
          <w:szCs w:val="44"/>
          <w:highlight w:val="none"/>
        </w:rPr>
        <w:t>资料的使用</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215AEB3">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乙方在未</w:t>
      </w:r>
      <w:bookmarkEnd w:id="39"/>
      <w:r>
        <w:rPr>
          <w:rFonts w:hint="eastAsia" w:ascii="仿宋" w:hAnsi="仿宋" w:eastAsia="仿宋" w:cs="仿宋"/>
          <w:color w:val="auto"/>
          <w:kern w:val="0"/>
          <w:sz w:val="24"/>
          <w:szCs w:val="24"/>
          <w:highlight w:val="none"/>
        </w:rPr>
        <w:t>经甲方书面同意的情况下，不得将由甲方或甲方代表提供的有关合同中的规定、有关规格、计划、图纸、样本或甲方为上述内容向乙方提供的资料透露给与履行本合同无关的任何其他人。即使向与本合同的有关人员提供，也应注意保密并限于履行合同必须的范围；</w:t>
      </w:r>
    </w:p>
    <w:p w14:paraId="7DC3AF57">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除非执行合同需要，在事先未得到甲方同意的情况下，乙方不得使用本合同条款中所列举的任何文件和资料；</w:t>
      </w:r>
    </w:p>
    <w:p w14:paraId="58B05B9D">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除合同本身以外，由甲方提供给乙方的所有资料始终为甲方的财产，乙方应于合同义务履行完毕后10日内将上述资料包括副本退还给甲方。</w:t>
      </w:r>
    </w:p>
    <w:p w14:paraId="6AE1A76E">
      <w:pPr>
        <w:pStyle w:val="3"/>
        <w:rPr>
          <w:rFonts w:hint="eastAsia" w:ascii="仿宋" w:hAnsi="仿宋" w:eastAsia="仿宋" w:cs="仿宋"/>
          <w:color w:val="auto"/>
          <w:sz w:val="24"/>
          <w:szCs w:val="44"/>
          <w:highlight w:val="none"/>
        </w:rPr>
      </w:pPr>
      <w:bookmarkStart w:id="40" w:name="_Toc420514545"/>
      <w:bookmarkStart w:id="41" w:name="_Toc431314784"/>
      <w:bookmarkStart w:id="42" w:name="_Toc21029"/>
      <w:bookmarkStart w:id="43" w:name="_Toc119420515"/>
      <w:bookmarkStart w:id="44" w:name="_Toc433890345"/>
      <w:bookmarkStart w:id="45" w:name="_Toc66048716"/>
      <w:bookmarkStart w:id="46" w:name="_Toc491682933"/>
      <w:bookmarkStart w:id="47" w:name="_Toc26782"/>
      <w:bookmarkStart w:id="48" w:name="_Toc498523611"/>
      <w:bookmarkStart w:id="49" w:name="_Toc27463"/>
      <w:bookmarkStart w:id="50" w:name="_Toc521675475"/>
      <w:bookmarkStart w:id="51" w:name="_Toc3600"/>
      <w:bookmarkStart w:id="52" w:name="_Toc20420"/>
      <w:bookmarkStart w:id="53" w:name="_Toc453593875"/>
      <w:bookmarkStart w:id="54" w:name="_Toc82697722"/>
      <w:bookmarkStart w:id="55" w:name="_Toc10577"/>
      <w:bookmarkStart w:id="56" w:name="_Toc129702497"/>
      <w:bookmarkStart w:id="57" w:name="_Toc67493569"/>
      <w:bookmarkStart w:id="58" w:name="_Toc282503305"/>
      <w:r>
        <w:rPr>
          <w:rFonts w:hint="eastAsia" w:ascii="仿宋" w:hAnsi="仿宋" w:eastAsia="仿宋" w:cs="仿宋"/>
          <w:color w:val="auto"/>
          <w:sz w:val="24"/>
          <w:szCs w:val="44"/>
          <w:highlight w:val="none"/>
        </w:rPr>
        <w:t>第十一条：保密条款</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B4AB328">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bookmarkStart w:id="59" w:name="_Toc281936815"/>
      <w:r>
        <w:rPr>
          <w:rFonts w:hint="eastAsia" w:ascii="仿宋" w:hAnsi="仿宋" w:eastAsia="仿宋" w:cs="仿宋"/>
          <w:color w:val="auto"/>
          <w:kern w:val="0"/>
          <w:sz w:val="24"/>
          <w:szCs w:val="24"/>
          <w:highlight w:val="none"/>
        </w:rPr>
        <w:t>任何一方</w:t>
      </w:r>
      <w:bookmarkEnd w:id="59"/>
      <w:r>
        <w:rPr>
          <w:rFonts w:hint="eastAsia" w:ascii="仿宋" w:hAnsi="仿宋" w:eastAsia="仿宋" w:cs="仿宋"/>
          <w:color w:val="auto"/>
          <w:kern w:val="0"/>
          <w:sz w:val="24"/>
          <w:szCs w:val="24"/>
          <w:highlight w:val="none"/>
        </w:rPr>
        <w:t>均应对在本合同履行过程中知悉的有关对方的商业、技术、国家等秘密承担保密义务。除经秘密所有方的同意或法律、法规另有规定，相对方不得向本合同以外的任何第三人提供、泄漏上述秘密，由此给秘密所有方造成损失的，责任方应承担相应责任；</w:t>
      </w:r>
    </w:p>
    <w:p w14:paraId="2414398A">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不论合同是否解除或终止，本条款持续有效；</w:t>
      </w:r>
    </w:p>
    <w:p w14:paraId="0F022D0E">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乙双方在提出相关争议，以及在争议协商处理、诉讼、投诉中，均有权在必要的范围内不受限制地以口头或书面引述、不受限制地以其它合理方式利用本合同的整体及/或任何部分条款内容。上述行为不应当被视为泄露本合同相关的商业秘密、国家秘密，也不应当被认为违约；</w:t>
      </w:r>
    </w:p>
    <w:p w14:paraId="54A56DD6">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承认并同意所有由甲方处理的数据、统计数据及其它相关数据是属于甲方的保密信息，而无论该些数据是以何种媒介和方式进行存储或处理，并且有关这些数据的所有知识产权归甲方所有。未经甲方书面同意或符合甲方书面同意的程序，乙方不得获得任何甲方数据。任何情况下，乙方不得对任何甲方数据有任何破坏或泄漏等行为。</w:t>
      </w:r>
    </w:p>
    <w:p w14:paraId="14B0F1C4">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乙方同意并承诺，如果这些数据未经甲方许可披露给他人，所造成对甲方的损失，经证实，甲方有权通过法律途径向乙方索赔。恶意泄露甲方所有的保密信息，应承担相关的损害赔偿责任。</w:t>
      </w:r>
    </w:p>
    <w:p w14:paraId="2C6A61BB">
      <w:pPr>
        <w:pStyle w:val="3"/>
        <w:rPr>
          <w:rFonts w:hint="eastAsia" w:ascii="仿宋" w:hAnsi="仿宋" w:eastAsia="仿宋" w:cs="仿宋"/>
          <w:color w:val="auto"/>
          <w:sz w:val="24"/>
          <w:szCs w:val="44"/>
          <w:highlight w:val="none"/>
        </w:rPr>
      </w:pPr>
      <w:bookmarkStart w:id="60" w:name="_Toc498523612"/>
      <w:bookmarkStart w:id="61" w:name="_Toc29329"/>
      <w:bookmarkStart w:id="62" w:name="_Toc453593876"/>
      <w:bookmarkStart w:id="63" w:name="_Toc521675476"/>
      <w:bookmarkStart w:id="64" w:name="_Toc66048717"/>
      <w:bookmarkStart w:id="65" w:name="_Toc9216"/>
      <w:bookmarkStart w:id="66" w:name="_Toc25160"/>
      <w:bookmarkStart w:id="67" w:name="_Toc18534"/>
      <w:bookmarkStart w:id="68" w:name="_Toc431314785"/>
      <w:bookmarkStart w:id="69" w:name="_Toc282503306"/>
      <w:bookmarkStart w:id="70" w:name="_Toc420514546"/>
      <w:bookmarkStart w:id="71" w:name="_Toc9309"/>
      <w:bookmarkStart w:id="72" w:name="_Toc433890346"/>
      <w:bookmarkStart w:id="73" w:name="_Toc129702498"/>
      <w:bookmarkStart w:id="74" w:name="_Toc67493570"/>
      <w:bookmarkStart w:id="75" w:name="_Toc82697723"/>
      <w:bookmarkStart w:id="76" w:name="_Toc491682934"/>
      <w:bookmarkStart w:id="77" w:name="_Toc14514"/>
      <w:bookmarkStart w:id="78" w:name="_Toc119420516"/>
      <w:r>
        <w:rPr>
          <w:rFonts w:hint="eastAsia" w:ascii="仿宋" w:hAnsi="仿宋" w:eastAsia="仿宋" w:cs="仿宋"/>
          <w:color w:val="auto"/>
          <w:sz w:val="24"/>
          <w:szCs w:val="44"/>
          <w:highlight w:val="none"/>
        </w:rPr>
        <w:t>第十二条：权利的保留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6818480">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829944A">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果本合同部分条款依据现行有关法律、法规被确认为无效或无法履行，双方同意该部分无效或无法履行的条款不影响本合同其他条款效力的，本合同其他条款继续有效；同时合同双方应当依据现行有关法律、法规对该部分无效或无法履行的条款进行调整，使其依法成为有效条款，并尽量符合本合同所体现的原则和精神；</w:t>
      </w:r>
    </w:p>
    <w:p w14:paraId="21A857BB">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在本合同履行期间，因中国法律、法规、政策的变化致使本合同的部分条款相冲突、无效或失去可强制执行效力时，双方应协商一致尽快修改本合同中相冲突或无效或失去强制执行效力的有关条款。</w:t>
      </w:r>
    </w:p>
    <w:p w14:paraId="3C6D030A">
      <w:pPr>
        <w:pStyle w:val="3"/>
        <w:rPr>
          <w:rFonts w:hint="eastAsia" w:ascii="仿宋" w:hAnsi="仿宋" w:eastAsia="仿宋" w:cs="仿宋"/>
          <w:color w:val="auto"/>
          <w:sz w:val="24"/>
          <w:szCs w:val="44"/>
          <w:highlight w:val="none"/>
        </w:rPr>
      </w:pPr>
      <w:bookmarkStart w:id="79" w:name="_Toc22438"/>
      <w:bookmarkStart w:id="80" w:name="_Toc22278"/>
      <w:bookmarkStart w:id="81" w:name="_Toc453593877"/>
      <w:bookmarkStart w:id="82" w:name="_Toc498523613"/>
      <w:bookmarkStart w:id="83" w:name="_Toc11316"/>
      <w:bookmarkStart w:id="84" w:name="_Toc420514547"/>
      <w:bookmarkStart w:id="85" w:name="_Toc119420517"/>
      <w:bookmarkStart w:id="86" w:name="_Toc82697724"/>
      <w:bookmarkStart w:id="87" w:name="_Toc15844"/>
      <w:bookmarkStart w:id="88" w:name="_Toc431314786"/>
      <w:bookmarkStart w:id="89" w:name="_Toc129702499"/>
      <w:bookmarkStart w:id="90" w:name="_Toc433890347"/>
      <w:bookmarkStart w:id="91" w:name="_Toc521675477"/>
      <w:bookmarkStart w:id="92" w:name="_Toc29529"/>
      <w:bookmarkStart w:id="93" w:name="_Toc67493571"/>
      <w:bookmarkStart w:id="94" w:name="_Toc66048718"/>
      <w:bookmarkStart w:id="95" w:name="_Toc15671"/>
      <w:bookmarkStart w:id="96" w:name="_Toc491682935"/>
      <w:bookmarkStart w:id="97" w:name="_Toc282503307"/>
      <w:r>
        <w:rPr>
          <w:rFonts w:hint="eastAsia" w:ascii="仿宋" w:hAnsi="仿宋" w:eastAsia="仿宋" w:cs="仿宋"/>
          <w:color w:val="auto"/>
          <w:sz w:val="24"/>
          <w:szCs w:val="44"/>
          <w:highlight w:val="none"/>
        </w:rPr>
        <w:t>第十三条：转让</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2825DE5">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未经</w:t>
      </w:r>
      <w:bookmarkStart w:id="98" w:name="_Toc281936817"/>
      <w:r>
        <w:rPr>
          <w:rFonts w:hint="eastAsia" w:ascii="仿宋" w:hAnsi="仿宋" w:eastAsia="仿宋" w:cs="仿宋"/>
          <w:color w:val="auto"/>
          <w:kern w:val="0"/>
          <w:sz w:val="24"/>
          <w:szCs w:val="24"/>
          <w:highlight w:val="none"/>
        </w:rPr>
        <w:t>甲方</w:t>
      </w:r>
      <w:bookmarkEnd w:id="98"/>
      <w:r>
        <w:rPr>
          <w:rFonts w:hint="eastAsia" w:ascii="仿宋" w:hAnsi="仿宋" w:eastAsia="仿宋" w:cs="仿宋"/>
          <w:color w:val="auto"/>
          <w:kern w:val="0"/>
          <w:sz w:val="24"/>
          <w:szCs w:val="24"/>
          <w:highlight w:val="none"/>
        </w:rPr>
        <w:t>事先书面同意，乙方不得部分转让或全部转让其应履行的合同义务。</w:t>
      </w:r>
    </w:p>
    <w:p w14:paraId="63995504">
      <w:pPr>
        <w:pStyle w:val="3"/>
        <w:rPr>
          <w:rFonts w:hint="eastAsia" w:ascii="仿宋" w:hAnsi="仿宋" w:eastAsia="仿宋" w:cs="仿宋"/>
          <w:color w:val="auto"/>
          <w:sz w:val="24"/>
          <w:szCs w:val="44"/>
          <w:highlight w:val="none"/>
        </w:rPr>
      </w:pPr>
      <w:bookmarkStart w:id="99" w:name="_Toc9584"/>
      <w:bookmarkStart w:id="100" w:name="_Toc498523615"/>
      <w:bookmarkStart w:id="101" w:name="_Toc12098"/>
      <w:bookmarkStart w:id="102" w:name="_Toc10819"/>
      <w:bookmarkStart w:id="103" w:name="_Toc282503309"/>
      <w:bookmarkStart w:id="104" w:name="_Toc431314788"/>
      <w:bookmarkStart w:id="105" w:name="_Toc333"/>
      <w:bookmarkStart w:id="106" w:name="_Toc82697725"/>
      <w:bookmarkStart w:id="107" w:name="_Toc420514549"/>
      <w:bookmarkStart w:id="108" w:name="_Toc66048719"/>
      <w:bookmarkStart w:id="109" w:name="_Toc521675478"/>
      <w:bookmarkStart w:id="110" w:name="_Toc119420518"/>
      <w:bookmarkStart w:id="111" w:name="_Toc4579"/>
      <w:bookmarkStart w:id="112" w:name="_Toc129702500"/>
      <w:bookmarkStart w:id="113" w:name="_Toc433890349"/>
      <w:bookmarkStart w:id="114" w:name="_Toc453593879"/>
      <w:bookmarkStart w:id="115" w:name="_Toc491682937"/>
      <w:bookmarkStart w:id="116" w:name="_Toc11762"/>
      <w:bookmarkStart w:id="117" w:name="_Toc67493572"/>
      <w:r>
        <w:rPr>
          <w:rFonts w:hint="eastAsia" w:ascii="仿宋" w:hAnsi="仿宋" w:eastAsia="仿宋" w:cs="仿宋"/>
          <w:color w:val="auto"/>
          <w:sz w:val="24"/>
          <w:szCs w:val="44"/>
          <w:highlight w:val="none"/>
        </w:rPr>
        <w:t>第十四条：违约赔偿及索赔</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F246CCB">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若甲方无正当理由逾期支付货款，应每日按逾期付款总额的1‰（千分之一，但累计不超过合同总额的百分之五）向乙方支付违约金，直至支付货款为止。当违约金的累计金额达到合同总金额的5%（百分之五）时，乙方有权解除合同，甲方应承担因合同解除给乙方造成的一切损失；甲方责任承担不超过合同总额。</w:t>
      </w:r>
    </w:p>
    <w:p w14:paraId="4C998B51">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甲方无正当理由拒绝进行项目验收的，甲方向乙方支付未付合同金额的百分之五的违约金；</w:t>
      </w:r>
    </w:p>
    <w:p w14:paraId="5F5039FD">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逾期或不执行服务要求的，乙方应按合同总额的1‰（千分之一）每日（不足1日按1日计算，下同）向甲方支付违约金（累计违约金总额不超过合同总额的百分之五）。甲方有权从待付合同款中扣除。逾期超过约定日期30日不能交货的，甲方可解除本合同。乙方因逾期交货或因其他违约行为导致甲方解除合同的，乙方除承担上述逾期违约责任之外，还应向甲方支付合同总额5%（百分之五）的违约金，若违约金不足以赔偿甲方损失，甲方有权要求乙方继续赔偿损失。</w:t>
      </w:r>
    </w:p>
    <w:p w14:paraId="6C4C0EE4">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实施的服务如果存在缺陷，在项目期内，乙方接到甲方的通知后应于2个工作日内进行核实和整改。因乙方服务的缺陷给甲方造成的一切损失，由乙方承担，且乙方应按合同额的1‰（千分之一）每日向甲方支付产品维护期间的违约金。</w:t>
      </w:r>
    </w:p>
    <w:p w14:paraId="21446DF0">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因自身原因逾期的，乙方应按合同总额的1‰（千分之一）每日向甲方支付违约金（累计违约金总额不超过合同总额的百分之五），由甲方从待付合同款中扣除。乙方因自身原因逾期30个工作日完成安装调测的，甲方有权解除合同并要求乙方承担因此给甲方造成的一切损失；</w:t>
      </w:r>
    </w:p>
    <w:p w14:paraId="271C7295">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当以上违约金的累计金额达到合同总金额的5%（百分之五）时，甲方有权解除合同，除依约支付违约金外，乙方应承担因合同解除给甲方造成的一切损失；甲方亦有权要求乙方继续履行合同并支付违约金；</w:t>
      </w:r>
    </w:p>
    <w:p w14:paraId="2106D864">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乙方违反维护、培训、技术支持、售后服务、保密、知识产权等除本条义务的，应向甲方按合同总金额的5%支付违约金；因乙方违反该等义务给甲方造成的一切损失，由乙方承担；</w:t>
      </w:r>
    </w:p>
    <w:p w14:paraId="31881432">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如果因乙方提供的系统或技术服务问题（含上述产品的重大设计缺陷）导致甲方损失的，乙方应给予全额赔偿；</w:t>
      </w:r>
    </w:p>
    <w:p w14:paraId="7B573444">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如乙方派出的工程技术人员不能满足甲方要求，甲方有权要求乙方在15日内予以更换。乙方更换其派出的工程技术人员，应事先征得甲方同意。如果因乙方提供的服务问题导致甲方损失的，乙方应给予全额赔偿；</w:t>
      </w:r>
    </w:p>
    <w:p w14:paraId="021884B9">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乙方对其违约行为向甲方承担违约责任和赔偿责任时，甲方有权从未支付货款中扣除相应金额的款项；</w:t>
      </w:r>
    </w:p>
    <w:p w14:paraId="19002DE9">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违约金的支付不影响甲乙双方履行本合同规定的各项义务；</w:t>
      </w:r>
    </w:p>
    <w:p w14:paraId="3743C0C1">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如果在甲方发出索赔通知后15日内，乙方未作答复，上述索赔应视为已被乙方接受。如乙方未能在甲方提出索赔通知后30日内或甲方同意的更长时间内，按照本合同规定的任何一种方法解决索赔事宜，甲方有权直接从货款中扣除索赔金额，如果这些金额不足以补偿，甲方有权向乙方提出不足部分的索赔要求。</w:t>
      </w:r>
    </w:p>
    <w:p w14:paraId="67787B08">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本合同项下损失包括但不限于甲方为实现权利而所产生的诉讼费用、调查费用、鉴定费用、公证费用、差旅费用、律师费用、评估费用、审计费用、预期利益、成本等直接、间接损失。</w:t>
      </w:r>
    </w:p>
    <w:p w14:paraId="20EE918C">
      <w:pPr>
        <w:pStyle w:val="3"/>
        <w:rPr>
          <w:rFonts w:hint="eastAsia" w:ascii="仿宋" w:hAnsi="仿宋" w:eastAsia="仿宋" w:cs="仿宋"/>
          <w:color w:val="auto"/>
          <w:sz w:val="24"/>
          <w:szCs w:val="44"/>
          <w:highlight w:val="none"/>
        </w:rPr>
      </w:pPr>
      <w:bookmarkStart w:id="118" w:name="_Toc433890350"/>
      <w:bookmarkStart w:id="119" w:name="_Toc129702501"/>
      <w:bookmarkStart w:id="120" w:name="_Toc491682938"/>
      <w:bookmarkStart w:id="121" w:name="_Toc31506"/>
      <w:bookmarkStart w:id="122" w:name="_Toc82697726"/>
      <w:bookmarkStart w:id="123" w:name="_Toc19716"/>
      <w:bookmarkStart w:id="124" w:name="_Toc27112"/>
      <w:bookmarkStart w:id="125" w:name="_Toc66048720"/>
      <w:bookmarkStart w:id="126" w:name="_Toc7353"/>
      <w:bookmarkStart w:id="127" w:name="_Toc282503310"/>
      <w:bookmarkStart w:id="128" w:name="_Toc453593880"/>
      <w:bookmarkStart w:id="129" w:name="_Toc420514550"/>
      <w:bookmarkStart w:id="130" w:name="_Toc67493573"/>
      <w:bookmarkStart w:id="131" w:name="_Toc4924"/>
      <w:bookmarkStart w:id="132" w:name="_Toc431314789"/>
      <w:bookmarkStart w:id="133" w:name="_Toc521675479"/>
      <w:bookmarkStart w:id="134" w:name="_Toc498523616"/>
      <w:bookmarkStart w:id="135" w:name="_Toc24676"/>
      <w:bookmarkStart w:id="136" w:name="_Toc119420519"/>
      <w:r>
        <w:rPr>
          <w:rFonts w:hint="eastAsia" w:ascii="仿宋" w:hAnsi="仿宋" w:eastAsia="仿宋" w:cs="仿宋"/>
          <w:color w:val="auto"/>
          <w:sz w:val="24"/>
          <w:szCs w:val="44"/>
          <w:highlight w:val="none"/>
        </w:rPr>
        <w:t>第十五条：争端的解决</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Start w:id="137" w:name="_Toc281936820"/>
    </w:p>
    <w:bookmarkEnd w:id="137"/>
    <w:p w14:paraId="77672798">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合同实施或与合同有关的一切争端应通过双方友好协商解决。如果友好协商后还不能解决，依法应向甲方所在地人民法院提起诉讼；</w:t>
      </w:r>
    </w:p>
    <w:p w14:paraId="1D9E6805">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在诉讼期间，除正在进行诉讼的部分外，本合同其它部分应继续执行。</w:t>
      </w:r>
    </w:p>
    <w:p w14:paraId="3284498B">
      <w:pPr>
        <w:pStyle w:val="3"/>
        <w:rPr>
          <w:rFonts w:hint="eastAsia" w:ascii="仿宋" w:hAnsi="仿宋" w:eastAsia="仿宋" w:cs="仿宋"/>
          <w:color w:val="auto"/>
          <w:sz w:val="24"/>
          <w:szCs w:val="44"/>
          <w:highlight w:val="none"/>
        </w:rPr>
      </w:pPr>
      <w:bookmarkStart w:id="138" w:name="_Toc119420520"/>
      <w:bookmarkStart w:id="139" w:name="_Toc16453"/>
      <w:bookmarkStart w:id="140" w:name="_Toc282503311"/>
      <w:bookmarkStart w:id="141" w:name="_Toc66048721"/>
      <w:bookmarkStart w:id="142" w:name="_Toc129702502"/>
      <w:bookmarkStart w:id="143" w:name="_Toc4026"/>
      <w:bookmarkStart w:id="144" w:name="_Toc67493574"/>
      <w:bookmarkStart w:id="145" w:name="_Toc433890351"/>
      <w:bookmarkStart w:id="146" w:name="_Toc453593881"/>
      <w:bookmarkStart w:id="147" w:name="_Toc82697727"/>
      <w:bookmarkStart w:id="148" w:name="_Toc24005"/>
      <w:bookmarkStart w:id="149" w:name="_Toc31992"/>
      <w:bookmarkStart w:id="150" w:name="_Toc491682939"/>
      <w:bookmarkStart w:id="151" w:name="_Toc22295"/>
      <w:bookmarkStart w:id="152" w:name="_Toc420514551"/>
      <w:bookmarkStart w:id="153" w:name="_Toc9643"/>
      <w:bookmarkStart w:id="154" w:name="_Toc431314790"/>
      <w:bookmarkStart w:id="155" w:name="_Toc521675480"/>
      <w:bookmarkStart w:id="156" w:name="_Toc498523617"/>
      <w:r>
        <w:rPr>
          <w:rFonts w:hint="eastAsia" w:ascii="仿宋" w:hAnsi="仿宋" w:eastAsia="仿宋" w:cs="仿宋"/>
          <w:color w:val="auto"/>
          <w:sz w:val="24"/>
          <w:szCs w:val="44"/>
          <w:highlight w:val="none"/>
        </w:rPr>
        <w:t>第十六条：法律适用</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A50553A">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bookmarkStart w:id="157" w:name="_Toc281936821"/>
      <w:r>
        <w:rPr>
          <w:rFonts w:hint="eastAsia" w:ascii="仿宋" w:hAnsi="仿宋" w:eastAsia="仿宋" w:cs="仿宋"/>
          <w:color w:val="auto"/>
          <w:kern w:val="0"/>
          <w:sz w:val="24"/>
          <w:szCs w:val="24"/>
          <w:highlight w:val="none"/>
        </w:rPr>
        <w:t>本合同及</w:t>
      </w:r>
      <w:bookmarkEnd w:id="157"/>
      <w:r>
        <w:rPr>
          <w:rFonts w:hint="eastAsia" w:ascii="仿宋" w:hAnsi="仿宋" w:eastAsia="仿宋" w:cs="仿宋"/>
          <w:color w:val="auto"/>
          <w:kern w:val="0"/>
          <w:sz w:val="24"/>
          <w:szCs w:val="24"/>
          <w:highlight w:val="none"/>
        </w:rPr>
        <w:t>其附件的订立、效力、解释、履行、变更、争议的解决等适用本合同签订时有效的中华人民共和国法律、法规的有关规定。</w:t>
      </w:r>
    </w:p>
    <w:p w14:paraId="352B3240">
      <w:pPr>
        <w:pStyle w:val="3"/>
        <w:rPr>
          <w:rFonts w:hint="eastAsia" w:ascii="仿宋" w:hAnsi="仿宋" w:eastAsia="仿宋" w:cs="仿宋"/>
          <w:color w:val="auto"/>
          <w:sz w:val="24"/>
          <w:szCs w:val="44"/>
          <w:highlight w:val="none"/>
        </w:rPr>
      </w:pPr>
      <w:bookmarkStart w:id="158" w:name="_Toc31341"/>
      <w:bookmarkStart w:id="159" w:name="_Toc521675481"/>
      <w:bookmarkStart w:id="160" w:name="_Toc15192"/>
      <w:bookmarkStart w:id="161" w:name="_Toc66048722"/>
      <w:bookmarkStart w:id="162" w:name="_Toc433890352"/>
      <w:bookmarkStart w:id="163" w:name="_Toc82697728"/>
      <w:bookmarkStart w:id="164" w:name="_Toc431314791"/>
      <w:bookmarkStart w:id="165" w:name="_Toc453593882"/>
      <w:bookmarkStart w:id="166" w:name="_Toc15929"/>
      <w:bookmarkStart w:id="167" w:name="_Toc67493575"/>
      <w:bookmarkStart w:id="168" w:name="_Toc129702503"/>
      <w:bookmarkStart w:id="169" w:name="_Toc491682940"/>
      <w:bookmarkStart w:id="170" w:name="_Toc12991"/>
      <w:bookmarkStart w:id="171" w:name="_Toc30841"/>
      <w:bookmarkStart w:id="172" w:name="_Toc24962"/>
      <w:bookmarkStart w:id="173" w:name="_Toc119420521"/>
      <w:bookmarkStart w:id="174" w:name="_Toc498523618"/>
      <w:bookmarkStart w:id="175" w:name="_Toc282503312"/>
      <w:bookmarkStart w:id="176" w:name="_Toc420514552"/>
      <w:r>
        <w:rPr>
          <w:rFonts w:hint="eastAsia" w:ascii="仿宋" w:hAnsi="仿宋" w:eastAsia="仿宋" w:cs="仿宋"/>
          <w:color w:val="auto"/>
          <w:sz w:val="24"/>
          <w:szCs w:val="44"/>
          <w:highlight w:val="none"/>
        </w:rPr>
        <w:t>第十七条：合同终止</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Start w:id="177" w:name="_Toc281936822"/>
    </w:p>
    <w:bookmarkEnd w:id="177"/>
    <w:p w14:paraId="2B97E6B3">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bookmarkStart w:id="178" w:name="_Toc67493576"/>
      <w:bookmarkStart w:id="179" w:name="_Toc433890353"/>
      <w:bookmarkStart w:id="180" w:name="_Toc498523619"/>
      <w:bookmarkStart w:id="181" w:name="_Toc4604"/>
      <w:bookmarkStart w:id="182" w:name="_Toc431314792"/>
      <w:bookmarkStart w:id="183" w:name="_Toc66048723"/>
      <w:bookmarkStart w:id="184" w:name="_Toc200"/>
      <w:bookmarkStart w:id="185" w:name="_Toc15637"/>
      <w:bookmarkStart w:id="186" w:name="_Toc11584"/>
      <w:bookmarkStart w:id="187" w:name="_Toc420514553"/>
      <w:bookmarkStart w:id="188" w:name="_Toc521675482"/>
      <w:bookmarkStart w:id="189" w:name="_Toc453593883"/>
      <w:bookmarkStart w:id="190" w:name="_Toc491682941"/>
      <w:bookmarkStart w:id="191" w:name="_Toc31007"/>
      <w:bookmarkStart w:id="192" w:name="_Toc282503313"/>
      <w:bookmarkStart w:id="193" w:name="_Toc32693"/>
      <w:bookmarkStart w:id="194" w:name="_Toc82697729"/>
      <w:r>
        <w:rPr>
          <w:rFonts w:hint="eastAsia" w:ascii="仿宋" w:hAnsi="仿宋" w:eastAsia="仿宋" w:cs="仿宋"/>
          <w:color w:val="auto"/>
          <w:kern w:val="0"/>
          <w:sz w:val="24"/>
          <w:szCs w:val="24"/>
          <w:highlight w:val="none"/>
        </w:rPr>
        <w:t>1）甲、乙双方均不得单方面随意变更或解除合同。当出现下列情况时本合同自行终止：</w:t>
      </w:r>
    </w:p>
    <w:p w14:paraId="3EE8E7CD">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（1）本合同正常履行完毕；</w:t>
      </w:r>
    </w:p>
    <w:p w14:paraId="284B849A">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（2）不可抗力导致本合同根本无法履行或进一步履行已没有必要时；</w:t>
      </w:r>
    </w:p>
    <w:p w14:paraId="54A332D7">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（3）如果乙方未能在合同规定的限期或根据本合同“十七、违约赔偿及索赔”的规定甲方同意延长的限期内提供部分或全部系统；</w:t>
      </w:r>
    </w:p>
    <w:p w14:paraId="03661CBF">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（4）如果甲方认为乙方在本合同的采购和实施过程中有腐败和欺诈行为。该行为定义下述条件：</w:t>
      </w:r>
    </w:p>
    <w:p w14:paraId="7BF83923">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（i）“腐败行为”是指提供、给予、接受或索取任何有价值的东西来影响有关甲方人员在采购过程或合同实施过程中的行为；</w:t>
      </w:r>
    </w:p>
    <w:p w14:paraId="5FAA8698">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ii）“欺诈行为”是指为了影响采购过程或合同实施过程而谎报事实，损害甲方的利益，包括投标人之间串通应答（递交响应文件之前和之后），人为地使各报价丧失竞争性，剥夺甲方从自由公开竞争所能获得的权益。</w:t>
      </w:r>
    </w:p>
    <w:p w14:paraId="19FDB047">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（5）甲方由于特殊原因向乙方发出书面通知终止合同或者终止合同部分条款，终止通知应明确该终止合同或终止合同部分条款是出于甲方的特殊原因，以及终止的生效日期等。</w:t>
      </w:r>
    </w:p>
    <w:p w14:paraId="39A411FE">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如甲方根据上述规定终止了合同或终止合同部分条款，甲方可以依其认为适当的条件和方法购买与未交付部分类似的设备或软件，并自行安排安装调试，乙方应对甲方购买类似设备或软件以及安装调试所超出的费用负责，并且乙方应继续执行合同中甲方未终止的条款；如甲方根据上述规定终止了全部合同，甲方无需向乙方支付任何合同款项。</w:t>
      </w:r>
    </w:p>
    <w:p w14:paraId="0EE4390C">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3）当乙方破产、被解散或无供货（或提供服务）能力时，甲方可在任何时候以书面形式通知乙方终止合同而不给乙方补偿；并且该终止合同不损害或不影响甲方已采取或将采取补救措施的权利。</w:t>
      </w:r>
    </w:p>
    <w:p w14:paraId="57C249DB">
      <w:pPr>
        <w:pStyle w:val="3"/>
        <w:rPr>
          <w:rFonts w:hint="eastAsia" w:ascii="仿宋" w:hAnsi="仿宋" w:eastAsia="仿宋" w:cs="仿宋"/>
          <w:color w:val="auto"/>
          <w:sz w:val="24"/>
          <w:szCs w:val="44"/>
          <w:highlight w:val="none"/>
        </w:rPr>
      </w:pPr>
      <w:bookmarkStart w:id="195" w:name="_Toc129702504"/>
      <w:bookmarkStart w:id="196" w:name="_Toc119420522"/>
      <w:r>
        <w:rPr>
          <w:rFonts w:hint="eastAsia" w:ascii="仿宋" w:hAnsi="仿宋" w:eastAsia="仿宋" w:cs="仿宋"/>
          <w:color w:val="auto"/>
          <w:sz w:val="24"/>
          <w:szCs w:val="44"/>
          <w:highlight w:val="none"/>
        </w:rPr>
        <w:t>第十八条：合同生效</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5A1FD3F">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bookmarkStart w:id="197" w:name="_Toc281936823"/>
      <w:r>
        <w:rPr>
          <w:rFonts w:hint="eastAsia" w:ascii="仿宋" w:hAnsi="仿宋" w:eastAsia="仿宋" w:cs="仿宋"/>
          <w:color w:val="auto"/>
          <w:kern w:val="0"/>
          <w:sz w:val="24"/>
          <w:szCs w:val="24"/>
          <w:highlight w:val="none"/>
        </w:rPr>
        <w:t>本合同一</w:t>
      </w:r>
      <w:bookmarkEnd w:id="197"/>
      <w:r>
        <w:rPr>
          <w:rFonts w:hint="eastAsia" w:ascii="仿宋" w:hAnsi="仿宋" w:eastAsia="仿宋" w:cs="仿宋"/>
          <w:color w:val="auto"/>
          <w:kern w:val="0"/>
          <w:sz w:val="24"/>
          <w:szCs w:val="24"/>
          <w:highlight w:val="none"/>
        </w:rPr>
        <w:t>式六份，甲方持三份，乙方持三份，经甲、乙双方法人代表或其授权代表签字并加盖单位公章之日起生效；</w:t>
      </w:r>
    </w:p>
    <w:p w14:paraId="1A635295">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乙方若有任何触及或对甲方的权利与利益构成风险的行为发生时，必须提前告知甲方，并征得甲方的同意，经双方协商达成补充协议；</w:t>
      </w:r>
    </w:p>
    <w:p w14:paraId="21A74571">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合同执行中，如需修改或补充合同内容，由双方协商另外签署书面修改或补充协议作为主合同不可分割的一部分，经甲、乙双方法人代表或其授权代表签字并加盖单位公章之日起生效；</w:t>
      </w:r>
    </w:p>
    <w:p w14:paraId="4307078C">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本合同未尽事宜，遵照《中华人民共和国民法典》有关条文执行。</w:t>
      </w:r>
    </w:p>
    <w:p w14:paraId="2BFCC89C">
      <w:pPr>
        <w:pStyle w:val="3"/>
        <w:rPr>
          <w:rFonts w:hint="eastAsia" w:ascii="仿宋" w:hAnsi="仿宋" w:eastAsia="仿宋" w:cs="仿宋"/>
          <w:color w:val="auto"/>
          <w:sz w:val="24"/>
          <w:szCs w:val="44"/>
          <w:highlight w:val="none"/>
        </w:rPr>
      </w:pPr>
      <w:bookmarkStart w:id="198" w:name="_Toc16854"/>
      <w:bookmarkStart w:id="199" w:name="_Toc498523620"/>
      <w:bookmarkStart w:id="200" w:name="_Toc420514554"/>
      <w:bookmarkStart w:id="201" w:name="_Toc431314793"/>
      <w:bookmarkStart w:id="202" w:name="_Toc24854"/>
      <w:bookmarkStart w:id="203" w:name="_Toc491682942"/>
      <w:bookmarkStart w:id="204" w:name="_Toc521675483"/>
      <w:bookmarkStart w:id="205" w:name="_Toc29803"/>
      <w:bookmarkStart w:id="206" w:name="_Toc119420523"/>
      <w:bookmarkStart w:id="207" w:name="_Toc453593884"/>
      <w:bookmarkStart w:id="208" w:name="_Toc67493577"/>
      <w:bookmarkStart w:id="209" w:name="_Toc129702505"/>
      <w:bookmarkStart w:id="210" w:name="_Toc433890354"/>
      <w:bookmarkStart w:id="211" w:name="_Toc4377"/>
      <w:bookmarkStart w:id="212" w:name="_Toc82697730"/>
      <w:bookmarkStart w:id="213" w:name="_Toc17609"/>
      <w:bookmarkStart w:id="214" w:name="_Toc21960"/>
      <w:bookmarkStart w:id="215" w:name="_Toc66048724"/>
      <w:bookmarkStart w:id="216" w:name="OLE_LINK1"/>
      <w:r>
        <w:rPr>
          <w:rFonts w:hint="eastAsia" w:ascii="仿宋" w:hAnsi="仿宋" w:eastAsia="仿宋" w:cs="仿宋"/>
          <w:color w:val="auto"/>
          <w:sz w:val="24"/>
          <w:szCs w:val="44"/>
          <w:highlight w:val="none"/>
        </w:rPr>
        <w:t>第十九条：合同附件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bookmarkEnd w:id="216"/>
    <w:p w14:paraId="65FBD961">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bookmarkStart w:id="217" w:name="_Toc281936824"/>
      <w:r>
        <w:rPr>
          <w:rFonts w:hint="eastAsia" w:ascii="仿宋" w:hAnsi="仿宋" w:eastAsia="仿宋" w:cs="仿宋"/>
          <w:color w:val="auto"/>
          <w:kern w:val="0"/>
          <w:sz w:val="24"/>
          <w:szCs w:val="24"/>
          <w:highlight w:val="none"/>
        </w:rPr>
        <w:t>附件作为</w:t>
      </w:r>
      <w:bookmarkEnd w:id="217"/>
      <w:r>
        <w:rPr>
          <w:rFonts w:hint="eastAsia" w:ascii="仿宋" w:hAnsi="仿宋" w:eastAsia="仿宋" w:cs="仿宋"/>
          <w:color w:val="auto"/>
          <w:kern w:val="0"/>
          <w:sz w:val="24"/>
          <w:szCs w:val="24"/>
          <w:highlight w:val="none"/>
        </w:rPr>
        <w:t>合同不可分割的一部分，与本合同具有同等法律效力；</w:t>
      </w:r>
    </w:p>
    <w:p w14:paraId="6BB8F29F">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本合同附件包括：</w:t>
      </w:r>
    </w:p>
    <w:p w14:paraId="2EBBA8F3">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附件1：软硬件产品与服务清单</w:t>
      </w:r>
    </w:p>
    <w:p w14:paraId="500C3F36">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附件2：售后服务与质量保证承诺</w:t>
      </w:r>
    </w:p>
    <w:p w14:paraId="3D82279D">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附件3：项目工作说明书</w:t>
      </w:r>
    </w:p>
    <w:p w14:paraId="00131F31">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附件4：系统部署功能定制报价单</w:t>
      </w:r>
    </w:p>
    <w:p w14:paraId="1C9F9717">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附件5：重保期间保障方案</w:t>
      </w:r>
    </w:p>
    <w:p w14:paraId="43090C6B">
      <w:pPr>
        <w:widowControl/>
        <w:snapToGrid w:val="0"/>
        <w:spacing w:before="243" w:after="100" w:afterAutospacing="1" w:line="30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附件6：信息系统承建及运维单位网络安全承诺书</w:t>
      </w:r>
    </w:p>
    <w:p w14:paraId="4F40D51F">
      <w:pPr>
        <w:pStyle w:val="2"/>
        <w:rPr>
          <w:rFonts w:hint="default" w:eastAsia="仿宋"/>
          <w:color w:val="auto"/>
          <w:highlight w:val="none"/>
          <w:lang w:val="en-US" w:eastAsia="zh-CN"/>
        </w:rPr>
      </w:pPr>
      <w:r>
        <w:rPr>
          <w:rFonts w:hint="eastAsia" w:ascii="仿宋" w:hAnsi="仿宋" w:eastAsia="仿宋" w:cs="仿宋"/>
          <w:color w:val="auto"/>
          <w:kern w:val="0"/>
          <w:sz w:val="24"/>
          <w:szCs w:val="24"/>
          <w:highlight w:val="none"/>
          <w:lang w:val="en-US" w:eastAsia="zh-CN"/>
        </w:rPr>
        <w:t xml:space="preserve">    附件7：项目组成员列表</w:t>
      </w:r>
    </w:p>
    <w:p w14:paraId="54A30960">
      <w:pPr>
        <w:pStyle w:val="3"/>
        <w:rPr>
          <w:rFonts w:hint="eastAsia" w:ascii="仿宋" w:hAnsi="仿宋" w:eastAsia="仿宋" w:cs="仿宋"/>
          <w:color w:val="auto"/>
          <w:sz w:val="24"/>
          <w:szCs w:val="44"/>
          <w:highlight w:val="none"/>
        </w:rPr>
      </w:pPr>
      <w:r>
        <w:rPr>
          <w:rFonts w:hint="eastAsia" w:ascii="仿宋" w:hAnsi="仿宋" w:eastAsia="仿宋" w:cs="仿宋"/>
          <w:color w:val="auto"/>
          <w:sz w:val="24"/>
          <w:szCs w:val="44"/>
          <w:highlight w:val="none"/>
        </w:rPr>
        <w:t>第二十条：通知</w:t>
      </w:r>
    </w:p>
    <w:p w14:paraId="210EF3C2">
      <w:pPr>
        <w:widowControl/>
        <w:snapToGrid w:val="0"/>
        <w:spacing w:before="243" w:after="100" w:afterAutospacing="1"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双方因履行本合同而相互发出或者提供的所有通知、文件、资料，均以本合同所列明的联系方式以电话、邮寄或电子邮件及合同约定的方式送达，一方如果迁址或者变更联系电话、联系邮箱等，应当书面通知对方。以邮寄方式的，以签收之日或投邮第三日视为送达；以电子邮件方式发送的，自发出之时视为送达。以电话、合同约定方式的，自发出之时视为送达。乙方同意，在本合同所列联系方式是法院向其送达司法文书和其他书面文件的联系方式。法院通过特快专递将达司法文书和其他书面文件寄送于本合同所列地址等的，以送达回执上的签收日为送达日，乙方未签收的，以邮寄后第五日作为送达日。</w:t>
      </w:r>
    </w:p>
    <w:p w14:paraId="7345914E">
      <w:pPr>
        <w:widowControl/>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4322B3B9">
      <w:pPr>
        <w:widowControl/>
        <w:snapToGrid w:val="0"/>
        <w:spacing w:before="243" w:after="100" w:afterAutospacing="1"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本协议系经双方协商制定，在签署本协议时，本协议当事人双方对协议的所有条款的约定已经阅悉，均无异议，并对双方当事人之间的有关权利、义务和责任的条款的法律含义有着准确无误的理解。</w:t>
      </w:r>
    </w:p>
    <w:p w14:paraId="285B189E">
      <w:pPr>
        <w:rPr>
          <w:rFonts w:hint="eastAsia" w:ascii="仿宋" w:hAnsi="仿宋" w:eastAsia="仿宋" w:cs="仿宋"/>
          <w:color w:val="auto"/>
          <w:highlight w:val="none"/>
        </w:rPr>
      </w:pPr>
    </w:p>
    <w:p w14:paraId="67E9D9C5">
      <w:pPr>
        <w:spacing w:line="520" w:lineRule="exact"/>
        <w:ind w:left="1920" w:leftChars="400" w:hanging="1080" w:hanging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甲方：北京首新航空地面服务有限公司</w:t>
      </w:r>
    </w:p>
    <w:p w14:paraId="114D0404">
      <w:pPr>
        <w:spacing w:line="520" w:lineRule="exact"/>
        <w:ind w:left="1920" w:leftChars="400" w:hanging="1080" w:hanging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法定代表人或授权代表人：</w:t>
      </w:r>
    </w:p>
    <w:p w14:paraId="68CD2FCC">
      <w:pPr>
        <w:spacing w:line="520" w:lineRule="exact"/>
        <w:ind w:left="1920" w:leftChars="400" w:hanging="1080" w:hanging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0F215C52">
      <w:pPr>
        <w:spacing w:line="520" w:lineRule="exact"/>
        <w:ind w:left="2040" w:hanging="2040" w:hangingChars="850"/>
        <w:rPr>
          <w:rFonts w:hint="eastAsia" w:ascii="仿宋" w:hAnsi="仿宋" w:eastAsia="仿宋" w:cs="仿宋"/>
          <w:color w:val="auto"/>
          <w:sz w:val="24"/>
          <w:szCs w:val="24"/>
          <w:highlight w:val="none"/>
        </w:rPr>
      </w:pPr>
    </w:p>
    <w:p w14:paraId="0175BF86">
      <w:pPr>
        <w:spacing w:line="520" w:lineRule="exact"/>
        <w:ind w:left="1920" w:leftChars="400" w:hanging="1080" w:hanging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p w14:paraId="4EA6599C">
      <w:pPr>
        <w:spacing w:line="520" w:lineRule="exact"/>
        <w:ind w:left="1920" w:leftChars="400" w:hanging="1080" w:hanging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法定代表人或授权代表人：</w:t>
      </w:r>
    </w:p>
    <w:p w14:paraId="1C23A812">
      <w:pPr>
        <w:spacing w:line="520" w:lineRule="exact"/>
        <w:ind w:left="1920" w:leftChars="400" w:hanging="1080" w:hangingChars="4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bookmarkStart w:id="218" w:name="_Hlt487972895"/>
      <w:bookmarkEnd w:id="218"/>
      <w:bookmarkStart w:id="219" w:name="_Hlt487900425"/>
      <w:bookmarkEnd w:id="219"/>
    </w:p>
    <w:p w14:paraId="4CEA0237">
      <w:pPr>
        <w:rPr>
          <w:color w:val="auto"/>
          <w:highlight w:val="none"/>
        </w:rPr>
      </w:pPr>
    </w:p>
    <w:p w14:paraId="0567367C">
      <w:pPr>
        <w:rPr>
          <w:color w:val="auto"/>
          <w:highlight w:val="none"/>
        </w:rPr>
      </w:pPr>
    </w:p>
    <w:p w14:paraId="7A70649F">
      <w:pPr>
        <w:widowControl/>
        <w:snapToGrid w:val="0"/>
        <w:spacing w:line="300" w:lineRule="auto"/>
        <w:jc w:val="left"/>
        <w:rPr>
          <w:rFonts w:hint="eastAsia" w:ascii="仿宋_GB2312" w:hAnsi="宋体" w:eastAsia="仿宋_GB2312" w:cs="宋体"/>
          <w:color w:val="auto"/>
          <w:kern w:val="0"/>
          <w:sz w:val="28"/>
          <w:szCs w:val="28"/>
          <w:highlight w:val="none"/>
        </w:rPr>
      </w:pPr>
      <w:r>
        <w:rPr>
          <w:rFonts w:ascii="仿宋_GB2312" w:hAnsi="宋体" w:eastAsia="仿宋_GB2312" w:cs="宋体"/>
          <w:color w:val="auto"/>
          <w:kern w:val="0"/>
          <w:sz w:val="28"/>
          <w:szCs w:val="28"/>
          <w:highlight w:val="none"/>
        </w:rPr>
        <w:br w:type="page"/>
      </w:r>
    </w:p>
    <w:p w14:paraId="54687621">
      <w:pPr>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附件1：软硬件产品与服务清单</w:t>
      </w:r>
    </w:p>
    <w:p w14:paraId="1A93FDF0">
      <w:pPr>
        <w:rPr>
          <w:color w:val="auto"/>
          <w:highlight w:val="none"/>
        </w:rPr>
      </w:pPr>
      <w:r>
        <w:rPr>
          <w:rFonts w:hint="eastAsia"/>
          <w:color w:val="auto"/>
          <w:highlight w:val="none"/>
        </w:rPr>
        <w:br w:type="page"/>
      </w:r>
    </w:p>
    <w:p w14:paraId="4A639D20">
      <w:pPr>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附件2：售后服务与质量保证承诺</w:t>
      </w:r>
    </w:p>
    <w:p w14:paraId="6F322C91">
      <w:pPr>
        <w:rPr>
          <w:color w:val="auto"/>
          <w:highlight w:val="none"/>
        </w:rPr>
      </w:pPr>
      <w:r>
        <w:rPr>
          <w:rFonts w:hint="eastAsia"/>
          <w:color w:val="auto"/>
          <w:highlight w:val="none"/>
        </w:rPr>
        <w:br w:type="page"/>
      </w:r>
    </w:p>
    <w:p w14:paraId="6C588517">
      <w:pPr>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附件3：项目工作说明书</w:t>
      </w:r>
    </w:p>
    <w:p w14:paraId="0EE74A93">
      <w:pPr>
        <w:rPr>
          <w:color w:val="auto"/>
          <w:highlight w:val="none"/>
        </w:rPr>
      </w:pPr>
      <w:r>
        <w:rPr>
          <w:rFonts w:hint="eastAsia"/>
          <w:color w:val="auto"/>
          <w:highlight w:val="none"/>
        </w:rPr>
        <w:br w:type="page"/>
      </w:r>
    </w:p>
    <w:p w14:paraId="66592D7E">
      <w:pPr>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附件4：系统部署功能定制报价单</w:t>
      </w:r>
    </w:p>
    <w:p w14:paraId="266D832F">
      <w:pPr>
        <w:pStyle w:val="2"/>
        <w:rPr>
          <w:color w:val="auto"/>
          <w:highlight w:val="none"/>
        </w:rPr>
      </w:pPr>
    </w:p>
    <w:tbl>
      <w:tblPr>
        <w:tblStyle w:val="14"/>
        <w:tblW w:w="8647" w:type="dxa"/>
        <w:tblInd w:w="0" w:type="dxa"/>
        <w:tblLayout w:type="autofit"/>
        <w:tblCellMar>
          <w:top w:w="0" w:type="dxa"/>
          <w:left w:w="108" w:type="dxa"/>
          <w:bottom w:w="0" w:type="dxa"/>
          <w:right w:w="108" w:type="dxa"/>
        </w:tblCellMar>
      </w:tblPr>
      <w:tblGrid>
        <w:gridCol w:w="900"/>
        <w:gridCol w:w="1510"/>
        <w:gridCol w:w="5245"/>
        <w:gridCol w:w="992"/>
      </w:tblGrid>
      <w:tr w14:paraId="0D4D2C0F">
        <w:tblPrEx>
          <w:tblCellMar>
            <w:top w:w="0" w:type="dxa"/>
            <w:left w:w="108" w:type="dxa"/>
            <w:bottom w:w="0" w:type="dxa"/>
            <w:right w:w="108" w:type="dxa"/>
          </w:tblCellMar>
        </w:tblPrEx>
        <w:trPr>
          <w:trHeight w:val="930" w:hRule="atLeast"/>
        </w:trPr>
        <w:tc>
          <w:tcPr>
            <w:tcW w:w="8647" w:type="dxa"/>
            <w:gridSpan w:val="4"/>
            <w:tcBorders>
              <w:top w:val="nil"/>
              <w:left w:val="nil"/>
              <w:bottom w:val="nil"/>
              <w:right w:val="nil"/>
            </w:tcBorders>
            <w:shd w:val="clear" w:color="auto" w:fill="auto"/>
            <w:vAlign w:val="center"/>
          </w:tcPr>
          <w:p w14:paraId="0C3AF3C3">
            <w:pPr>
              <w:widowControl/>
              <w:jc w:val="center"/>
              <w:rPr>
                <w:rFonts w:hint="eastAsia" w:ascii="黑体" w:hAnsi="黑体" w:eastAsia="黑体" w:cs="宋体"/>
                <w:b/>
                <w:bCs/>
                <w:color w:val="auto"/>
                <w:kern w:val="0"/>
                <w:sz w:val="28"/>
                <w:szCs w:val="28"/>
                <w:highlight w:val="none"/>
              </w:rPr>
            </w:pPr>
            <w:r>
              <w:rPr>
                <w:rFonts w:hint="eastAsia" w:ascii="黑体" w:hAnsi="黑体" w:eastAsia="黑体" w:cs="宋体"/>
                <w:b/>
                <w:bCs/>
                <w:color w:val="auto"/>
                <w:kern w:val="0"/>
                <w:sz w:val="28"/>
                <w:szCs w:val="28"/>
                <w:highlight w:val="none"/>
              </w:rPr>
              <w:t>系统部署功能定制报价单</w:t>
            </w:r>
          </w:p>
        </w:tc>
      </w:tr>
      <w:tr w14:paraId="354C78E2">
        <w:tblPrEx>
          <w:tblCellMar>
            <w:top w:w="0" w:type="dxa"/>
            <w:left w:w="108" w:type="dxa"/>
            <w:bottom w:w="0" w:type="dxa"/>
            <w:right w:w="108" w:type="dxa"/>
          </w:tblCellMar>
        </w:tblPrEx>
        <w:trPr>
          <w:trHeight w:val="499" w:hRule="atLeast"/>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55EF650F">
            <w:pPr>
              <w:widowControl/>
              <w:jc w:val="center"/>
              <w:rPr>
                <w:rFonts w:hint="eastAsia" w:ascii="宋体" w:hAnsi="宋体" w:cs="宋体"/>
                <w:b/>
                <w:bCs/>
                <w:color w:val="auto"/>
                <w:kern w:val="0"/>
                <w:sz w:val="20"/>
                <w:highlight w:val="none"/>
              </w:rPr>
            </w:pPr>
            <w:r>
              <w:rPr>
                <w:rFonts w:hint="eastAsia" w:ascii="宋体" w:hAnsi="宋体" w:cs="宋体"/>
                <w:b/>
                <w:bCs/>
                <w:color w:val="auto"/>
                <w:kern w:val="0"/>
                <w:sz w:val="20"/>
                <w:highlight w:val="none"/>
              </w:rPr>
              <w:t>序号</w:t>
            </w:r>
          </w:p>
        </w:tc>
        <w:tc>
          <w:tcPr>
            <w:tcW w:w="1510" w:type="dxa"/>
            <w:tcBorders>
              <w:top w:val="single" w:color="auto" w:sz="4" w:space="0"/>
              <w:left w:val="nil"/>
              <w:bottom w:val="single" w:color="auto" w:sz="4" w:space="0"/>
              <w:right w:val="single" w:color="auto" w:sz="4" w:space="0"/>
            </w:tcBorders>
            <w:shd w:val="clear" w:color="auto" w:fill="auto"/>
            <w:vAlign w:val="center"/>
          </w:tcPr>
          <w:p w14:paraId="718ADF82">
            <w:pPr>
              <w:widowControl/>
              <w:jc w:val="center"/>
              <w:rPr>
                <w:rFonts w:hint="eastAsia" w:ascii="宋体" w:hAnsi="宋体" w:cs="宋体"/>
                <w:b/>
                <w:bCs/>
                <w:color w:val="auto"/>
                <w:kern w:val="0"/>
                <w:sz w:val="20"/>
                <w:highlight w:val="none"/>
              </w:rPr>
            </w:pPr>
            <w:r>
              <w:rPr>
                <w:rFonts w:hint="eastAsia" w:ascii="宋体" w:hAnsi="宋体" w:cs="宋体"/>
                <w:b/>
                <w:bCs/>
                <w:color w:val="auto"/>
                <w:kern w:val="0"/>
                <w:sz w:val="20"/>
                <w:highlight w:val="none"/>
              </w:rPr>
              <w:t>模块</w:t>
            </w:r>
          </w:p>
        </w:tc>
        <w:tc>
          <w:tcPr>
            <w:tcW w:w="5245" w:type="dxa"/>
            <w:tcBorders>
              <w:top w:val="single" w:color="auto" w:sz="4" w:space="0"/>
              <w:left w:val="nil"/>
              <w:bottom w:val="single" w:color="auto" w:sz="4" w:space="0"/>
              <w:right w:val="single" w:color="auto" w:sz="4" w:space="0"/>
            </w:tcBorders>
            <w:shd w:val="clear" w:color="auto" w:fill="auto"/>
            <w:vAlign w:val="center"/>
          </w:tcPr>
          <w:p w14:paraId="021C9541">
            <w:pPr>
              <w:widowControl/>
              <w:jc w:val="center"/>
              <w:rPr>
                <w:rFonts w:hint="eastAsia" w:ascii="宋体" w:hAnsi="宋体" w:cs="宋体"/>
                <w:b/>
                <w:bCs/>
                <w:color w:val="auto"/>
                <w:kern w:val="0"/>
                <w:sz w:val="20"/>
                <w:highlight w:val="none"/>
              </w:rPr>
            </w:pPr>
            <w:r>
              <w:rPr>
                <w:rFonts w:hint="eastAsia" w:ascii="宋体" w:hAnsi="宋体" w:cs="宋体"/>
                <w:b/>
                <w:bCs/>
                <w:color w:val="auto"/>
                <w:kern w:val="0"/>
                <w:sz w:val="20"/>
                <w:highlight w:val="none"/>
              </w:rPr>
              <w:t>需求描述</w:t>
            </w:r>
          </w:p>
        </w:tc>
        <w:tc>
          <w:tcPr>
            <w:tcW w:w="992" w:type="dxa"/>
            <w:tcBorders>
              <w:top w:val="single" w:color="auto" w:sz="4" w:space="0"/>
              <w:left w:val="nil"/>
              <w:bottom w:val="single" w:color="auto" w:sz="4" w:space="0"/>
              <w:right w:val="single" w:color="auto" w:sz="4" w:space="0"/>
            </w:tcBorders>
            <w:shd w:val="clear" w:color="auto" w:fill="auto"/>
            <w:vAlign w:val="center"/>
          </w:tcPr>
          <w:p w14:paraId="7B9432C6">
            <w:pPr>
              <w:widowControl/>
              <w:jc w:val="center"/>
              <w:rPr>
                <w:rFonts w:hint="eastAsia" w:ascii="宋体" w:hAnsi="宋体" w:cs="宋体"/>
                <w:b/>
                <w:bCs/>
                <w:color w:val="auto"/>
                <w:kern w:val="0"/>
                <w:sz w:val="20"/>
                <w:highlight w:val="none"/>
              </w:rPr>
            </w:pPr>
            <w:r>
              <w:rPr>
                <w:rFonts w:hint="eastAsia" w:ascii="宋体" w:hAnsi="宋体" w:cs="宋体"/>
                <w:b/>
                <w:bCs/>
                <w:color w:val="auto"/>
                <w:kern w:val="0"/>
                <w:sz w:val="20"/>
                <w:highlight w:val="none"/>
              </w:rPr>
              <w:t>工作量</w:t>
            </w:r>
          </w:p>
        </w:tc>
      </w:tr>
      <w:tr w14:paraId="3DDC5E64">
        <w:tblPrEx>
          <w:tblCellMar>
            <w:top w:w="0" w:type="dxa"/>
            <w:left w:w="108" w:type="dxa"/>
            <w:bottom w:w="0" w:type="dxa"/>
            <w:right w:w="108" w:type="dxa"/>
          </w:tblCellMar>
        </w:tblPrEx>
        <w:trPr>
          <w:trHeight w:val="57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59195F44">
            <w:pPr>
              <w:widowControl/>
              <w:jc w:val="center"/>
              <w:rPr>
                <w:rFonts w:hint="eastAsia" w:ascii="宋体" w:hAnsi="宋体" w:cs="宋体"/>
                <w:color w:val="auto"/>
                <w:kern w:val="0"/>
                <w:sz w:val="24"/>
                <w:szCs w:val="24"/>
                <w:highlight w:val="none"/>
              </w:rPr>
            </w:pPr>
          </w:p>
        </w:tc>
        <w:tc>
          <w:tcPr>
            <w:tcW w:w="1510" w:type="dxa"/>
            <w:tcBorders>
              <w:top w:val="nil"/>
              <w:left w:val="nil"/>
              <w:bottom w:val="single" w:color="auto" w:sz="4" w:space="0"/>
              <w:right w:val="single" w:color="auto" w:sz="4" w:space="0"/>
            </w:tcBorders>
            <w:shd w:val="clear" w:color="auto" w:fill="auto"/>
            <w:noWrap/>
            <w:vAlign w:val="center"/>
          </w:tcPr>
          <w:p w14:paraId="314C08C5">
            <w:pPr>
              <w:widowControl/>
              <w:jc w:val="left"/>
              <w:rPr>
                <w:rFonts w:hint="eastAsia" w:ascii="宋体" w:hAnsi="宋体" w:cs="宋体"/>
                <w:color w:val="auto"/>
                <w:kern w:val="0"/>
                <w:sz w:val="24"/>
                <w:szCs w:val="24"/>
                <w:highlight w:val="none"/>
              </w:rPr>
            </w:pPr>
          </w:p>
        </w:tc>
        <w:tc>
          <w:tcPr>
            <w:tcW w:w="5245" w:type="dxa"/>
            <w:tcBorders>
              <w:top w:val="nil"/>
              <w:left w:val="nil"/>
              <w:bottom w:val="single" w:color="auto" w:sz="4" w:space="0"/>
              <w:right w:val="single" w:color="auto" w:sz="4" w:space="0"/>
            </w:tcBorders>
            <w:shd w:val="clear" w:color="auto" w:fill="auto"/>
            <w:vAlign w:val="center"/>
          </w:tcPr>
          <w:p w14:paraId="07C9AD4A">
            <w:pPr>
              <w:widowControl/>
              <w:jc w:val="left"/>
              <w:rPr>
                <w:rFonts w:hint="eastAsia" w:ascii="宋体" w:hAnsi="宋体" w:cs="宋体"/>
                <w:color w:val="auto"/>
                <w:kern w:val="0"/>
                <w:sz w:val="24"/>
                <w:szCs w:val="24"/>
                <w:highlight w:val="none"/>
              </w:rPr>
            </w:pPr>
          </w:p>
        </w:tc>
        <w:tc>
          <w:tcPr>
            <w:tcW w:w="992" w:type="dxa"/>
            <w:tcBorders>
              <w:top w:val="nil"/>
              <w:left w:val="nil"/>
              <w:bottom w:val="single" w:color="auto" w:sz="4" w:space="0"/>
              <w:right w:val="single" w:color="auto" w:sz="4" w:space="0"/>
            </w:tcBorders>
            <w:shd w:val="clear" w:color="auto" w:fill="auto"/>
            <w:noWrap/>
            <w:vAlign w:val="center"/>
          </w:tcPr>
          <w:p w14:paraId="5DB235C2">
            <w:pPr>
              <w:widowControl/>
              <w:jc w:val="center"/>
              <w:rPr>
                <w:rFonts w:hint="eastAsia" w:ascii="宋体" w:hAnsi="宋体" w:cs="宋体"/>
                <w:color w:val="auto"/>
                <w:kern w:val="0"/>
                <w:sz w:val="24"/>
                <w:szCs w:val="24"/>
                <w:highlight w:val="none"/>
              </w:rPr>
            </w:pPr>
          </w:p>
        </w:tc>
      </w:tr>
      <w:tr w14:paraId="12E37CDA">
        <w:tblPrEx>
          <w:tblCellMar>
            <w:top w:w="0" w:type="dxa"/>
            <w:left w:w="108" w:type="dxa"/>
            <w:bottom w:w="0" w:type="dxa"/>
            <w:right w:w="108" w:type="dxa"/>
          </w:tblCellMar>
        </w:tblPrEx>
        <w:trPr>
          <w:trHeight w:val="118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1432C52A">
            <w:pPr>
              <w:widowControl/>
              <w:jc w:val="center"/>
              <w:rPr>
                <w:rFonts w:hint="eastAsia" w:ascii="宋体" w:hAnsi="宋体" w:cs="宋体"/>
                <w:color w:val="auto"/>
                <w:kern w:val="0"/>
                <w:sz w:val="24"/>
                <w:szCs w:val="24"/>
                <w:highlight w:val="none"/>
              </w:rPr>
            </w:pPr>
          </w:p>
        </w:tc>
        <w:tc>
          <w:tcPr>
            <w:tcW w:w="1510" w:type="dxa"/>
            <w:tcBorders>
              <w:top w:val="nil"/>
              <w:left w:val="nil"/>
              <w:bottom w:val="single" w:color="auto" w:sz="4" w:space="0"/>
              <w:right w:val="single" w:color="auto" w:sz="4" w:space="0"/>
            </w:tcBorders>
            <w:shd w:val="clear" w:color="auto" w:fill="auto"/>
            <w:noWrap/>
            <w:vAlign w:val="center"/>
          </w:tcPr>
          <w:p w14:paraId="6DE5AC66">
            <w:pPr>
              <w:widowControl/>
              <w:jc w:val="left"/>
              <w:rPr>
                <w:rFonts w:hint="eastAsia" w:ascii="宋体" w:hAnsi="宋体" w:cs="宋体"/>
                <w:color w:val="auto"/>
                <w:kern w:val="0"/>
                <w:sz w:val="24"/>
                <w:szCs w:val="24"/>
                <w:highlight w:val="none"/>
              </w:rPr>
            </w:pPr>
          </w:p>
        </w:tc>
        <w:tc>
          <w:tcPr>
            <w:tcW w:w="5245" w:type="dxa"/>
            <w:tcBorders>
              <w:top w:val="nil"/>
              <w:left w:val="nil"/>
              <w:bottom w:val="single" w:color="auto" w:sz="4" w:space="0"/>
              <w:right w:val="single" w:color="auto" w:sz="4" w:space="0"/>
            </w:tcBorders>
            <w:shd w:val="clear" w:color="auto" w:fill="auto"/>
            <w:vAlign w:val="center"/>
          </w:tcPr>
          <w:p w14:paraId="7E1681C9">
            <w:pPr>
              <w:widowControl/>
              <w:jc w:val="left"/>
              <w:rPr>
                <w:rFonts w:hint="eastAsia" w:ascii="宋体" w:hAnsi="宋体" w:cs="宋体"/>
                <w:color w:val="auto"/>
                <w:kern w:val="0"/>
                <w:sz w:val="24"/>
                <w:szCs w:val="24"/>
                <w:highlight w:val="none"/>
              </w:rPr>
            </w:pPr>
          </w:p>
        </w:tc>
        <w:tc>
          <w:tcPr>
            <w:tcW w:w="992" w:type="dxa"/>
            <w:tcBorders>
              <w:top w:val="nil"/>
              <w:left w:val="nil"/>
              <w:bottom w:val="single" w:color="auto" w:sz="4" w:space="0"/>
              <w:right w:val="single" w:color="auto" w:sz="4" w:space="0"/>
            </w:tcBorders>
            <w:shd w:val="clear" w:color="auto" w:fill="auto"/>
            <w:noWrap/>
            <w:vAlign w:val="center"/>
          </w:tcPr>
          <w:p w14:paraId="4833A9B6">
            <w:pPr>
              <w:widowControl/>
              <w:jc w:val="center"/>
              <w:rPr>
                <w:rFonts w:hint="eastAsia" w:ascii="宋体" w:hAnsi="宋体" w:cs="宋体"/>
                <w:color w:val="auto"/>
                <w:kern w:val="0"/>
                <w:sz w:val="24"/>
                <w:szCs w:val="24"/>
                <w:highlight w:val="none"/>
              </w:rPr>
            </w:pPr>
          </w:p>
        </w:tc>
      </w:tr>
      <w:tr w14:paraId="7100AE1A">
        <w:tblPrEx>
          <w:tblCellMar>
            <w:top w:w="0" w:type="dxa"/>
            <w:left w:w="108" w:type="dxa"/>
            <w:bottom w:w="0" w:type="dxa"/>
            <w:right w:w="108" w:type="dxa"/>
          </w:tblCellMar>
        </w:tblPrEx>
        <w:trPr>
          <w:trHeight w:val="1710"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2A45A9E6">
            <w:pPr>
              <w:widowControl/>
              <w:jc w:val="center"/>
              <w:rPr>
                <w:rFonts w:hint="eastAsia" w:ascii="宋体" w:hAnsi="宋体" w:cs="宋体"/>
                <w:color w:val="auto"/>
                <w:kern w:val="0"/>
                <w:sz w:val="24"/>
                <w:szCs w:val="24"/>
                <w:highlight w:val="none"/>
              </w:rPr>
            </w:pPr>
          </w:p>
        </w:tc>
        <w:tc>
          <w:tcPr>
            <w:tcW w:w="1510" w:type="dxa"/>
            <w:tcBorders>
              <w:top w:val="nil"/>
              <w:left w:val="nil"/>
              <w:bottom w:val="single" w:color="auto" w:sz="4" w:space="0"/>
              <w:right w:val="single" w:color="auto" w:sz="4" w:space="0"/>
            </w:tcBorders>
            <w:shd w:val="clear" w:color="auto" w:fill="auto"/>
            <w:noWrap/>
            <w:vAlign w:val="center"/>
          </w:tcPr>
          <w:p w14:paraId="7F58C6AA">
            <w:pPr>
              <w:widowControl/>
              <w:jc w:val="left"/>
              <w:rPr>
                <w:rFonts w:hint="eastAsia" w:ascii="宋体" w:hAnsi="宋体" w:cs="宋体"/>
                <w:color w:val="auto"/>
                <w:kern w:val="0"/>
                <w:sz w:val="24"/>
                <w:szCs w:val="24"/>
                <w:highlight w:val="none"/>
              </w:rPr>
            </w:pPr>
          </w:p>
        </w:tc>
        <w:tc>
          <w:tcPr>
            <w:tcW w:w="5245" w:type="dxa"/>
            <w:tcBorders>
              <w:top w:val="nil"/>
              <w:left w:val="nil"/>
              <w:bottom w:val="single" w:color="auto" w:sz="4" w:space="0"/>
              <w:right w:val="single" w:color="auto" w:sz="4" w:space="0"/>
            </w:tcBorders>
            <w:shd w:val="clear" w:color="auto" w:fill="auto"/>
            <w:vAlign w:val="center"/>
          </w:tcPr>
          <w:p w14:paraId="135CDACD">
            <w:pPr>
              <w:widowControl/>
              <w:jc w:val="left"/>
              <w:rPr>
                <w:rFonts w:hint="eastAsia" w:ascii="宋体" w:hAnsi="宋体" w:cs="宋体"/>
                <w:color w:val="auto"/>
                <w:kern w:val="0"/>
                <w:sz w:val="24"/>
                <w:szCs w:val="24"/>
                <w:highlight w:val="none"/>
              </w:rPr>
            </w:pPr>
          </w:p>
        </w:tc>
        <w:tc>
          <w:tcPr>
            <w:tcW w:w="992" w:type="dxa"/>
            <w:tcBorders>
              <w:top w:val="nil"/>
              <w:left w:val="nil"/>
              <w:bottom w:val="single" w:color="auto" w:sz="4" w:space="0"/>
              <w:right w:val="single" w:color="auto" w:sz="4" w:space="0"/>
            </w:tcBorders>
            <w:shd w:val="clear" w:color="auto" w:fill="auto"/>
            <w:noWrap/>
            <w:vAlign w:val="center"/>
          </w:tcPr>
          <w:p w14:paraId="6DB4D5E8">
            <w:pPr>
              <w:widowControl/>
              <w:jc w:val="center"/>
              <w:rPr>
                <w:rFonts w:hint="eastAsia" w:ascii="宋体" w:hAnsi="宋体" w:cs="宋体"/>
                <w:color w:val="auto"/>
                <w:kern w:val="0"/>
                <w:sz w:val="24"/>
                <w:szCs w:val="24"/>
                <w:highlight w:val="none"/>
              </w:rPr>
            </w:pPr>
          </w:p>
        </w:tc>
      </w:tr>
      <w:tr w14:paraId="509097CE">
        <w:tblPrEx>
          <w:tblCellMar>
            <w:top w:w="0" w:type="dxa"/>
            <w:left w:w="108" w:type="dxa"/>
            <w:bottom w:w="0" w:type="dxa"/>
            <w:right w:w="108" w:type="dxa"/>
          </w:tblCellMar>
        </w:tblPrEx>
        <w:trPr>
          <w:trHeight w:val="100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54CB74E4">
            <w:pPr>
              <w:widowControl/>
              <w:jc w:val="center"/>
              <w:rPr>
                <w:rFonts w:hint="eastAsia" w:ascii="宋体" w:hAnsi="宋体" w:cs="宋体"/>
                <w:color w:val="auto"/>
                <w:kern w:val="0"/>
                <w:sz w:val="24"/>
                <w:szCs w:val="24"/>
                <w:highlight w:val="none"/>
              </w:rPr>
            </w:pPr>
          </w:p>
        </w:tc>
        <w:tc>
          <w:tcPr>
            <w:tcW w:w="1510" w:type="dxa"/>
            <w:tcBorders>
              <w:top w:val="nil"/>
              <w:left w:val="nil"/>
              <w:bottom w:val="single" w:color="auto" w:sz="4" w:space="0"/>
              <w:right w:val="single" w:color="auto" w:sz="4" w:space="0"/>
            </w:tcBorders>
            <w:shd w:val="clear" w:color="auto" w:fill="auto"/>
            <w:vAlign w:val="center"/>
          </w:tcPr>
          <w:p w14:paraId="0A1EAD52">
            <w:pPr>
              <w:widowControl/>
              <w:jc w:val="left"/>
              <w:rPr>
                <w:rFonts w:hint="eastAsia" w:ascii="宋体" w:hAnsi="宋体" w:cs="宋体"/>
                <w:color w:val="auto"/>
                <w:kern w:val="0"/>
                <w:sz w:val="24"/>
                <w:szCs w:val="24"/>
                <w:highlight w:val="none"/>
              </w:rPr>
            </w:pPr>
          </w:p>
        </w:tc>
        <w:tc>
          <w:tcPr>
            <w:tcW w:w="5245" w:type="dxa"/>
            <w:tcBorders>
              <w:top w:val="nil"/>
              <w:left w:val="nil"/>
              <w:bottom w:val="single" w:color="auto" w:sz="4" w:space="0"/>
              <w:right w:val="single" w:color="auto" w:sz="4" w:space="0"/>
            </w:tcBorders>
            <w:shd w:val="clear" w:color="auto" w:fill="auto"/>
            <w:vAlign w:val="center"/>
          </w:tcPr>
          <w:p w14:paraId="0707597D">
            <w:pPr>
              <w:widowControl/>
              <w:jc w:val="left"/>
              <w:rPr>
                <w:rFonts w:hint="eastAsia" w:ascii="宋体" w:hAnsi="宋体" w:cs="宋体"/>
                <w:color w:val="auto"/>
                <w:kern w:val="0"/>
                <w:sz w:val="24"/>
                <w:szCs w:val="24"/>
                <w:highlight w:val="none"/>
              </w:rPr>
            </w:pPr>
          </w:p>
        </w:tc>
        <w:tc>
          <w:tcPr>
            <w:tcW w:w="992" w:type="dxa"/>
            <w:tcBorders>
              <w:top w:val="nil"/>
              <w:left w:val="nil"/>
              <w:bottom w:val="single" w:color="auto" w:sz="4" w:space="0"/>
              <w:right w:val="single" w:color="auto" w:sz="4" w:space="0"/>
            </w:tcBorders>
            <w:shd w:val="clear" w:color="auto" w:fill="auto"/>
            <w:noWrap/>
            <w:vAlign w:val="center"/>
          </w:tcPr>
          <w:p w14:paraId="47F298D6">
            <w:pPr>
              <w:widowControl/>
              <w:jc w:val="center"/>
              <w:rPr>
                <w:rFonts w:hint="eastAsia" w:ascii="宋体" w:hAnsi="宋体" w:cs="宋体"/>
                <w:color w:val="auto"/>
                <w:kern w:val="0"/>
                <w:sz w:val="24"/>
                <w:szCs w:val="24"/>
                <w:highlight w:val="none"/>
              </w:rPr>
            </w:pPr>
          </w:p>
        </w:tc>
      </w:tr>
      <w:tr w14:paraId="67156263">
        <w:tblPrEx>
          <w:tblCellMar>
            <w:top w:w="0" w:type="dxa"/>
            <w:left w:w="108" w:type="dxa"/>
            <w:bottom w:w="0" w:type="dxa"/>
            <w:right w:w="108" w:type="dxa"/>
          </w:tblCellMar>
        </w:tblPrEx>
        <w:trPr>
          <w:trHeight w:val="100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29A532B2">
            <w:pPr>
              <w:widowControl/>
              <w:jc w:val="center"/>
              <w:rPr>
                <w:rFonts w:hint="eastAsia" w:ascii="宋体" w:hAnsi="宋体" w:cs="宋体"/>
                <w:color w:val="auto"/>
                <w:kern w:val="0"/>
                <w:sz w:val="24"/>
                <w:szCs w:val="24"/>
                <w:highlight w:val="none"/>
              </w:rPr>
            </w:pPr>
          </w:p>
        </w:tc>
        <w:tc>
          <w:tcPr>
            <w:tcW w:w="1510" w:type="dxa"/>
            <w:tcBorders>
              <w:top w:val="nil"/>
              <w:left w:val="nil"/>
              <w:bottom w:val="single" w:color="auto" w:sz="4" w:space="0"/>
              <w:right w:val="single" w:color="auto" w:sz="4" w:space="0"/>
            </w:tcBorders>
            <w:shd w:val="clear" w:color="auto" w:fill="auto"/>
            <w:vAlign w:val="center"/>
          </w:tcPr>
          <w:p w14:paraId="7528CE92">
            <w:pPr>
              <w:widowControl/>
              <w:jc w:val="left"/>
              <w:rPr>
                <w:rFonts w:hint="eastAsia" w:ascii="宋体" w:hAnsi="宋体" w:cs="宋体"/>
                <w:color w:val="auto"/>
                <w:kern w:val="0"/>
                <w:sz w:val="24"/>
                <w:szCs w:val="24"/>
                <w:highlight w:val="none"/>
              </w:rPr>
            </w:pPr>
          </w:p>
        </w:tc>
        <w:tc>
          <w:tcPr>
            <w:tcW w:w="5245" w:type="dxa"/>
            <w:tcBorders>
              <w:top w:val="nil"/>
              <w:left w:val="nil"/>
              <w:bottom w:val="single" w:color="auto" w:sz="4" w:space="0"/>
              <w:right w:val="single" w:color="auto" w:sz="4" w:space="0"/>
            </w:tcBorders>
            <w:shd w:val="clear" w:color="auto" w:fill="auto"/>
            <w:vAlign w:val="center"/>
          </w:tcPr>
          <w:p w14:paraId="4CC4CB5E">
            <w:pPr>
              <w:widowControl/>
              <w:jc w:val="left"/>
              <w:rPr>
                <w:rFonts w:hint="eastAsia" w:ascii="宋体" w:hAnsi="宋体" w:cs="宋体"/>
                <w:color w:val="auto"/>
                <w:kern w:val="0"/>
                <w:sz w:val="24"/>
                <w:szCs w:val="24"/>
                <w:highlight w:val="none"/>
              </w:rPr>
            </w:pPr>
          </w:p>
        </w:tc>
        <w:tc>
          <w:tcPr>
            <w:tcW w:w="992" w:type="dxa"/>
            <w:tcBorders>
              <w:top w:val="nil"/>
              <w:left w:val="nil"/>
              <w:bottom w:val="single" w:color="auto" w:sz="4" w:space="0"/>
              <w:right w:val="single" w:color="auto" w:sz="4" w:space="0"/>
            </w:tcBorders>
            <w:shd w:val="clear" w:color="auto" w:fill="auto"/>
            <w:noWrap/>
            <w:vAlign w:val="center"/>
          </w:tcPr>
          <w:p w14:paraId="788BCA72">
            <w:pPr>
              <w:widowControl/>
              <w:jc w:val="center"/>
              <w:rPr>
                <w:rFonts w:hint="eastAsia" w:ascii="宋体" w:hAnsi="宋体" w:cs="宋体"/>
                <w:color w:val="auto"/>
                <w:kern w:val="0"/>
                <w:sz w:val="24"/>
                <w:szCs w:val="24"/>
                <w:highlight w:val="none"/>
              </w:rPr>
            </w:pPr>
          </w:p>
        </w:tc>
      </w:tr>
      <w:tr w14:paraId="0B9933F3">
        <w:tblPrEx>
          <w:tblCellMar>
            <w:top w:w="0" w:type="dxa"/>
            <w:left w:w="108" w:type="dxa"/>
            <w:bottom w:w="0" w:type="dxa"/>
            <w:right w:w="108" w:type="dxa"/>
          </w:tblCellMar>
        </w:tblPrEx>
        <w:trPr>
          <w:trHeight w:val="142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1E453AD1">
            <w:pPr>
              <w:widowControl/>
              <w:jc w:val="center"/>
              <w:rPr>
                <w:rFonts w:hint="eastAsia" w:ascii="宋体" w:hAnsi="宋体" w:cs="宋体"/>
                <w:color w:val="auto"/>
                <w:kern w:val="0"/>
                <w:sz w:val="24"/>
                <w:szCs w:val="24"/>
                <w:highlight w:val="none"/>
              </w:rPr>
            </w:pPr>
          </w:p>
        </w:tc>
        <w:tc>
          <w:tcPr>
            <w:tcW w:w="1510" w:type="dxa"/>
            <w:tcBorders>
              <w:top w:val="nil"/>
              <w:left w:val="nil"/>
              <w:bottom w:val="single" w:color="auto" w:sz="4" w:space="0"/>
              <w:right w:val="single" w:color="auto" w:sz="4" w:space="0"/>
            </w:tcBorders>
            <w:shd w:val="clear" w:color="auto" w:fill="auto"/>
            <w:vAlign w:val="center"/>
          </w:tcPr>
          <w:p w14:paraId="6A02A4D3">
            <w:pPr>
              <w:widowControl/>
              <w:jc w:val="left"/>
              <w:rPr>
                <w:rFonts w:hint="eastAsia" w:ascii="宋体" w:hAnsi="宋体" w:cs="宋体"/>
                <w:color w:val="auto"/>
                <w:kern w:val="0"/>
                <w:sz w:val="24"/>
                <w:szCs w:val="24"/>
                <w:highlight w:val="none"/>
              </w:rPr>
            </w:pPr>
          </w:p>
        </w:tc>
        <w:tc>
          <w:tcPr>
            <w:tcW w:w="5245" w:type="dxa"/>
            <w:tcBorders>
              <w:top w:val="nil"/>
              <w:left w:val="nil"/>
              <w:bottom w:val="single" w:color="auto" w:sz="4" w:space="0"/>
              <w:right w:val="single" w:color="auto" w:sz="4" w:space="0"/>
            </w:tcBorders>
            <w:shd w:val="clear" w:color="auto" w:fill="auto"/>
            <w:vAlign w:val="center"/>
          </w:tcPr>
          <w:p w14:paraId="1AAC9E83">
            <w:pPr>
              <w:widowControl/>
              <w:jc w:val="left"/>
              <w:rPr>
                <w:rFonts w:hint="eastAsia" w:ascii="宋体" w:hAnsi="宋体" w:cs="宋体"/>
                <w:color w:val="auto"/>
                <w:kern w:val="0"/>
                <w:sz w:val="24"/>
                <w:szCs w:val="24"/>
                <w:highlight w:val="none"/>
              </w:rPr>
            </w:pPr>
          </w:p>
        </w:tc>
        <w:tc>
          <w:tcPr>
            <w:tcW w:w="992" w:type="dxa"/>
            <w:tcBorders>
              <w:top w:val="nil"/>
              <w:left w:val="nil"/>
              <w:bottom w:val="single" w:color="auto" w:sz="4" w:space="0"/>
              <w:right w:val="single" w:color="auto" w:sz="4" w:space="0"/>
            </w:tcBorders>
            <w:shd w:val="clear" w:color="auto" w:fill="auto"/>
            <w:noWrap/>
            <w:vAlign w:val="center"/>
          </w:tcPr>
          <w:p w14:paraId="1043E857">
            <w:pPr>
              <w:widowControl/>
              <w:jc w:val="center"/>
              <w:rPr>
                <w:rFonts w:hint="eastAsia" w:ascii="宋体" w:hAnsi="宋体" w:cs="宋体"/>
                <w:color w:val="auto"/>
                <w:kern w:val="0"/>
                <w:sz w:val="24"/>
                <w:szCs w:val="24"/>
                <w:highlight w:val="none"/>
              </w:rPr>
            </w:pPr>
          </w:p>
        </w:tc>
      </w:tr>
      <w:tr w14:paraId="5222FE0F">
        <w:tblPrEx>
          <w:tblCellMar>
            <w:top w:w="0" w:type="dxa"/>
            <w:left w:w="108" w:type="dxa"/>
            <w:bottom w:w="0" w:type="dxa"/>
            <w:right w:w="108" w:type="dxa"/>
          </w:tblCellMar>
        </w:tblPrEx>
        <w:trPr>
          <w:trHeight w:val="1005" w:hRule="atLeast"/>
        </w:trPr>
        <w:tc>
          <w:tcPr>
            <w:tcW w:w="900" w:type="dxa"/>
            <w:tcBorders>
              <w:top w:val="nil"/>
              <w:left w:val="single" w:color="auto" w:sz="4" w:space="0"/>
              <w:bottom w:val="single" w:color="auto" w:sz="4" w:space="0"/>
              <w:right w:val="single" w:color="auto" w:sz="4" w:space="0"/>
            </w:tcBorders>
            <w:shd w:val="clear" w:color="auto" w:fill="auto"/>
            <w:noWrap/>
            <w:vAlign w:val="center"/>
          </w:tcPr>
          <w:p w14:paraId="706CC64E">
            <w:pPr>
              <w:widowControl/>
              <w:jc w:val="center"/>
              <w:rPr>
                <w:rFonts w:hint="eastAsia" w:ascii="宋体" w:hAnsi="宋体" w:cs="宋体"/>
                <w:color w:val="auto"/>
                <w:kern w:val="0"/>
                <w:sz w:val="24"/>
                <w:szCs w:val="24"/>
                <w:highlight w:val="none"/>
              </w:rPr>
            </w:pPr>
          </w:p>
        </w:tc>
        <w:tc>
          <w:tcPr>
            <w:tcW w:w="1510" w:type="dxa"/>
            <w:tcBorders>
              <w:top w:val="nil"/>
              <w:left w:val="nil"/>
              <w:bottom w:val="single" w:color="auto" w:sz="4" w:space="0"/>
              <w:right w:val="single" w:color="auto" w:sz="4" w:space="0"/>
            </w:tcBorders>
            <w:shd w:val="clear" w:color="auto" w:fill="auto"/>
            <w:vAlign w:val="center"/>
          </w:tcPr>
          <w:p w14:paraId="27E0EDAA">
            <w:pPr>
              <w:widowControl/>
              <w:jc w:val="left"/>
              <w:rPr>
                <w:rFonts w:hint="eastAsia" w:ascii="宋体" w:hAnsi="宋体" w:cs="宋体"/>
                <w:color w:val="auto"/>
                <w:kern w:val="0"/>
                <w:sz w:val="24"/>
                <w:szCs w:val="24"/>
                <w:highlight w:val="none"/>
              </w:rPr>
            </w:pPr>
          </w:p>
        </w:tc>
        <w:tc>
          <w:tcPr>
            <w:tcW w:w="5245" w:type="dxa"/>
            <w:tcBorders>
              <w:top w:val="nil"/>
              <w:left w:val="nil"/>
              <w:bottom w:val="single" w:color="auto" w:sz="4" w:space="0"/>
              <w:right w:val="single" w:color="auto" w:sz="4" w:space="0"/>
            </w:tcBorders>
            <w:shd w:val="clear" w:color="auto" w:fill="auto"/>
            <w:vAlign w:val="center"/>
          </w:tcPr>
          <w:p w14:paraId="3CEB3D51">
            <w:pPr>
              <w:widowControl/>
              <w:jc w:val="left"/>
              <w:rPr>
                <w:rFonts w:hint="eastAsia" w:ascii="宋体" w:hAnsi="宋体" w:cs="宋体"/>
                <w:color w:val="auto"/>
                <w:kern w:val="0"/>
                <w:sz w:val="24"/>
                <w:szCs w:val="24"/>
                <w:highlight w:val="none"/>
              </w:rPr>
            </w:pPr>
          </w:p>
        </w:tc>
        <w:tc>
          <w:tcPr>
            <w:tcW w:w="992" w:type="dxa"/>
            <w:tcBorders>
              <w:top w:val="nil"/>
              <w:left w:val="nil"/>
              <w:bottom w:val="single" w:color="auto" w:sz="4" w:space="0"/>
              <w:right w:val="single" w:color="auto" w:sz="4" w:space="0"/>
            </w:tcBorders>
            <w:shd w:val="clear" w:color="auto" w:fill="auto"/>
            <w:noWrap/>
            <w:vAlign w:val="center"/>
          </w:tcPr>
          <w:p w14:paraId="28FD3668">
            <w:pPr>
              <w:widowControl/>
              <w:jc w:val="center"/>
              <w:rPr>
                <w:rFonts w:hint="eastAsia" w:ascii="宋体" w:hAnsi="宋体" w:cs="宋体"/>
                <w:color w:val="auto"/>
                <w:kern w:val="0"/>
                <w:sz w:val="24"/>
                <w:szCs w:val="24"/>
                <w:highlight w:val="none"/>
              </w:rPr>
            </w:pPr>
          </w:p>
        </w:tc>
      </w:tr>
      <w:tr w14:paraId="2D283F71">
        <w:tblPrEx>
          <w:tblCellMar>
            <w:top w:w="0" w:type="dxa"/>
            <w:left w:w="108" w:type="dxa"/>
            <w:bottom w:w="0" w:type="dxa"/>
            <w:right w:w="108" w:type="dxa"/>
          </w:tblCellMar>
        </w:tblPrEx>
        <w:trPr>
          <w:trHeight w:val="499" w:hRule="atLeast"/>
        </w:trPr>
        <w:tc>
          <w:tcPr>
            <w:tcW w:w="765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A40454">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工作量汇总（人天）</w:t>
            </w:r>
          </w:p>
        </w:tc>
        <w:tc>
          <w:tcPr>
            <w:tcW w:w="992" w:type="dxa"/>
            <w:tcBorders>
              <w:top w:val="nil"/>
              <w:left w:val="nil"/>
              <w:bottom w:val="single" w:color="auto" w:sz="4" w:space="0"/>
              <w:right w:val="single" w:color="auto" w:sz="4" w:space="0"/>
            </w:tcBorders>
            <w:shd w:val="clear" w:color="auto" w:fill="auto"/>
            <w:noWrap/>
            <w:vAlign w:val="center"/>
          </w:tcPr>
          <w:p w14:paraId="2E49FD18">
            <w:pPr>
              <w:widowControl/>
              <w:jc w:val="center"/>
              <w:rPr>
                <w:rFonts w:hint="eastAsia" w:ascii="宋体" w:hAnsi="宋体" w:cs="宋体"/>
                <w:b/>
                <w:bCs/>
                <w:color w:val="auto"/>
                <w:kern w:val="0"/>
                <w:sz w:val="24"/>
                <w:szCs w:val="24"/>
                <w:highlight w:val="none"/>
              </w:rPr>
            </w:pPr>
          </w:p>
        </w:tc>
      </w:tr>
      <w:tr w14:paraId="7A917EB0">
        <w:tblPrEx>
          <w:tblCellMar>
            <w:top w:w="0" w:type="dxa"/>
            <w:left w:w="108" w:type="dxa"/>
            <w:bottom w:w="0" w:type="dxa"/>
            <w:right w:w="108" w:type="dxa"/>
          </w:tblCellMar>
        </w:tblPrEx>
        <w:trPr>
          <w:trHeight w:val="885" w:hRule="atLeast"/>
        </w:trPr>
        <w:tc>
          <w:tcPr>
            <w:tcW w:w="864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B74B1F7">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当前功能开发属于资源池内开发，涉及工作量</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人天，不涉及费用；</w:t>
            </w:r>
          </w:p>
          <w:p w14:paraId="376AA3DB">
            <w:pPr>
              <w:widowControl/>
              <w:jc w:val="cente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按照</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元/人天收费标准，</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元/人天*</w:t>
            </w:r>
            <w:r>
              <w:rPr>
                <w:rFonts w:ascii="宋体" w:hAnsi="宋体" w:cs="宋体"/>
                <w:b/>
                <w:bCs/>
                <w:color w:val="auto"/>
                <w:kern w:val="0"/>
                <w:sz w:val="24"/>
                <w:szCs w:val="24"/>
                <w:highlight w:val="none"/>
              </w:rPr>
              <w:t xml:space="preserve"> </w:t>
            </w:r>
            <w:r>
              <w:rPr>
                <w:rFonts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人天=</w:t>
            </w:r>
            <w:r>
              <w:rPr>
                <w:rFonts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元</w:t>
            </w:r>
          </w:p>
        </w:tc>
      </w:tr>
    </w:tbl>
    <w:p w14:paraId="71D3CDA2">
      <w:pPr>
        <w:widowControl/>
        <w:snapToGrid w:val="0"/>
        <w:spacing w:before="1" w:after="100" w:afterAutospacing="1" w:line="300" w:lineRule="auto"/>
        <w:jc w:val="left"/>
        <w:rPr>
          <w:rFonts w:hint="eastAsia" w:ascii="仿宋_GB2312" w:hAnsi="宋体" w:eastAsia="仿宋_GB2312" w:cs="宋体"/>
          <w:color w:val="auto"/>
          <w:kern w:val="0"/>
          <w:sz w:val="28"/>
          <w:szCs w:val="28"/>
          <w:highlight w:val="none"/>
        </w:rPr>
      </w:pPr>
    </w:p>
    <w:p w14:paraId="6CD606B4">
      <w:pPr>
        <w:widowControl/>
        <w:snapToGrid w:val="0"/>
        <w:spacing w:before="1" w:after="100" w:afterAutospacing="1" w:line="300" w:lineRule="auto"/>
        <w:jc w:val="left"/>
        <w:rPr>
          <w:rFonts w:hint="eastAsia" w:ascii="仿宋_GB2312" w:hAnsi="宋体" w:eastAsia="仿宋_GB2312" w:cs="宋体"/>
          <w:color w:val="auto"/>
          <w:kern w:val="0"/>
          <w:sz w:val="28"/>
          <w:szCs w:val="28"/>
          <w:highlight w:val="none"/>
        </w:rPr>
      </w:pPr>
    </w:p>
    <w:p w14:paraId="5C35CEE4">
      <w:pPr>
        <w:widowControl/>
        <w:snapToGrid w:val="0"/>
        <w:spacing w:before="1" w:after="100" w:afterAutospacing="1" w:line="300" w:lineRule="auto"/>
        <w:jc w:val="left"/>
        <w:rPr>
          <w:rFonts w:hint="eastAsia" w:ascii="仿宋_GB2312" w:hAnsi="宋体" w:eastAsia="仿宋_GB2312" w:cs="宋体"/>
          <w:color w:val="auto"/>
          <w:kern w:val="0"/>
          <w:sz w:val="28"/>
          <w:szCs w:val="28"/>
          <w:highlight w:val="none"/>
        </w:rPr>
      </w:pPr>
    </w:p>
    <w:p w14:paraId="6ABE426C">
      <w:pPr>
        <w:pStyle w:val="2"/>
        <w:rPr>
          <w:color w:val="auto"/>
          <w:highlight w:val="none"/>
        </w:rPr>
      </w:pPr>
    </w:p>
    <w:p w14:paraId="6B66872E">
      <w:pPr>
        <w:rPr>
          <w:rFonts w:hint="eastAsia"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附件5：重保期间保障方案</w:t>
      </w:r>
    </w:p>
    <w:p w14:paraId="43A98235">
      <w:pPr>
        <w:rPr>
          <w:color w:val="auto"/>
          <w:highlight w:val="none"/>
        </w:rPr>
      </w:pPr>
      <w:r>
        <w:rPr>
          <w:rFonts w:hint="eastAsia"/>
          <w:color w:val="auto"/>
          <w:highlight w:val="none"/>
        </w:rPr>
        <w:br w:type="page"/>
      </w:r>
    </w:p>
    <w:p w14:paraId="4AA6C5CA">
      <w:pPr>
        <w:rPr>
          <w:rFonts w:hint="eastAsia" w:ascii="仿宋_GB2312" w:hAnsi="宋体" w:eastAsia="仿宋_GB2312"/>
          <w:b/>
          <w:bCs w:val="0"/>
          <w:color w:val="auto"/>
          <w:sz w:val="28"/>
          <w:szCs w:val="28"/>
          <w:highlight w:val="none"/>
        </w:rPr>
      </w:pPr>
      <w:r>
        <w:rPr>
          <w:rFonts w:hint="eastAsia" w:ascii="仿宋_GB2312" w:hAnsi="宋体" w:eastAsia="仿宋_GB2312"/>
          <w:b/>
          <w:bCs w:val="0"/>
          <w:color w:val="auto"/>
          <w:sz w:val="28"/>
          <w:szCs w:val="28"/>
          <w:highlight w:val="none"/>
        </w:rPr>
        <w:t>附件6：信息系统承建及运维单位网络安全承诺书</w:t>
      </w:r>
    </w:p>
    <w:p w14:paraId="20B74F5D">
      <w:pPr>
        <w:pStyle w:val="12"/>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信息系统承建及运维单位网络安全承诺书</w:t>
      </w:r>
    </w:p>
    <w:p w14:paraId="0775A78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为了确保信息系统的安全稳定运行，保护用户信息和国家利益，作为信息系统的承建单位/运维单位，我们郑重承诺：</w:t>
      </w:r>
    </w:p>
    <w:p w14:paraId="41DADDCB">
      <w:pPr>
        <w:pStyle w:val="23"/>
        <w:numPr>
          <w:ilvl w:val="0"/>
          <w:numId w:val="16"/>
        </w:numPr>
        <w:spacing w:before="0" w:after="0"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遵守法律法规</w:t>
      </w:r>
    </w:p>
    <w:p w14:paraId="7FD5C207">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严格遵守国家有关网络安全的法律法规，包括但不限于《中华人民共和国网络安全法》《中华人民共和国数据安全法》《中华人民共和国个人信息保护法》等，切实履行网络安全保护义务。</w:t>
      </w:r>
    </w:p>
    <w:p w14:paraId="04443C36">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不从事任何危害网络安全的活动，如非法侵入他人网络、窃取数据、恶意攻击等。</w:t>
      </w:r>
    </w:p>
    <w:p w14:paraId="69DAE773">
      <w:pPr>
        <w:pStyle w:val="23"/>
        <w:numPr>
          <w:ilvl w:val="0"/>
          <w:numId w:val="16"/>
        </w:numPr>
        <w:spacing w:before="0" w:after="0"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信息系统责任人</w:t>
      </w:r>
    </w:p>
    <w:p w14:paraId="3001E624">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公司法人为第一责任人，项目经理为直接责任人。</w:t>
      </w:r>
    </w:p>
    <w:p w14:paraId="0FEC4219">
      <w:pPr>
        <w:pStyle w:val="23"/>
        <w:numPr>
          <w:ilvl w:val="0"/>
          <w:numId w:val="16"/>
        </w:numPr>
        <w:spacing w:before="0" w:after="0"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建设与运维安全</w:t>
      </w:r>
    </w:p>
    <w:p w14:paraId="3BE9863E">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在信息系统建设过程中，采用安全可靠的技术和产品，确保系统的安全性和稳定性。按照相关标准和规范进行设计、开发和测试，保证系统具备必要的安全功能，如访问控制、数据加密、漏洞管理等。</w:t>
      </w:r>
    </w:p>
    <w:p w14:paraId="31F2F9E8">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在向甲方提供的服务、产品、代码以及所使用的工具中，杜绝后门、漏洞、隐藏账号等危害网络安全的缺陷，不存在已知高危漏洞未修复的情况。</w:t>
      </w:r>
    </w:p>
    <w:p w14:paraId="5A1F50C2">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在信息系统运维期间，建立健全的运维管理制度，包括但不限于安全监控、事件响应、备份恢复等。定期对系统进行安全检查和漏洞扫描，及时修复发现的安全问题。</w:t>
      </w:r>
    </w:p>
    <w:p w14:paraId="72AE9EA8">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在向甲方提供的产品和服务具备良好的防攻击性能，确保不因责任原因导致网络安全事件。</w:t>
      </w:r>
    </w:p>
    <w:p w14:paraId="7986FEA6">
      <w:pPr>
        <w:pStyle w:val="23"/>
        <w:numPr>
          <w:ilvl w:val="0"/>
          <w:numId w:val="16"/>
        </w:numPr>
        <w:spacing w:before="0" w:after="0"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数据安全保护</w:t>
      </w:r>
    </w:p>
    <w:p w14:paraId="5BB75104">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采取有效的技术和管理措施，保护信息系统中的数据安全。对敏感数据进行加密存储和传输，防止数据泄露。</w:t>
      </w:r>
    </w:p>
    <w:p w14:paraId="55CB74E1">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建立数据备份和恢复机制，定期对数据进行备份，确保在发生数据丢失或损坏时能够及时恢复。</w:t>
      </w:r>
    </w:p>
    <w:p w14:paraId="2E2BFB5E">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严格控制数据的访问权限，只有经过授权的人员才能访问敏感数据。对数据的使用进行审计，记录数据的访问和操作情况。</w:t>
      </w:r>
    </w:p>
    <w:p w14:paraId="27DF0708">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不得在外部测试系统、原型系统、演示系统上使用“首都机场”“首新地服”“BCS”等字样或标识，不得保存BCS相关数据。</w:t>
      </w:r>
    </w:p>
    <w:p w14:paraId="055F6FC9">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对信息系统的用户进行身份认证和权限管理，确保只有授权用户能够访问系统和数据。加强对用户密码的管理，要求用户设置强密码并定期更换。</w:t>
      </w:r>
    </w:p>
    <w:p w14:paraId="0916B97C">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不得将系统架构、系统数据暴露在互联网上。</w:t>
      </w:r>
    </w:p>
    <w:p w14:paraId="4EB76042">
      <w:pPr>
        <w:pStyle w:val="23"/>
        <w:numPr>
          <w:ilvl w:val="0"/>
          <w:numId w:val="16"/>
        </w:numPr>
        <w:spacing w:before="0" w:after="0"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应急响应与通报</w:t>
      </w:r>
    </w:p>
    <w:p w14:paraId="33EDB0E8">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制定完善的网络安全应急预案，定期进行演练，确保在发生网络安全事件时能够迅速响应和处置。</w:t>
      </w:r>
    </w:p>
    <w:p w14:paraId="540A05B3">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一旦发生网络安全事件，立即启动应急预案，采取有效措施控制事件影响范围，防止事件扩大。并在规定时间内向有关部门报告事件情况。</w:t>
      </w:r>
    </w:p>
    <w:p w14:paraId="40D01640">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积极配合有关部门对网络安全事件的调查和处理，提供必要的技术支持和协助。</w:t>
      </w:r>
    </w:p>
    <w:p w14:paraId="017C5D7F">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在业务范围内，做好技术力量和备品备件的储备，能够快速响应BCS的服务需求。</w:t>
      </w:r>
    </w:p>
    <w:p w14:paraId="74B6ECFC">
      <w:pPr>
        <w:pStyle w:val="23"/>
        <w:numPr>
          <w:ilvl w:val="0"/>
          <w:numId w:val="16"/>
        </w:numPr>
        <w:spacing w:before="0" w:after="0"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保密条款</w:t>
      </w:r>
    </w:p>
    <w:p w14:paraId="1E55BDCE">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任何一方均应对在合同履行过程中知悉的有关对方的商业、技术、国家等秘密承担保密义务。除经秘密所有方的同意或法律法规另有规定，相对方不得向本合同以外的任何第三人提供、泄漏上述秘密，由此给秘密所有方造成损失的，责任方应承担相应责任。</w:t>
      </w:r>
    </w:p>
    <w:p w14:paraId="1B385E33">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不论合同是否解除或终止，本条款持续有效。</w:t>
      </w:r>
    </w:p>
    <w:p w14:paraId="5A4A2852">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在提出相关争议，以及在争议协商处理、诉讼、投诉中，均有权在必要的范围内不受限制地以口头或书面引述、不受限制地以其它合理方式利用本合同的整体及/或任何部分条款内容。上述行为不应当被视为泄露本合同相关的商业秘密、国家秘密，也不应当被认为违约。</w:t>
      </w:r>
    </w:p>
    <w:p w14:paraId="6BC5EACD">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承认并同意所有由甲方处理的数据、统计数据及其它相关数据是属于甲方的保密信息，而无论该些数据是以何种媒介和方式进行存储或处理，并且有关这些数据的所有知识产权归甲方所有。未经甲方书面同意或符合甲方书面同意的程序，乙方不得获得任何甲方数据。任何情况下，乙方不得对任何甲方数据有任何破坏或泄漏等行为。</w:t>
      </w:r>
    </w:p>
    <w:p w14:paraId="7765ED7A">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乙方同意并承诺，如果这些数据未经甲方许可披露给他人，所造成对甲方的直接损失，经证实，甲方有权通过法律途径向乙方索赔。</w:t>
      </w:r>
    </w:p>
    <w:p w14:paraId="6A08DB33">
      <w:pPr>
        <w:pStyle w:val="23"/>
        <w:numPr>
          <w:ilvl w:val="0"/>
          <w:numId w:val="16"/>
        </w:numPr>
        <w:spacing w:before="0" w:after="0"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人员管理</w:t>
      </w:r>
    </w:p>
    <w:p w14:paraId="595FFD9D">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对本单位从事信息系统建设和运维的人员进行网络安全培训，提升员工的安全意识和技能水平。</w:t>
      </w:r>
    </w:p>
    <w:p w14:paraId="053D1733">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严格管理员工的账号和权限，防止员工账号被滥用或盗用。对离职员工的账号及时进行清理和注销。</w:t>
      </w:r>
    </w:p>
    <w:p w14:paraId="26A05107">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加强内部管理和值班，在向BCS提供产品和服务时如遇网络攻击等突发网络安全事件，能够第一时间通报并有效处置。</w:t>
      </w:r>
    </w:p>
    <w:p w14:paraId="29F9A8FE">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不违规私自接入 BCS内部网络。如需要进行运维，将按照BCS相关流程进行申请和操作。</w:t>
      </w:r>
    </w:p>
    <w:p w14:paraId="5C567390">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不泄露各信息系统或堡垒机等运维系统的用户账号、口令、IP地址、网络端口、日志信息等数据信息，账号专人专用，如有工作变动及时注销。</w:t>
      </w:r>
    </w:p>
    <w:p w14:paraId="07890E8A">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不擅自删除、破坏或篡改各信息系统数据、程序、日志等。</w:t>
      </w:r>
    </w:p>
    <w:p w14:paraId="5470DDA5">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不得将为BCS运维的应用或产品软件源代码保存在公共代码托管平台或个人网盘。</w:t>
      </w:r>
    </w:p>
    <w:p w14:paraId="3F2E1587">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不做其他妨碍计算机网络安全的行为。</w:t>
      </w:r>
    </w:p>
    <w:p w14:paraId="4DF4C764">
      <w:pPr>
        <w:pStyle w:val="23"/>
        <w:numPr>
          <w:ilvl w:val="0"/>
          <w:numId w:val="16"/>
        </w:numPr>
        <w:spacing w:before="0" w:after="0" w:line="360" w:lineRule="auto"/>
        <w:ind w:firstLine="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持续改进</w:t>
      </w:r>
    </w:p>
    <w:p w14:paraId="2DFEE960">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定期对信息系统的网络安全状况进行评估和审计，发现问题及时整改。持续改进网络安全管理体系和技术措施，提高信息系统的安全性。</w:t>
      </w:r>
    </w:p>
    <w:p w14:paraId="7A24DCAF">
      <w:pPr>
        <w:numPr>
          <w:ilvl w:val="0"/>
          <w:numId w:val="17"/>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关注网络安全技术的发展动态，及时引入新的安全技术和方法，提升信息系统的安全防护能力。</w:t>
      </w:r>
    </w:p>
    <w:p w14:paraId="58A6254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我们深知网络安全的重要性，将以高度的责任感和使命感，认真履行上述承诺，为信息系统的安全稳定运行提供有力保障。如有违反承诺的行为，愿意承担相应的法律责任。</w:t>
      </w:r>
    </w:p>
    <w:p w14:paraId="71DBB6FC">
      <w:pPr>
        <w:spacing w:line="360" w:lineRule="auto"/>
        <w:rPr>
          <w:rFonts w:hint="eastAsia" w:ascii="仿宋" w:hAnsi="仿宋" w:eastAsia="仿宋" w:cs="仿宋"/>
          <w:color w:val="auto"/>
          <w:sz w:val="24"/>
          <w:szCs w:val="24"/>
          <w:highlight w:val="none"/>
        </w:rPr>
      </w:pPr>
    </w:p>
    <w:p w14:paraId="61225AB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承诺单位（盖章）：__________</w:t>
      </w:r>
    </w:p>
    <w:p w14:paraId="46D6938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法定代表人（签字）：__________</w:t>
      </w:r>
    </w:p>
    <w:p w14:paraId="2D555B96">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日期：__________</w:t>
      </w:r>
    </w:p>
    <w:p w14:paraId="59B35485">
      <w:pPr>
        <w:rPr>
          <w:rFonts w:hint="default" w:ascii="仿宋_GB2312" w:hAnsi="宋体" w:eastAsia="仿宋_GB2312"/>
          <w:b/>
          <w:bCs w:val="0"/>
          <w:color w:val="auto"/>
          <w:sz w:val="28"/>
          <w:szCs w:val="28"/>
          <w:highlight w:val="none"/>
          <w:lang w:val="en-US" w:eastAsia="zh-CN"/>
        </w:rPr>
      </w:pPr>
      <w:r>
        <w:rPr>
          <w:rFonts w:hint="eastAsia" w:ascii="仿宋_GB2312" w:hAnsi="宋体" w:eastAsia="仿宋_GB2312"/>
          <w:b/>
          <w:bCs w:val="0"/>
          <w:color w:val="auto"/>
          <w:sz w:val="28"/>
          <w:szCs w:val="28"/>
          <w:highlight w:val="none"/>
          <w:lang w:val="en-US" w:eastAsia="zh-CN"/>
        </w:rPr>
        <w:t>附件7：项目组成员名单</w:t>
      </w:r>
    </w:p>
    <w:p w14:paraId="63FFDB48">
      <w:pPr>
        <w:rPr>
          <w:rFonts w:hint="default"/>
          <w:color w:val="auto"/>
          <w:highlight w:val="none"/>
          <w:lang w:val="en-US" w:eastAsia="zh-CN"/>
        </w:rPr>
      </w:pPr>
    </w:p>
    <w:p w14:paraId="2168D057">
      <w:pPr>
        <w:rPr>
          <w:rFonts w:hint="default"/>
          <w:color w:val="auto"/>
          <w:highlight w:val="none"/>
          <w:lang w:val="en-US" w:eastAsia="zh-CN"/>
        </w:rPr>
      </w:pPr>
      <w:r>
        <w:rPr>
          <w:rFonts w:hint="default"/>
          <w:color w:val="auto"/>
          <w:highlight w:val="none"/>
          <w:lang w:val="en-US" w:eastAsia="zh-CN"/>
        </w:rPr>
        <w:br w:type="page"/>
      </w:r>
    </w:p>
    <w:p w14:paraId="663137E8">
      <w:pPr>
        <w:pStyle w:val="2"/>
        <w:rPr>
          <w:rFonts w:hint="default"/>
          <w:color w:val="auto"/>
          <w:highlight w:val="none"/>
          <w:lang w:val="en-US" w:eastAsia="zh-CN"/>
        </w:rPr>
      </w:pPr>
    </w:p>
    <w:p w14:paraId="792F6988">
      <w:pPr>
        <w:tabs>
          <w:tab w:val="left" w:pos="1117"/>
        </w:tabs>
        <w:spacing w:line="480" w:lineRule="auto"/>
        <w:jc w:val="center"/>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第六章 </w:t>
      </w:r>
      <w:r>
        <w:rPr>
          <w:rFonts w:ascii="仿宋_GB2312" w:hAnsi="仿宋_GB2312" w:eastAsia="仿宋_GB2312" w:cs="仿宋_GB2312"/>
          <w:b/>
          <w:color w:val="auto"/>
          <w:sz w:val="32"/>
          <w:szCs w:val="32"/>
          <w:highlight w:val="none"/>
        </w:rPr>
        <w:t>服务需求</w:t>
      </w:r>
    </w:p>
    <w:p w14:paraId="075426D4">
      <w:pPr>
        <w:pStyle w:val="4"/>
        <w:numPr>
          <w:ilvl w:val="0"/>
          <w:numId w:val="18"/>
        </w:numPr>
        <w:spacing w:line="360" w:lineRule="auto"/>
        <w:ind w:left="0"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项目概况</w:t>
      </w:r>
    </w:p>
    <w:p w14:paraId="71E1FC5C">
      <w:pPr>
        <w:pStyle w:val="20"/>
        <w:numPr>
          <w:ilvl w:val="0"/>
          <w:numId w:val="19"/>
        </w:numPr>
        <w:spacing w:line="360" w:lineRule="auto"/>
        <w:ind w:firstLine="422"/>
        <w:outlineLvl w:val="2"/>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项目名称：</w:t>
      </w:r>
      <w:r>
        <w:rPr>
          <w:rFonts w:hint="eastAsia" w:ascii="仿宋" w:hAnsi="仿宋" w:eastAsia="仿宋" w:cs="仿宋"/>
          <w:color w:val="auto"/>
          <w:sz w:val="21"/>
          <w:szCs w:val="21"/>
          <w:highlight w:val="none"/>
        </w:rPr>
        <w:t>软件开发运维服务采购项目。</w:t>
      </w:r>
    </w:p>
    <w:p w14:paraId="08E6817C">
      <w:pPr>
        <w:pStyle w:val="20"/>
        <w:numPr>
          <w:ilvl w:val="0"/>
          <w:numId w:val="19"/>
        </w:numPr>
        <w:spacing w:line="360" w:lineRule="auto"/>
        <w:ind w:firstLine="422"/>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基本需求：</w:t>
      </w:r>
      <w:r>
        <w:rPr>
          <w:rFonts w:hint="eastAsia" w:ascii="仿宋" w:hAnsi="仿宋" w:eastAsia="仿宋" w:cs="仿宋"/>
          <w:color w:val="auto"/>
          <w:sz w:val="21"/>
          <w:szCs w:val="21"/>
          <w:highlight w:val="none"/>
        </w:rPr>
        <w:t>项目主要内容为通过采购“软件开发服务”和“软件运维服务”，为甲方的企业信息化系统提供信息技术维护和软件功能定制开发，</w:t>
      </w:r>
      <w:r>
        <w:rPr>
          <w:rFonts w:hint="eastAsia" w:ascii="仿宋" w:hAnsi="仿宋" w:eastAsia="仿宋" w:cs="仿宋"/>
          <w:color w:val="auto"/>
          <w:sz w:val="21"/>
          <w:szCs w:val="21"/>
          <w:highlight w:val="none"/>
        </w:rPr>
        <w:t>包括</w:t>
      </w:r>
      <w:r>
        <w:rPr>
          <w:rFonts w:hint="eastAsia" w:ascii="仿宋" w:hAnsi="仿宋" w:eastAsia="仿宋" w:cs="仿宋"/>
          <w:color w:val="auto"/>
          <w:sz w:val="21"/>
          <w:szCs w:val="21"/>
          <w:highlight w:val="none"/>
          <w:lang w:val="en-US" w:eastAsia="zh-CN"/>
        </w:rPr>
        <w:t>但不限于</w:t>
      </w:r>
      <w:r>
        <w:rPr>
          <w:rFonts w:hint="eastAsia" w:ascii="仿宋" w:hAnsi="仿宋" w:eastAsia="仿宋" w:cs="仿宋"/>
          <w:color w:val="auto"/>
          <w:sz w:val="21"/>
          <w:szCs w:val="21"/>
          <w:highlight w:val="none"/>
        </w:rPr>
        <w:t>完成</w:t>
      </w:r>
      <w:r>
        <w:rPr>
          <w:rFonts w:hint="eastAsia" w:ascii="仿宋" w:hAnsi="仿宋" w:eastAsia="仿宋" w:cs="仿宋"/>
          <w:color w:val="auto"/>
          <w:sz w:val="21"/>
          <w:szCs w:val="21"/>
          <w:highlight w:val="none"/>
        </w:rPr>
        <w:t>日常的维护保障、安全保障、系统更新改造、新需求定制开发等。</w:t>
      </w:r>
    </w:p>
    <w:p w14:paraId="1EF983DC">
      <w:pPr>
        <w:pStyle w:val="20"/>
        <w:numPr>
          <w:ilvl w:val="0"/>
          <w:numId w:val="19"/>
        </w:numPr>
        <w:spacing w:line="360" w:lineRule="auto"/>
        <w:ind w:firstLine="422"/>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项目预算（最高限价）：</w:t>
      </w:r>
      <w:r>
        <w:rPr>
          <w:rFonts w:hint="eastAsia" w:ascii="仿宋" w:hAnsi="仿宋" w:eastAsia="仿宋" w:cs="仿宋"/>
          <w:bCs/>
          <w:color w:val="auto"/>
          <w:sz w:val="21"/>
          <w:szCs w:val="21"/>
          <w:highlight w:val="none"/>
        </w:rPr>
        <w:t>人民币</w:t>
      </w:r>
      <w:r>
        <w:rPr>
          <w:rFonts w:hint="eastAsia" w:ascii="仿宋" w:hAnsi="仿宋" w:eastAsia="仿宋" w:cs="仿宋"/>
          <w:bCs/>
          <w:color w:val="auto"/>
          <w:sz w:val="21"/>
          <w:szCs w:val="21"/>
          <w:highlight w:val="none"/>
          <w:u w:val="single"/>
        </w:rPr>
        <w:t xml:space="preserve"> 190 </w:t>
      </w:r>
      <w:r>
        <w:rPr>
          <w:rFonts w:hint="eastAsia" w:ascii="仿宋" w:hAnsi="仿宋" w:eastAsia="仿宋" w:cs="仿宋"/>
          <w:bCs/>
          <w:color w:val="auto"/>
          <w:sz w:val="21"/>
          <w:szCs w:val="21"/>
          <w:highlight w:val="none"/>
        </w:rPr>
        <w:t>万元</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rPr>
        <w:t>根据实际应用需求，结合信息系统运行管理的特点，</w:t>
      </w:r>
      <w:r>
        <w:rPr>
          <w:rFonts w:hint="default" w:ascii="仿宋" w:hAnsi="仿宋" w:eastAsia="仿宋" w:cs="仿宋"/>
          <w:color w:val="auto"/>
          <w:sz w:val="21"/>
          <w:szCs w:val="21"/>
          <w:highlight w:val="none"/>
          <w:lang w:val="en-US"/>
        </w:rPr>
        <w:t>完成</w:t>
      </w:r>
      <w:r>
        <w:rPr>
          <w:rFonts w:hint="eastAsia" w:ascii="仿宋" w:hAnsi="仿宋" w:eastAsia="仿宋" w:cs="仿宋"/>
          <w:color w:val="auto"/>
          <w:sz w:val="21"/>
          <w:szCs w:val="21"/>
          <w:highlight w:val="none"/>
        </w:rPr>
        <w:t>2025年软件开发</w:t>
      </w:r>
      <w:r>
        <w:rPr>
          <w:rFonts w:hint="default" w:ascii="仿宋" w:hAnsi="仿宋" w:eastAsia="仿宋" w:cs="仿宋"/>
          <w:color w:val="auto"/>
          <w:sz w:val="21"/>
          <w:szCs w:val="21"/>
          <w:highlight w:val="none"/>
          <w:lang w:val="en-US"/>
        </w:rPr>
        <w:t>、</w:t>
      </w:r>
      <w:r>
        <w:rPr>
          <w:rFonts w:hint="eastAsia" w:ascii="仿宋" w:hAnsi="仿宋" w:eastAsia="仿宋" w:cs="仿宋"/>
          <w:color w:val="auto"/>
          <w:sz w:val="21"/>
          <w:szCs w:val="21"/>
          <w:highlight w:val="none"/>
        </w:rPr>
        <w:t>运维</w:t>
      </w:r>
      <w:r>
        <w:rPr>
          <w:rFonts w:hint="default" w:ascii="仿宋" w:hAnsi="仿宋" w:eastAsia="仿宋" w:cs="仿宋"/>
          <w:color w:val="auto"/>
          <w:sz w:val="21"/>
          <w:szCs w:val="21"/>
          <w:highlight w:val="none"/>
          <w:lang w:val="en-US"/>
        </w:rPr>
        <w:t>等</w:t>
      </w:r>
      <w:r>
        <w:rPr>
          <w:rFonts w:hint="eastAsia" w:ascii="仿宋" w:hAnsi="仿宋" w:eastAsia="仿宋" w:cs="仿宋"/>
          <w:color w:val="auto"/>
          <w:sz w:val="21"/>
          <w:szCs w:val="21"/>
          <w:highlight w:val="none"/>
        </w:rPr>
        <w:t>服务。</w:t>
      </w:r>
      <w:r>
        <w:rPr>
          <w:rFonts w:hint="eastAsia" w:ascii="仿宋" w:hAnsi="仿宋" w:eastAsia="仿宋" w:cs="仿宋"/>
          <w:bCs/>
          <w:color w:val="auto"/>
          <w:sz w:val="21"/>
          <w:szCs w:val="21"/>
          <w:highlight w:val="none"/>
        </w:rPr>
        <w:t>合同</w:t>
      </w:r>
      <w:r>
        <w:rPr>
          <w:rFonts w:hint="eastAsia" w:ascii="仿宋" w:hAnsi="仿宋" w:eastAsia="仿宋" w:cs="仿宋"/>
          <w:color w:val="auto"/>
          <w:sz w:val="21"/>
          <w:szCs w:val="21"/>
          <w:highlight w:val="none"/>
        </w:rPr>
        <w:t>期限内，软件开发</w:t>
      </w:r>
      <w:r>
        <w:rPr>
          <w:rFonts w:hint="default" w:ascii="仿宋" w:hAnsi="仿宋" w:eastAsia="仿宋" w:cs="仿宋"/>
          <w:color w:val="auto"/>
          <w:sz w:val="21"/>
          <w:szCs w:val="21"/>
          <w:highlight w:val="none"/>
          <w:lang w:val="en-US"/>
        </w:rPr>
        <w:t>相关</w:t>
      </w:r>
      <w:r>
        <w:rPr>
          <w:rFonts w:hint="eastAsia" w:ascii="仿宋" w:hAnsi="仿宋" w:eastAsia="仿宋" w:cs="仿宋"/>
          <w:color w:val="auto"/>
          <w:sz w:val="21"/>
          <w:szCs w:val="21"/>
          <w:highlight w:val="none"/>
        </w:rPr>
        <w:t>增值服务超过600人日部分</w:t>
      </w:r>
      <w:r>
        <w:rPr>
          <w:rFonts w:hint="default" w:ascii="仿宋" w:hAnsi="仿宋" w:eastAsia="仿宋" w:cs="仿宋"/>
          <w:color w:val="auto"/>
          <w:sz w:val="21"/>
          <w:szCs w:val="21"/>
          <w:highlight w:val="none"/>
          <w:lang w:val="en-US"/>
        </w:rPr>
        <w:t>时</w:t>
      </w:r>
      <w:r>
        <w:rPr>
          <w:rFonts w:hint="eastAsia" w:ascii="仿宋" w:hAnsi="仿宋" w:eastAsia="仿宋" w:cs="仿宋"/>
          <w:color w:val="auto"/>
          <w:sz w:val="21"/>
          <w:szCs w:val="21"/>
          <w:highlight w:val="none"/>
        </w:rPr>
        <w:t>，乙方</w:t>
      </w:r>
      <w:r>
        <w:rPr>
          <w:rFonts w:hint="default" w:ascii="仿宋" w:hAnsi="仿宋" w:eastAsia="仿宋" w:cs="仿宋"/>
          <w:color w:val="auto"/>
          <w:sz w:val="21"/>
          <w:szCs w:val="21"/>
          <w:highlight w:val="none"/>
          <w:lang w:val="en-US"/>
        </w:rPr>
        <w:t>须</w:t>
      </w:r>
      <w:r>
        <w:rPr>
          <w:rFonts w:hint="eastAsia" w:ascii="仿宋" w:hAnsi="仿宋" w:eastAsia="仿宋" w:cs="仿宋"/>
          <w:color w:val="auto"/>
          <w:sz w:val="21"/>
          <w:szCs w:val="21"/>
          <w:highlight w:val="none"/>
        </w:rPr>
        <w:t>按照不高于2000元/人日的价格</w:t>
      </w:r>
      <w:r>
        <w:rPr>
          <w:rFonts w:hint="default" w:ascii="仿宋" w:hAnsi="仿宋" w:eastAsia="仿宋" w:cs="仿宋"/>
          <w:color w:val="auto"/>
          <w:sz w:val="21"/>
          <w:szCs w:val="21"/>
          <w:highlight w:val="none"/>
          <w:lang w:val="en-US"/>
        </w:rPr>
        <w:t>进行单独报价</w:t>
      </w:r>
      <w:r>
        <w:rPr>
          <w:rFonts w:hint="eastAsia" w:ascii="仿宋" w:hAnsi="仿宋" w:eastAsia="仿宋" w:cs="仿宋"/>
          <w:color w:val="auto"/>
          <w:sz w:val="21"/>
          <w:szCs w:val="21"/>
          <w:highlight w:val="none"/>
        </w:rPr>
        <w:t>，超过部分的费用</w:t>
      </w:r>
      <w:r>
        <w:rPr>
          <w:rFonts w:hint="default" w:ascii="仿宋" w:hAnsi="仿宋" w:eastAsia="仿宋" w:cs="仿宋"/>
          <w:color w:val="auto"/>
          <w:sz w:val="21"/>
          <w:szCs w:val="21"/>
          <w:highlight w:val="none"/>
          <w:lang w:val="en-US"/>
        </w:rPr>
        <w:t>单独结算，</w:t>
      </w:r>
      <w:r>
        <w:rPr>
          <w:rFonts w:hint="eastAsia" w:ascii="仿宋" w:hAnsi="仿宋" w:eastAsia="仿宋" w:cs="仿宋"/>
          <w:color w:val="auto"/>
          <w:sz w:val="21"/>
          <w:szCs w:val="21"/>
          <w:highlight w:val="none"/>
        </w:rPr>
        <w:t>不在本</w:t>
      </w:r>
      <w:r>
        <w:rPr>
          <w:rFonts w:hint="default" w:ascii="仿宋" w:hAnsi="仿宋" w:eastAsia="仿宋" w:cs="仿宋"/>
          <w:color w:val="auto"/>
          <w:sz w:val="21"/>
          <w:szCs w:val="21"/>
          <w:highlight w:val="none"/>
          <w:lang w:val="en-US"/>
        </w:rPr>
        <w:t>次</w:t>
      </w:r>
      <w:r>
        <w:rPr>
          <w:rFonts w:hint="eastAsia" w:ascii="仿宋" w:hAnsi="仿宋" w:eastAsia="仿宋" w:cs="仿宋"/>
          <w:color w:val="auto"/>
          <w:sz w:val="21"/>
          <w:szCs w:val="21"/>
          <w:highlight w:val="none"/>
          <w:lang w:val="en-US" w:eastAsia="zh-CN"/>
        </w:rPr>
        <w:t>采购</w:t>
      </w:r>
      <w:r>
        <w:rPr>
          <w:rFonts w:hint="eastAsia" w:ascii="仿宋" w:hAnsi="仿宋" w:eastAsia="仿宋" w:cs="仿宋"/>
          <w:color w:val="auto"/>
          <w:sz w:val="21"/>
          <w:szCs w:val="21"/>
          <w:highlight w:val="none"/>
        </w:rPr>
        <w:t>预算内。</w:t>
      </w:r>
    </w:p>
    <w:p w14:paraId="2669AD75">
      <w:pPr>
        <w:pStyle w:val="20"/>
        <w:numPr>
          <w:ilvl w:val="0"/>
          <w:numId w:val="19"/>
        </w:numPr>
        <w:spacing w:line="360" w:lineRule="auto"/>
        <w:ind w:firstLine="422"/>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服务期限：自合同签订之日起12个月</w:t>
      </w:r>
    </w:p>
    <w:p w14:paraId="0F5D3399">
      <w:pPr>
        <w:pStyle w:val="20"/>
        <w:numPr>
          <w:ilvl w:val="0"/>
          <w:numId w:val="19"/>
        </w:numPr>
        <w:spacing w:line="360" w:lineRule="auto"/>
        <w:ind w:firstLine="422"/>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项目地点：</w:t>
      </w:r>
      <w:r>
        <w:rPr>
          <w:rFonts w:hint="eastAsia" w:ascii="仿宋" w:hAnsi="仿宋" w:eastAsia="仿宋" w:cs="仿宋"/>
          <w:color w:val="auto"/>
          <w:sz w:val="21"/>
          <w:szCs w:val="21"/>
          <w:highlight w:val="none"/>
        </w:rPr>
        <w:t>招标人指定地点</w:t>
      </w:r>
    </w:p>
    <w:p w14:paraId="47FD7D79">
      <w:pPr>
        <w:pStyle w:val="20"/>
        <w:numPr>
          <w:ilvl w:val="0"/>
          <w:numId w:val="19"/>
        </w:numPr>
        <w:spacing w:line="360" w:lineRule="auto"/>
        <w:ind w:firstLine="422"/>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付款条件：</w:t>
      </w:r>
      <w:r>
        <w:rPr>
          <w:rFonts w:hint="eastAsia" w:ascii="仿宋" w:hAnsi="仿宋" w:eastAsia="仿宋" w:cs="仿宋"/>
          <w:color w:val="auto"/>
          <w:sz w:val="21"/>
          <w:szCs w:val="21"/>
          <w:highlight w:val="none"/>
        </w:rPr>
        <w:t>双方签署合同后20个工作日内，甲方向应答方支付总款30%的软件开发服务费；合同签订6个月后，甲方向应答方支付总款30%的软件开发服务费；合同截止当月，甲方向应答方支付总款40%的软件开发服务费。具体支付金额以实际签订的合同为准。</w:t>
      </w:r>
    </w:p>
    <w:p w14:paraId="6215FE0B">
      <w:pPr>
        <w:pStyle w:val="4"/>
        <w:numPr>
          <w:ilvl w:val="0"/>
          <w:numId w:val="18"/>
        </w:numPr>
        <w:spacing w:line="360" w:lineRule="auto"/>
        <w:ind w:left="0"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项目内容</w:t>
      </w:r>
    </w:p>
    <w:p w14:paraId="2221B36F">
      <w:pPr>
        <w:pStyle w:val="5"/>
        <w:numPr>
          <w:ilvl w:val="0"/>
          <w:numId w:val="20"/>
        </w:numPr>
        <w:spacing w:line="360" w:lineRule="auto"/>
        <w:ind w:firstLine="482"/>
        <w:rPr>
          <w:rFonts w:hint="eastAsia" w:ascii="仿宋" w:hAnsi="仿宋" w:eastAsia="仿宋" w:cs="仿宋"/>
          <w:color w:val="auto"/>
          <w:sz w:val="21"/>
          <w:szCs w:val="21"/>
          <w:highlight w:val="none"/>
        </w:rPr>
      </w:pPr>
      <w:r>
        <w:rPr>
          <w:rFonts w:hint="eastAsia" w:ascii="仿宋" w:hAnsi="仿宋" w:cs="仿宋"/>
          <w:color w:val="auto"/>
          <w:sz w:val="21"/>
          <w:szCs w:val="21"/>
          <w:highlight w:val="none"/>
        </w:rPr>
        <w:t xml:space="preserve"> </w:t>
      </w:r>
      <w:r>
        <w:rPr>
          <w:rFonts w:hint="eastAsia" w:ascii="仿宋" w:hAnsi="仿宋" w:eastAsia="仿宋" w:cs="仿宋"/>
          <w:color w:val="auto"/>
          <w:sz w:val="21"/>
          <w:szCs w:val="21"/>
          <w:highlight w:val="none"/>
        </w:rPr>
        <w:t>总体说明</w:t>
      </w:r>
    </w:p>
    <w:p w14:paraId="3C3B7795">
      <w:pPr>
        <w:spacing w:line="360" w:lineRule="auto"/>
        <w:ind w:firstLine="420" w:firstLineChars="200"/>
        <w:rPr>
          <w:rFonts w:hint="eastAsia" w:ascii="仿宋" w:hAnsi="仿宋" w:eastAsia="仿宋" w:cs="仿宋"/>
          <w:color w:val="auto"/>
          <w:szCs w:val="21"/>
          <w:highlight w:val="none"/>
        </w:rPr>
      </w:pPr>
    </w:p>
    <w:p w14:paraId="05E9BF4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为了保证企业信息化系统快速响应业务部门修改完善要求，实现安全稳定长期运行，同时建立一种集中的、可控制、可持续、低成本的管理模式，采取软件开发运维服务统一管理和软件定制开发工时资源集中管控的方式，委托社会专业公司承担招标方企业信息系统2025年运行维护和软件定制开发任务。</w:t>
      </w:r>
    </w:p>
    <w:p w14:paraId="650DD9DD">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应答方需具备系统运维、安全风险防护以及配合等级保护测评、风险评估、密码应用安全性评估的相关能力资格。</w:t>
      </w:r>
    </w:p>
    <w:p w14:paraId="1E2564E6">
      <w:pPr>
        <w:pStyle w:val="5"/>
        <w:numPr>
          <w:ilvl w:val="0"/>
          <w:numId w:val="20"/>
        </w:numPr>
        <w:spacing w:line="360" w:lineRule="auto"/>
        <w:ind w:firstLine="48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主要工作内容</w:t>
      </w:r>
    </w:p>
    <w:p w14:paraId="7C2F3DE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该项目以提供“软件开发服务”和“软件运维服务”的方式对招标方软件定制开发需求和运维服务需求进行描述。要求中标人针对甲方需求提供可量化、可管控、可评价的服务。该项目采用信息化运维绩效管理机制，由招标方负责对服务进行质量跟踪，根据服务质量进行考核。主要工作内容分为系统保障性维护服务内容、</w:t>
      </w:r>
      <w:bookmarkStart w:id="220" w:name="_Toc181635407"/>
      <w:r>
        <w:rPr>
          <w:rFonts w:hint="eastAsia" w:ascii="仿宋" w:hAnsi="仿宋" w:eastAsia="仿宋" w:cs="仿宋"/>
          <w:color w:val="auto"/>
          <w:szCs w:val="21"/>
          <w:highlight w:val="none"/>
        </w:rPr>
        <w:t>系统安全性维护服务内容</w:t>
      </w:r>
      <w:bookmarkEnd w:id="220"/>
      <w:r>
        <w:rPr>
          <w:rFonts w:hint="eastAsia" w:ascii="仿宋" w:hAnsi="仿宋" w:eastAsia="仿宋" w:cs="仿宋"/>
          <w:color w:val="auto"/>
          <w:szCs w:val="21"/>
          <w:highlight w:val="none"/>
        </w:rPr>
        <w:t>、</w:t>
      </w:r>
      <w:bookmarkStart w:id="221" w:name="_Toc181635408"/>
      <w:r>
        <w:rPr>
          <w:rFonts w:hint="eastAsia" w:ascii="仿宋" w:hAnsi="仿宋" w:eastAsia="仿宋" w:cs="仿宋"/>
          <w:color w:val="auto"/>
          <w:szCs w:val="21"/>
          <w:highlight w:val="none"/>
        </w:rPr>
        <w:t>系统新增业务功能开发服务内容</w:t>
      </w:r>
      <w:bookmarkEnd w:id="221"/>
      <w:r>
        <w:rPr>
          <w:rFonts w:hint="eastAsia" w:ascii="仿宋" w:hAnsi="仿宋" w:eastAsia="仿宋" w:cs="仿宋"/>
          <w:color w:val="auto"/>
          <w:szCs w:val="21"/>
          <w:highlight w:val="none"/>
        </w:rPr>
        <w:t>三部分：</w:t>
      </w:r>
    </w:p>
    <w:p w14:paraId="3D357085">
      <w:pPr>
        <w:spacing w:line="360" w:lineRule="auto"/>
        <w:ind w:firstLine="0" w:firstLineChars="0"/>
        <w:outlineLvl w:val="3"/>
        <w:rPr>
          <w:rFonts w:hint="eastAsia" w:ascii="仿宋" w:hAnsi="仿宋" w:eastAsia="仿宋" w:cs="仿宋"/>
          <w:b/>
          <w:bCs/>
          <w:color w:val="auto"/>
          <w:szCs w:val="21"/>
          <w:highlight w:val="none"/>
        </w:rPr>
      </w:pPr>
      <w:bookmarkStart w:id="222" w:name="_Toc181635406"/>
      <w:r>
        <w:rPr>
          <w:rFonts w:hint="eastAsia" w:ascii="仿宋" w:hAnsi="仿宋" w:eastAsia="仿宋" w:cs="仿宋"/>
          <w:b/>
          <w:bCs/>
          <w:color w:val="auto"/>
          <w:szCs w:val="21"/>
          <w:highlight w:val="none"/>
          <w:lang w:val="en-US" w:eastAsia="zh-CN"/>
        </w:rPr>
        <w:t xml:space="preserve">2.1 </w:t>
      </w:r>
      <w:r>
        <w:rPr>
          <w:rFonts w:hint="eastAsia" w:ascii="仿宋" w:hAnsi="仿宋" w:eastAsia="仿宋" w:cs="仿宋"/>
          <w:b/>
          <w:bCs/>
          <w:color w:val="auto"/>
          <w:szCs w:val="21"/>
          <w:highlight w:val="none"/>
        </w:rPr>
        <w:t>保障性维护服务内容</w:t>
      </w:r>
      <w:bookmarkEnd w:id="222"/>
    </w:p>
    <w:p w14:paraId="2DB06F64">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中标人应负责招标方所有具有软件著作权的系统的运行维护和升级工作。包括但不限于受理分析系统宕机、变慢、系统灾难恢复问题。</w:t>
      </w:r>
    </w:p>
    <w:p w14:paraId="1080505E">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中标人应根据招标方的需求，及时进行系统的运维工作，包括故障排查、性能优化和安全防护等。</w:t>
      </w:r>
    </w:p>
    <w:p w14:paraId="6433AAA6">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招标人应及时跟进软件著作权系统的升级和更新，确保系统的稳定运行和功能完善性。</w:t>
      </w:r>
    </w:p>
    <w:p w14:paraId="71972E27">
      <w:pPr>
        <w:pStyle w:val="21"/>
        <w:numPr>
          <w:ilvl w:val="0"/>
          <w:numId w:val="21"/>
        </w:numPr>
        <w:spacing w:line="360" w:lineRule="auto"/>
        <w:ind w:left="425" w:hanging="425" w:firstLineChars="0"/>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提供系统的BUG问题处理。</w:t>
      </w:r>
    </w:p>
    <w:p w14:paraId="5D476559">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通过电话、传真或信函解答甲方提出的技术问题。</w:t>
      </w:r>
    </w:p>
    <w:p w14:paraId="391A0CB7">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针对招标人应用环境要求，招标方提供必要的系统软件升级，修补程序安装、测试以及配套资料文档的更新。</w:t>
      </w:r>
    </w:p>
    <w:p w14:paraId="01CFE029">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根据招标人实际系统使用情况，维护人员帮助提供日常维护手册以及提供日常维护知识库。</w:t>
      </w:r>
    </w:p>
    <w:p w14:paraId="2921DF26">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与产品集成的第三方产品以及系统所用平台服务过期后，可代理购买第三方厂家相关售后服务。</w:t>
      </w:r>
    </w:p>
    <w:p w14:paraId="08D4DF70">
      <w:pPr>
        <w:spacing w:line="360" w:lineRule="auto"/>
        <w:ind w:firstLine="0" w:firstLineChars="0"/>
        <w:outlineLvl w:val="3"/>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 xml:space="preserve">2.2 </w:t>
      </w:r>
      <w:r>
        <w:rPr>
          <w:rFonts w:hint="eastAsia" w:ascii="仿宋" w:hAnsi="仿宋" w:eastAsia="仿宋" w:cs="仿宋"/>
          <w:b/>
          <w:bCs/>
          <w:color w:val="auto"/>
          <w:szCs w:val="21"/>
          <w:highlight w:val="none"/>
        </w:rPr>
        <w:t>安全性维护服务内容</w:t>
      </w:r>
    </w:p>
    <w:p w14:paraId="64803541">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采取必要的安全措施进行数据保护。</w:t>
      </w:r>
    </w:p>
    <w:p w14:paraId="11C2E1BA">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定期进行数据备份，并提供数据恢复的能力和方案。</w:t>
      </w:r>
    </w:p>
    <w:p w14:paraId="16DCF830">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重要网络设备、关键安全设备、核心业务服务器等日志记录不少于6个月。</w:t>
      </w:r>
    </w:p>
    <w:p w14:paraId="3F858F7A">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配合定期进行网络安全漏洞扫描和风险评估，并提供相应的修复方案并实施。</w:t>
      </w:r>
    </w:p>
    <w:p w14:paraId="61D09EC6">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提供网络入侵检测和防御系统，及时发现并应对网络攻击行为。</w:t>
      </w:r>
    </w:p>
    <w:p w14:paraId="35E03248">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定期进行安全意识培训，提高员工的网络安全意识和应急响应能力。</w:t>
      </w:r>
    </w:p>
    <w:p w14:paraId="081C2447">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遵守相关的网络安全法规和标准，确保公司系统数据的安全性和隐私保护。</w:t>
      </w:r>
    </w:p>
    <w:p w14:paraId="4B534A2D">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建立完善的安全事件响应机制，能够迅速处理各类安全事件，并进行事后分析和改进。</w:t>
      </w:r>
    </w:p>
    <w:p w14:paraId="23F00859">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在重大保障任务期间，服务提供商应派遣专门的技术人员在岗值班，以确保系统的稳定运行和及时响应。</w:t>
      </w:r>
    </w:p>
    <w:p w14:paraId="4F9C641A">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在岗值班人员应具备相应的技术能力和经验，能够迅速处理各类突发情况和故障，并与我司的相关人员密切配合。</w:t>
      </w:r>
    </w:p>
    <w:p w14:paraId="48152ED2">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确保信息系统安全隐患清零，具备“一键关停”功能及方案。定期进行系统安全隐患排查。</w:t>
      </w:r>
    </w:p>
    <w:p w14:paraId="5339C403">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配合甲方明确系统安全保护等级并提供安全设计方案及运行实施方案。</w:t>
      </w:r>
    </w:p>
    <w:p w14:paraId="1F9DA43B">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配合甲方评估相关系统的软硬件采购是否符合信创产品要求，确保采用信创产品，若确需采购非信创产品，配合甲方进行充分评估论证。</w:t>
      </w:r>
    </w:p>
    <w:p w14:paraId="4AB36B85">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配合甲方进行安全检测评估工作，并完成评估后的整改工作。</w:t>
      </w:r>
    </w:p>
    <w:p w14:paraId="2CA7C975">
      <w:pPr>
        <w:spacing w:line="360" w:lineRule="auto"/>
        <w:ind w:firstLine="0" w:firstLineChars="0"/>
        <w:outlineLvl w:val="3"/>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 xml:space="preserve">2.3 </w:t>
      </w:r>
      <w:r>
        <w:rPr>
          <w:rFonts w:hint="eastAsia" w:ascii="仿宋" w:hAnsi="仿宋" w:eastAsia="仿宋" w:cs="仿宋"/>
          <w:b/>
          <w:bCs/>
          <w:color w:val="auto"/>
          <w:szCs w:val="21"/>
          <w:highlight w:val="none"/>
        </w:rPr>
        <w:t>软件定制开发服务范围和方式</w:t>
      </w:r>
    </w:p>
    <w:p w14:paraId="180BFE29">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范围：中标人根据招标方的要求，完成招标方各部门在服务范围内系统/平台上提出的定制软件的设计、开发与测试，根据招标方对定制软件的质量要求和验收标准核算软件开发工时，以人天方式计算出合理报价，按实际工作量统计汇总工时数，定时核销工时数。</w:t>
      </w:r>
    </w:p>
    <w:p w14:paraId="595164F7">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方式：中标人根据招标方的要求，做好需求调研、方案设计的确认，完成功能设计、软件编码、测试、上线部署、试运行、本地现场服务等工作。开发计划及需求评估由甲乙双方协商制定，工作量评估由甲乙双方统一认定后开始实施，实施过程中，如没有发生新增需求等原因，无论实际实施过程中产生的实际工作量大于还是小于评估的工作量都以开始实施前甲乙双方统一认定的工作量为准。</w:t>
      </w:r>
    </w:p>
    <w:p w14:paraId="06502FC8">
      <w:pPr>
        <w:spacing w:line="360" w:lineRule="auto"/>
        <w:ind w:left="0" w:firstLine="0" w:firstLineChars="0"/>
        <w:outlineLvl w:val="3"/>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 xml:space="preserve">2.4 </w:t>
      </w:r>
      <w:r>
        <w:rPr>
          <w:rFonts w:hint="eastAsia" w:ascii="仿宋" w:hAnsi="仿宋" w:eastAsia="仿宋" w:cs="仿宋"/>
          <w:b/>
          <w:bCs/>
          <w:color w:val="auto"/>
          <w:sz w:val="21"/>
          <w:szCs w:val="21"/>
          <w:highlight w:val="none"/>
        </w:rPr>
        <w:t>软件定制服务内容</w:t>
      </w:r>
    </w:p>
    <w:p w14:paraId="58DA2BDF">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新增的员工日常事务办理审核应用需求。</w:t>
      </w:r>
    </w:p>
    <w:p w14:paraId="4A719053">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新增或变更的应用界面展示优化需求。</w:t>
      </w:r>
    </w:p>
    <w:p w14:paraId="311416AA">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新增或变更的前台应用功能需求。</w:t>
      </w:r>
    </w:p>
    <w:p w14:paraId="4502C98E">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新增或变更的内外部数据接口需求。</w:t>
      </w:r>
    </w:p>
    <w:p w14:paraId="77868F18">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新增或变更的规则或参数配置需求。</w:t>
      </w:r>
    </w:p>
    <w:p w14:paraId="3CADD280">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新增或变更的后台应用服务需求。</w:t>
      </w:r>
    </w:p>
    <w:p w14:paraId="4ACB37C6">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以及其它招标人提出的定制化开发及服务需求。</w:t>
      </w:r>
    </w:p>
    <w:p w14:paraId="5572C4DF">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中标人应提供因变更操作等公司要求的现场保障服务。</w:t>
      </w:r>
    </w:p>
    <w:p w14:paraId="09D4B4A5">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中标人应根据公司需求，合理安排工作进行需求分析、编制文档、程序开发、联调测试、上线实施等工作，在规定时间内交付文档及代码等。</w:t>
      </w:r>
    </w:p>
    <w:p w14:paraId="385AF696">
      <w:pPr>
        <w:pStyle w:val="21"/>
        <w:numPr>
          <w:ilvl w:val="0"/>
          <w:numId w:val="21"/>
        </w:numPr>
        <w:spacing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上述需求分析、设计、开发、测试、培训、部署等全流程管理服务。</w:t>
      </w:r>
    </w:p>
    <w:p w14:paraId="4D582391">
      <w:pPr>
        <w:spacing w:line="360" w:lineRule="auto"/>
        <w:ind w:left="0" w:firstLine="0"/>
        <w:outlineLvl w:val="3"/>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 xml:space="preserve">2.5 </w:t>
      </w:r>
      <w:r>
        <w:rPr>
          <w:rFonts w:hint="eastAsia" w:ascii="仿宋" w:hAnsi="仿宋" w:eastAsia="仿宋" w:cs="仿宋"/>
          <w:b/>
          <w:bCs/>
          <w:color w:val="auto"/>
          <w:sz w:val="21"/>
          <w:szCs w:val="21"/>
          <w:highlight w:val="none"/>
        </w:rPr>
        <w:t>服务质量保障</w:t>
      </w:r>
    </w:p>
    <w:p w14:paraId="65546E62">
      <w:pPr>
        <w:pStyle w:val="21"/>
        <w:widowControl/>
        <w:numPr>
          <w:ilvl w:val="0"/>
          <w:numId w:val="21"/>
        </w:numPr>
        <w:snapToGrid w:val="0"/>
        <w:spacing w:before="243" w:after="100" w:afterAutospacing="1"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应答方承诺保证系统可用性不低于 99.3%，即每月系统不可用时间累计不超过 5小时。若系统可用性未达到此标准，每低 0.1%，应答方应向甲方支付合同金额 0.5% 的违约金；若系统可用性低于 95%，甲方有权解除合同，并要求应答方返还已支付款项的 50%，同时应答方需承担因此给甲方造成的全部损失。</w:t>
      </w:r>
    </w:p>
    <w:p w14:paraId="110E6DBA">
      <w:pPr>
        <w:pStyle w:val="21"/>
        <w:widowControl/>
        <w:numPr>
          <w:ilvl w:val="0"/>
          <w:numId w:val="21"/>
        </w:numPr>
        <w:snapToGrid w:val="0"/>
        <w:spacing w:before="243" w:after="100" w:afterAutospacing="1"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针对系统故障，应答方需提供 7×24 小时故障响应服务，故障响应时间不得超过 30分钟；对于一般故障，应在 4 小时内解决；对于严重故障，解决时间不得超过 8 小时。若应答方未能在规定时间内响应或解决故障，每延迟 1 小时，应向甲方支付合同金额 0.2% 的违约金；若因故障导致系统停机超过 24 小时，甲方有权扣除应答方当月服务费用的 50%，并要求应答方采取额外措施确保类似情况不再发生。</w:t>
      </w:r>
    </w:p>
    <w:p w14:paraId="4D184486">
      <w:pPr>
        <w:pStyle w:val="21"/>
        <w:widowControl/>
        <w:numPr>
          <w:ilvl w:val="0"/>
          <w:numId w:val="21"/>
        </w:numPr>
        <w:snapToGrid w:val="0"/>
        <w:spacing w:before="243" w:after="100" w:afterAutospacing="1" w:line="360" w:lineRule="auto"/>
        <w:ind w:left="425" w:hanging="425"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对于甲方提出的合理需求变更，应答方应在5个工作日内完成需求分析和评估，并提供详细的变更方案和影响评估报告。需求交付时间不得超过双方约定的合理期限，每延迟 1 个工作日，应答方应向甲方支付合同金额 0.3% 的违约金；若因需求变更处理不当导致项目进度延误超过20个工作日，甲方有权解除合同，并要求应答方赔偿因此造成的全部损失。</w:t>
      </w:r>
    </w:p>
    <w:p w14:paraId="11588741">
      <w:pPr>
        <w:pStyle w:val="21"/>
        <w:widowControl/>
        <w:numPr>
          <w:ilvl w:val="0"/>
          <w:numId w:val="21"/>
        </w:numPr>
        <w:snapToGrid w:val="0"/>
        <w:spacing w:before="243" w:after="100" w:afterAutospacing="1" w:line="360" w:lineRule="auto"/>
        <w:ind w:firstLineChars="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应答方应定期（至少每月一次）对 SLA 执行情况进行自我评估，并向甲方提交详细的评估报告。报告应包括各项服务指标的达成情况、存在的问题及改进措施等内容。甲方有权对应答方的评估结果进行审核，若发现应答方存在虚报或隐瞒情况，应答方应向甲方支付合同金额 5% 的违约金，并立即整改。</w:t>
      </w:r>
    </w:p>
    <w:p w14:paraId="38B60F06">
      <w:pPr>
        <w:pStyle w:val="5"/>
        <w:numPr>
          <w:ilvl w:val="0"/>
          <w:numId w:val="20"/>
        </w:numPr>
        <w:spacing w:line="360" w:lineRule="auto"/>
        <w:ind w:firstLine="48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服务范围</w:t>
      </w:r>
    </w:p>
    <w:p w14:paraId="6170DBEB">
      <w:pPr>
        <w:spacing w:line="360" w:lineRule="auto"/>
        <w:ind w:firstLine="420" w:firstLineChars="200"/>
        <w:rPr>
          <w:rFonts w:hint="eastAsia" w:ascii="仿宋" w:hAnsi="仿宋" w:eastAsia="仿宋" w:cs="仿宋"/>
          <w:color w:val="0000FF"/>
          <w:szCs w:val="21"/>
          <w:highlight w:val="none"/>
        </w:rPr>
      </w:pPr>
      <w:bookmarkStart w:id="223" w:name="_Toc181635400"/>
      <w:r>
        <w:rPr>
          <w:rFonts w:hint="eastAsia" w:ascii="仿宋" w:hAnsi="仿宋" w:eastAsia="仿宋" w:cs="仿宋"/>
          <w:color w:val="0000FF"/>
          <w:szCs w:val="21"/>
          <w:highlight w:val="none"/>
        </w:rPr>
        <w:t>本项目服务范围包括但不限于：智慧出行服务平台、新能源车辆智能管理系统、融合通讯平台、行李查询系统、员工综合服务平台</w:t>
      </w:r>
      <w:r>
        <w:rPr>
          <w:rFonts w:hint="eastAsia" w:ascii="仿宋" w:hAnsi="仿宋" w:eastAsia="仿宋" w:cs="仿宋"/>
          <w:color w:val="0000FF"/>
          <w:szCs w:val="21"/>
          <w:highlight w:val="none"/>
          <w:lang w:val="en-US" w:eastAsia="zh-CN"/>
        </w:rPr>
        <w:t>等</w:t>
      </w:r>
      <w:r>
        <w:rPr>
          <w:rFonts w:hint="eastAsia" w:ascii="仿宋" w:hAnsi="仿宋" w:eastAsia="仿宋" w:cs="仿宋"/>
          <w:color w:val="0000FF"/>
          <w:szCs w:val="21"/>
          <w:highlight w:val="none"/>
        </w:rPr>
        <w:t>过质保期和即将过期的信息化系统</w:t>
      </w:r>
      <w:r>
        <w:rPr>
          <w:rFonts w:hint="eastAsia" w:ascii="仿宋" w:hAnsi="仿宋" w:eastAsia="仿宋" w:cs="仿宋"/>
          <w:color w:val="0000FF"/>
          <w:szCs w:val="21"/>
          <w:highlight w:val="none"/>
          <w:lang w:eastAsia="zh-CN"/>
        </w:rPr>
        <w:t>，</w:t>
      </w:r>
      <w:r>
        <w:rPr>
          <w:rFonts w:hint="eastAsia" w:ascii="仿宋" w:hAnsi="仿宋" w:eastAsia="仿宋" w:cs="仿宋"/>
          <w:color w:val="0000FF"/>
          <w:szCs w:val="21"/>
          <w:highlight w:val="none"/>
          <w:lang w:val="en-US" w:eastAsia="zh-CN"/>
        </w:rPr>
        <w:t>以及完成招标人所需的其他系统开发及运维服务工作</w:t>
      </w:r>
      <w:r>
        <w:rPr>
          <w:rFonts w:hint="eastAsia" w:ascii="仿宋" w:hAnsi="仿宋" w:eastAsia="仿宋" w:cs="仿宋"/>
          <w:color w:val="0000FF"/>
          <w:szCs w:val="21"/>
          <w:highlight w:val="none"/>
        </w:rPr>
        <w:t>。</w:t>
      </w:r>
    </w:p>
    <w:bookmarkEnd w:id="223"/>
    <w:p w14:paraId="5C77634A">
      <w:pPr>
        <w:pStyle w:val="5"/>
        <w:numPr>
          <w:ilvl w:val="0"/>
          <w:numId w:val="20"/>
        </w:numPr>
        <w:spacing w:line="360" w:lineRule="auto"/>
        <w:ind w:firstLine="48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规定和要求</w:t>
      </w:r>
    </w:p>
    <w:p w14:paraId="3137180A">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信息化系统运维及开发工作的实质，是在甲方已经建成的信息化应用系统基础上，利用中标人专业的技术、智力、人力等资源，通过科学规范的项目管理，为甲方提供各类可量化、可管控、可评价的运维服务和软件开发服务。</w:t>
      </w:r>
    </w:p>
    <w:p w14:paraId="766219BB">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2025年甲方信息化运维工作，遵照《国家电子政务工程建设项目管理暂行办法》等相关要求进行。投标人应遵照以上规定和要求进行投标文件的编制工作，同时注重以下几个关键问题。</w:t>
      </w:r>
    </w:p>
    <w:p w14:paraId="0AF25D6E">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标书编制。投标单位在编制标书中，应该侧重对具体指标的描述。一是按照招标文件要求，以向甲方提供“软件开发服务”和“软件运维服务”的服务方式，按照各服务系统编制运维和开发工作目标；二是编制参与人员详细工作内容和工作职责；三是编制技术保障措施和管理工作方法。</w:t>
      </w:r>
    </w:p>
    <w:p w14:paraId="30EBCE1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3.2过程管理。要求中标人委派一名专职项目经理，负责本项目的运维和开发的管理工作，并依据甲方信息化系统的管理体系的制度、规范和流程，开展工作。</w:t>
      </w:r>
    </w:p>
    <w:p w14:paraId="5076C1A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人员管理。中标人应通过相应的管理机制及办法，选拔骨干、培养骨干，强化和提升骨干人员技术能力和管理能力，确保骨干人员的稳定性及其能力与本项目服务要求的符合性。中标人应基于岗位职责明确骨干人员能力要求及其工作职责（包括但不限于组织管理范围内工作的开展、知识的归纳总结等）。以上要求将具体实施条款落实到投标文件中。</w:t>
      </w:r>
    </w:p>
    <w:p w14:paraId="019A6538">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团队管理。中标人必须保证参与本项目队伍的人员稳定性，未经甲方批准，不得单方面更换专职项目经理和骨干工程师。如果确实需要，更换专职项目经理和骨干工程师需提前6个月向甲方提出书面申请，更换一般工程师需要提前3个月向甲方提出书面申请，经甲方审核通过，且交接期满后方可更换。</w:t>
      </w:r>
    </w:p>
    <w:p w14:paraId="2D0C2185">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岗位管理。运维及软件开发人员作为运维及开发工作的关键因素，中标人应基于服务对象、服务内容及服务需求进行岗位划分、明确岗位要求及职责、确认相关岗位人员。经甲方审核通过后执行，并由甲方对中标人运维服务及软件开发人员能力进行考核。</w:t>
      </w:r>
    </w:p>
    <w:p w14:paraId="3B9204C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3.6绩效管理。运维服务及软件开发服务的绩效管理与考核是评价中标人服务质量的重要措施和手段，中标人应基于本项目合同要求、运维服务级别协议（SLA）、</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"http://www.baidu.com/link?url=vZL9UXMrTGdLZjS6K7H088y70efdUKG6bFDAbX367TLq40n9bhlJDqGm8Hs3GuApWBCGgvkinKKM0Lavr_supPFdh4XA7B1X-1fga7y8aUiMa8bRErUFnjpErKflvnbRtzzj9RppltuIUt7S0R4lICWECuB8rjiDjL2hUWa-HgfCtSf3aZSj2uLYhsHq_tTfd2SzABfggOSApVk35_P2RvSRjbMQc4XZp-vnI2dAWb7" \t "_blank"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开发能力成熟度模型集成</w:t>
      </w:r>
      <w:r>
        <w:rPr>
          <w:rFonts w:hint="eastAsia" w:ascii="仿宋" w:hAnsi="仿宋" w:eastAsia="仿宋" w:cs="仿宋"/>
          <w:color w:val="auto"/>
          <w:highlight w:val="none"/>
        </w:rPr>
        <w:fldChar w:fldCharType="end"/>
      </w:r>
      <w:r>
        <w:rPr>
          <w:rFonts w:hint="eastAsia" w:ascii="仿宋" w:hAnsi="仿宋" w:eastAsia="仿宋" w:cs="仿宋"/>
          <w:color w:val="auto"/>
          <w:szCs w:val="21"/>
          <w:highlight w:val="none"/>
        </w:rPr>
        <w:t>（CMMI），向甲方提供优质的信息化运维及软件开发服务，甲方对中标人的服务内容及效果开展质量监督和考核。</w:t>
      </w:r>
    </w:p>
    <w:p w14:paraId="54792DE2">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服务对象管理。中标人应承担服务范围内运维及软件开发管理与维护职责。中标人应严格按照本项目服务对象管理规范开展工作，对服务对象的遗失、损坏承担赔偿责任；对所维护的硬件、软件制定详细的日常巡检及定期巡检计划，对其运行状态书面记录，对硬件设备变更要及时进行跟踪并做好变更记录，包括线路图、系统图、设备清单等。</w:t>
      </w:r>
    </w:p>
    <w:p w14:paraId="570CDC19">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3.8文档管理。中标人应按照甲方文档管理制度；制定相关运维服务和软件开发文档模板，包括服务报告（如月报、年度总结等）、相关申请审批表单（如人员入职申请、人员离岗申请、人员变更申请、运维变更申请、故障报告、任务延期申请）等；对运维服务和软件开发的文档开展审核工作，包括运维服务方案、运维工作计划、日常巡检、故障报告、服务报告（周报、月报、年度总结）等；组织开展本项目验收文档的整理与移交归档工作。</w:t>
      </w:r>
    </w:p>
    <w:p w14:paraId="27B78476">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3.9安全管理。中标人服从甲方对网络与信息安全的各项管理规定和要求。对因工作疏失出现的网络与信息安全责任事故，必须承担相应责任，接受惩处。</w:t>
      </w:r>
    </w:p>
    <w:p w14:paraId="1D36BEB1">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3.10培训管理。中标人应结合所承担系统的运维和开发内容，制定并落实培训计划，促进服务能力的快速复制与提升，进一步提升服务效果，培训内容包括但不限于技术培训、业务培训、管理培训等。</w:t>
      </w:r>
    </w:p>
    <w:p w14:paraId="1D0FD5F4">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3.11项目交接要求。中标人应在合同签订后30个自然日内，与原系统开发商完成工作交接并正常开展所交接服务对象的运维服务和软件定制开发服务。</w:t>
      </w:r>
    </w:p>
    <w:p w14:paraId="74D11367">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业务系统及数据对接、迁移要求。中标人应配合甲方在服务对象以外的其他信息化系统建设过程中，可能产生的包括但不限于网络环境、计算环境、运行终端、场所配套等运行环境配套改造、应用系统工作、数据对接迁移协同等工作。由此产生的工作量评估确认由甲乙双方协商确定，并转换成本项目采购的软件开发服务的工时数。</w:t>
      </w:r>
    </w:p>
    <w:p w14:paraId="49AF99C8">
      <w:pPr>
        <w:pStyle w:val="4"/>
        <w:numPr>
          <w:ilvl w:val="0"/>
          <w:numId w:val="18"/>
        </w:numPr>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项目管理方案</w:t>
      </w:r>
    </w:p>
    <w:p w14:paraId="465B4A56">
      <w:pPr>
        <w:spacing w:line="360" w:lineRule="auto"/>
        <w:ind w:firstLine="472" w:firstLineChars="225"/>
        <w:rPr>
          <w:rFonts w:hint="eastAsia" w:ascii="仿宋" w:hAnsi="仿宋" w:eastAsia="仿宋" w:cs="仿宋"/>
          <w:color w:val="auto"/>
          <w:szCs w:val="21"/>
          <w:highlight w:val="none"/>
        </w:rPr>
      </w:pPr>
      <w:r>
        <w:rPr>
          <w:rFonts w:hint="eastAsia" w:ascii="仿宋" w:hAnsi="仿宋" w:eastAsia="仿宋" w:cs="仿宋"/>
          <w:color w:val="auto"/>
          <w:szCs w:val="21"/>
          <w:highlight w:val="none"/>
        </w:rPr>
        <w:t>【概况】</w:t>
      </w:r>
    </w:p>
    <w:p w14:paraId="19836B12">
      <w:pPr>
        <w:spacing w:line="360" w:lineRule="auto"/>
        <w:ind w:firstLine="472" w:firstLineChars="225"/>
        <w:rPr>
          <w:rFonts w:hint="eastAsia" w:ascii="仿宋" w:hAnsi="仿宋" w:eastAsia="仿宋" w:cs="仿宋"/>
          <w:color w:val="auto"/>
          <w:szCs w:val="21"/>
          <w:highlight w:val="none"/>
        </w:rPr>
      </w:pPr>
      <w:r>
        <w:rPr>
          <w:rFonts w:hint="eastAsia" w:ascii="仿宋" w:hAnsi="仿宋" w:eastAsia="仿宋" w:cs="仿宋"/>
          <w:color w:val="auto"/>
          <w:szCs w:val="21"/>
          <w:highlight w:val="none"/>
        </w:rPr>
        <w:t>针对行业业务特点配合甲方进行管理，制定相关工作流程及规范；对本项目中的各个岗位工作进行监督、指导等。</w:t>
      </w:r>
    </w:p>
    <w:p w14:paraId="2CDD1C62">
      <w:pPr>
        <w:spacing w:line="360" w:lineRule="auto"/>
        <w:ind w:firstLine="472" w:firstLineChars="225"/>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p w14:paraId="415902A1">
      <w:pPr>
        <w:spacing w:line="360" w:lineRule="auto"/>
        <w:ind w:firstLine="472" w:firstLineChars="225"/>
        <w:rPr>
          <w:rFonts w:hint="eastAsia" w:ascii="仿宋" w:hAnsi="仿宋" w:eastAsia="仿宋" w:cs="仿宋"/>
          <w:color w:val="auto"/>
          <w:szCs w:val="21"/>
          <w:highlight w:val="none"/>
        </w:rPr>
      </w:pPr>
      <w:r>
        <w:rPr>
          <w:rFonts w:hint="eastAsia" w:ascii="仿宋" w:hAnsi="仿宋" w:eastAsia="仿宋" w:cs="仿宋"/>
          <w:color w:val="auto"/>
          <w:szCs w:val="21"/>
          <w:highlight w:val="none"/>
        </w:rPr>
        <w:t>按照甲方技术主管部门的要求，需要安排经甲方确认合格的专职项目经理。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411"/>
        <w:gridCol w:w="5634"/>
      </w:tblGrid>
      <w:tr w14:paraId="134F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blHeader/>
          <w:jc w:val="center"/>
        </w:trPr>
        <w:tc>
          <w:tcPr>
            <w:tcW w:w="1474" w:type="dxa"/>
            <w:vAlign w:val="center"/>
          </w:tcPr>
          <w:p w14:paraId="79C46D03">
            <w:pP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岗位名称</w:t>
            </w:r>
          </w:p>
        </w:tc>
        <w:tc>
          <w:tcPr>
            <w:tcW w:w="1411" w:type="dxa"/>
            <w:vAlign w:val="center"/>
          </w:tcPr>
          <w:p w14:paraId="0548B470">
            <w:pP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岗位职责</w:t>
            </w:r>
          </w:p>
        </w:tc>
        <w:tc>
          <w:tcPr>
            <w:tcW w:w="5634" w:type="dxa"/>
            <w:vAlign w:val="center"/>
          </w:tcPr>
          <w:p w14:paraId="658BB92D">
            <w:pP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详细内容</w:t>
            </w:r>
          </w:p>
        </w:tc>
      </w:tr>
      <w:tr w14:paraId="03930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1474" w:type="dxa"/>
            <w:vMerge w:val="restart"/>
            <w:vAlign w:val="center"/>
          </w:tcPr>
          <w:p w14:paraId="3D7840C5">
            <w:pPr>
              <w:widowControl/>
              <w:jc w:val="center"/>
              <w:rPr>
                <w:rFonts w:hint="eastAsia" w:ascii="仿宋" w:hAnsi="仿宋" w:eastAsia="仿宋" w:cs="仿宋"/>
                <w:bCs/>
                <w:color w:val="auto"/>
                <w:kern w:val="0"/>
                <w:sz w:val="18"/>
                <w:szCs w:val="18"/>
                <w:highlight w:val="none"/>
              </w:rPr>
            </w:pPr>
            <w:r>
              <w:rPr>
                <w:rFonts w:hint="eastAsia" w:ascii="仿宋" w:hAnsi="仿宋" w:eastAsia="仿宋" w:cs="仿宋"/>
                <w:bCs/>
                <w:color w:val="auto"/>
                <w:kern w:val="0"/>
                <w:sz w:val="18"/>
                <w:szCs w:val="18"/>
                <w:highlight w:val="none"/>
              </w:rPr>
              <w:t>软件开发及运维管理</w:t>
            </w:r>
          </w:p>
        </w:tc>
        <w:tc>
          <w:tcPr>
            <w:tcW w:w="1411" w:type="dxa"/>
            <w:vAlign w:val="center"/>
          </w:tcPr>
          <w:p w14:paraId="33C6D77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规范管理</w:t>
            </w:r>
          </w:p>
        </w:tc>
        <w:tc>
          <w:tcPr>
            <w:tcW w:w="5634" w:type="dxa"/>
            <w:vAlign w:val="center"/>
          </w:tcPr>
          <w:p w14:paraId="50B5627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1.按要求制定服务计划、工作规范、管理规范以及相关流程，执行重点运维工作计划；</w:t>
            </w:r>
          </w:p>
          <w:p w14:paraId="72C40FD4">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2.定期整理和优化各类规范、制度和流程，包括规范岗位职责、管理规定制度、服务运维流程、以及业务支撑流程等，提高服务质量；</w:t>
            </w:r>
          </w:p>
          <w:p w14:paraId="650815A2">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3.按要求完成服务工作总结；</w:t>
            </w:r>
          </w:p>
          <w:p w14:paraId="526C8FEE">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4.提出甲方信息化建设与管理的意见或建议。</w:t>
            </w:r>
          </w:p>
        </w:tc>
      </w:tr>
      <w:tr w14:paraId="23C5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1474" w:type="dxa"/>
            <w:vMerge w:val="continue"/>
            <w:vAlign w:val="center"/>
          </w:tcPr>
          <w:p w14:paraId="055DD31B">
            <w:pPr>
              <w:widowControl/>
              <w:jc w:val="left"/>
              <w:rPr>
                <w:rFonts w:hint="eastAsia" w:ascii="仿宋" w:hAnsi="仿宋" w:eastAsia="仿宋" w:cs="仿宋"/>
                <w:b/>
                <w:bCs/>
                <w:color w:val="auto"/>
                <w:kern w:val="0"/>
                <w:sz w:val="18"/>
                <w:szCs w:val="18"/>
                <w:highlight w:val="none"/>
              </w:rPr>
            </w:pPr>
          </w:p>
        </w:tc>
        <w:tc>
          <w:tcPr>
            <w:tcW w:w="1411" w:type="dxa"/>
            <w:vAlign w:val="center"/>
          </w:tcPr>
          <w:p w14:paraId="312BA6E9">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队伍管理</w:t>
            </w:r>
          </w:p>
        </w:tc>
        <w:tc>
          <w:tcPr>
            <w:tcW w:w="5634" w:type="dxa"/>
            <w:vAlign w:val="center"/>
          </w:tcPr>
          <w:p w14:paraId="6AF73227">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1.服务队伍的建设管理，包括人员招聘录用、人员岗位调整等；</w:t>
            </w:r>
          </w:p>
          <w:p w14:paraId="32DFC1C7">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2.明确岗位职责，制定和检查人员定岗定责；</w:t>
            </w:r>
          </w:p>
          <w:p w14:paraId="61198E5A">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3.核心骨干人员培养，确保保障服务人员的持续性。</w:t>
            </w:r>
          </w:p>
        </w:tc>
      </w:tr>
      <w:tr w14:paraId="3A3B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jc w:val="center"/>
        </w:trPr>
        <w:tc>
          <w:tcPr>
            <w:tcW w:w="1474" w:type="dxa"/>
            <w:vMerge w:val="continue"/>
            <w:vAlign w:val="center"/>
          </w:tcPr>
          <w:p w14:paraId="731A23C6">
            <w:pPr>
              <w:widowControl/>
              <w:jc w:val="left"/>
              <w:rPr>
                <w:rFonts w:hint="eastAsia" w:ascii="仿宋" w:hAnsi="仿宋" w:eastAsia="仿宋" w:cs="仿宋"/>
                <w:b/>
                <w:bCs/>
                <w:color w:val="auto"/>
                <w:kern w:val="0"/>
                <w:sz w:val="18"/>
                <w:szCs w:val="18"/>
                <w:highlight w:val="none"/>
              </w:rPr>
            </w:pPr>
          </w:p>
        </w:tc>
        <w:tc>
          <w:tcPr>
            <w:tcW w:w="1411" w:type="dxa"/>
            <w:vAlign w:val="center"/>
          </w:tcPr>
          <w:p w14:paraId="5EDEF53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日常工作管理</w:t>
            </w:r>
          </w:p>
        </w:tc>
        <w:tc>
          <w:tcPr>
            <w:tcW w:w="5634" w:type="dxa"/>
            <w:vAlign w:val="center"/>
          </w:tcPr>
          <w:p w14:paraId="13043D53">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1.常规巡检工作管理，包括核心业务巡检、早晚常规巡检、数据备份巡检以及数据库服务巡检等；</w:t>
            </w:r>
          </w:p>
          <w:p w14:paraId="0128A8C1">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2.运维事件管理，包括日常运维工作发生的各类事件以及一些偶发的重大突发事件进行管理；</w:t>
            </w:r>
          </w:p>
          <w:p w14:paraId="3587D954">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3.运维对象管理,配合用户做好资源管理工作。</w:t>
            </w:r>
          </w:p>
        </w:tc>
      </w:tr>
      <w:tr w14:paraId="1B1A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jc w:val="center"/>
        </w:trPr>
        <w:tc>
          <w:tcPr>
            <w:tcW w:w="1474" w:type="dxa"/>
            <w:vMerge w:val="continue"/>
            <w:vAlign w:val="center"/>
          </w:tcPr>
          <w:p w14:paraId="3DD99725">
            <w:pPr>
              <w:widowControl/>
              <w:jc w:val="left"/>
              <w:rPr>
                <w:rFonts w:hint="eastAsia" w:ascii="仿宋" w:hAnsi="仿宋" w:eastAsia="仿宋" w:cs="仿宋"/>
                <w:b/>
                <w:bCs/>
                <w:color w:val="auto"/>
                <w:kern w:val="0"/>
                <w:sz w:val="18"/>
                <w:szCs w:val="18"/>
                <w:highlight w:val="none"/>
              </w:rPr>
            </w:pPr>
          </w:p>
        </w:tc>
        <w:tc>
          <w:tcPr>
            <w:tcW w:w="1411" w:type="dxa"/>
            <w:vAlign w:val="center"/>
          </w:tcPr>
          <w:p w14:paraId="24F868CF">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技术管理</w:t>
            </w:r>
          </w:p>
        </w:tc>
        <w:tc>
          <w:tcPr>
            <w:tcW w:w="5634" w:type="dxa"/>
            <w:vAlign w:val="center"/>
          </w:tcPr>
          <w:p w14:paraId="0F4B3F0F">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1.技术工作指导，对核心业务系统的技术运维工作，需对技术运维人员进行指导，包括工作流程指导、技术规范指导以及难点技术指导，确保核心业务系统可持续性；</w:t>
            </w:r>
          </w:p>
          <w:p w14:paraId="2E35F814">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2.技术改进评估。在日常服务过程中，针对部分业务系统已经不能适应业务发展的需要或者有新技术出现，做详细的评估并提出改进建议；</w:t>
            </w:r>
          </w:p>
          <w:p w14:paraId="2E8E6C3E">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3.技术规范。针对业务系统的技术运维特点，整理成技术运维规范并形成技术白皮书，并定期完善更新技术白皮书。</w:t>
            </w:r>
          </w:p>
        </w:tc>
      </w:tr>
      <w:tr w14:paraId="4D47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3" w:hRule="atLeast"/>
          <w:jc w:val="center"/>
        </w:trPr>
        <w:tc>
          <w:tcPr>
            <w:tcW w:w="1474" w:type="dxa"/>
            <w:vMerge w:val="continue"/>
            <w:vAlign w:val="center"/>
          </w:tcPr>
          <w:p w14:paraId="5254EBC4">
            <w:pPr>
              <w:widowControl/>
              <w:jc w:val="left"/>
              <w:rPr>
                <w:rFonts w:hint="eastAsia" w:ascii="仿宋" w:hAnsi="仿宋" w:eastAsia="仿宋" w:cs="仿宋"/>
                <w:b/>
                <w:bCs/>
                <w:color w:val="auto"/>
                <w:kern w:val="0"/>
                <w:sz w:val="18"/>
                <w:szCs w:val="18"/>
                <w:highlight w:val="none"/>
              </w:rPr>
            </w:pPr>
          </w:p>
        </w:tc>
        <w:tc>
          <w:tcPr>
            <w:tcW w:w="1411" w:type="dxa"/>
            <w:vAlign w:val="center"/>
          </w:tcPr>
          <w:p w14:paraId="2E8464B6">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协调管理</w:t>
            </w:r>
          </w:p>
        </w:tc>
        <w:tc>
          <w:tcPr>
            <w:tcW w:w="5634" w:type="dxa"/>
            <w:vAlign w:val="center"/>
          </w:tcPr>
          <w:p w14:paraId="1B0C2042">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1.协调完成甲方下达各类交办工作和任务；</w:t>
            </w:r>
          </w:p>
          <w:p w14:paraId="1D5DF1B8">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2.与甲方进行有效的汇报以及沟通工作，定期提交各类总结、报告；</w:t>
            </w:r>
          </w:p>
          <w:p w14:paraId="50435F2E">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3.与甲方以及各第三方公司协调处理各项运维任务，确保运维工作顺利开展；</w:t>
            </w:r>
          </w:p>
          <w:p w14:paraId="2487AFE8">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4.与原开发单位或供应商协调处理各应用系统的升级改造以及部署工作。</w:t>
            </w:r>
          </w:p>
        </w:tc>
      </w:tr>
      <w:tr w14:paraId="268F2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atLeast"/>
          <w:jc w:val="center"/>
        </w:trPr>
        <w:tc>
          <w:tcPr>
            <w:tcW w:w="1474" w:type="dxa"/>
            <w:vMerge w:val="continue"/>
            <w:vAlign w:val="center"/>
          </w:tcPr>
          <w:p w14:paraId="7F60630F">
            <w:pPr>
              <w:widowControl/>
              <w:jc w:val="left"/>
              <w:rPr>
                <w:rFonts w:hint="eastAsia" w:ascii="仿宋" w:hAnsi="仿宋" w:eastAsia="仿宋" w:cs="仿宋"/>
                <w:b/>
                <w:bCs/>
                <w:color w:val="auto"/>
                <w:kern w:val="0"/>
                <w:sz w:val="18"/>
                <w:szCs w:val="18"/>
                <w:highlight w:val="none"/>
              </w:rPr>
            </w:pPr>
          </w:p>
        </w:tc>
        <w:tc>
          <w:tcPr>
            <w:tcW w:w="1411" w:type="dxa"/>
            <w:vAlign w:val="center"/>
          </w:tcPr>
          <w:p w14:paraId="1C914D11">
            <w:pPr>
              <w:widowControl/>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开发管理</w:t>
            </w:r>
          </w:p>
        </w:tc>
        <w:tc>
          <w:tcPr>
            <w:tcW w:w="5634" w:type="dxa"/>
            <w:vAlign w:val="center"/>
          </w:tcPr>
          <w:p w14:paraId="220DD235">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1.负责软件定制开发全流程管理；</w:t>
            </w:r>
          </w:p>
          <w:p w14:paraId="3A2AC209">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2.负责制定开发工作计划、需求调研、任务安排、工作检查和考核；</w:t>
            </w:r>
          </w:p>
          <w:p w14:paraId="1EEF9AF2">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3.管理或参与制定软件的设计、开发、测试、部署、试运行、相关文档编制等工作；</w:t>
            </w:r>
          </w:p>
          <w:p w14:paraId="7C17218C">
            <w:pPr>
              <w:widowControl/>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4.负责制定开发团队的建设和培养计划。</w:t>
            </w:r>
          </w:p>
          <w:p w14:paraId="20AE27EE">
            <w:pPr>
              <w:widowControl/>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5.负责与甲方沟通开发工作的工时，协商统计及核销采购的“软件开发工时”资源。</w:t>
            </w:r>
          </w:p>
        </w:tc>
      </w:tr>
    </w:tbl>
    <w:p w14:paraId="6DE6B23C">
      <w:pPr>
        <w:pStyle w:val="4"/>
        <w:numPr>
          <w:ilvl w:val="0"/>
          <w:numId w:val="18"/>
        </w:numPr>
        <w:spacing w:line="360" w:lineRule="auto"/>
        <w:ind w:firstLine="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培训计划与要求</w:t>
      </w:r>
    </w:p>
    <w:p w14:paraId="270C18D0">
      <w:pPr>
        <w:widowControl/>
        <w:numPr>
          <w:ilvl w:val="255"/>
          <w:numId w:val="0"/>
        </w:numPr>
        <w:spacing w:line="360" w:lineRule="auto"/>
        <w:ind w:firstLine="420" w:firstLineChars="200"/>
        <w:jc w:val="left"/>
        <w:rPr>
          <w:rFonts w:hint="eastAsia" w:ascii="仿宋" w:hAnsi="仿宋" w:eastAsia="仿宋" w:cs="仿宋"/>
          <w:b/>
          <w:bCs/>
          <w:color w:val="auto"/>
          <w:sz w:val="24"/>
          <w:szCs w:val="22"/>
          <w:highlight w:val="none"/>
        </w:rPr>
      </w:pPr>
      <w:r>
        <w:rPr>
          <w:rFonts w:hint="eastAsia" w:ascii="仿宋" w:hAnsi="仿宋" w:eastAsia="仿宋" w:cs="仿宋"/>
          <w:color w:val="auto"/>
          <w:szCs w:val="21"/>
          <w:highlight w:val="none"/>
        </w:rPr>
        <w:t>本项目中标人应根据甲方信息化运维服务工作要求及软件定制开发服务的需求，制定并落实服务培训计划，提升服务质量及效能，培训内容包括但不限于技术培训、业务培训、管理培训等。</w:t>
      </w:r>
    </w:p>
    <w:p w14:paraId="7716B95D">
      <w:pPr>
        <w:tabs>
          <w:tab w:val="left" w:pos="1117"/>
          <w:tab w:val="left" w:pos="7620"/>
        </w:tabs>
        <w:spacing w:line="360" w:lineRule="auto"/>
        <w:rPr>
          <w:rFonts w:hint="eastAsia" w:ascii="仿宋_GB2312" w:hAnsi="仿宋_GB2312" w:eastAsia="仿宋_GB2312" w:cs="仿宋_GB2312"/>
          <w:b/>
          <w:color w:val="auto"/>
          <w:sz w:val="32"/>
          <w:szCs w:val="32"/>
          <w:highlight w:val="none"/>
        </w:rPr>
      </w:pPr>
    </w:p>
    <w:p w14:paraId="3527A1F7">
      <w:pPr>
        <w:tabs>
          <w:tab w:val="left" w:pos="1117"/>
        </w:tabs>
        <w:spacing w:line="360" w:lineRule="auto"/>
        <w:rPr>
          <w:rFonts w:hint="eastAsia" w:ascii="仿宋_GB2312" w:hAnsi="仿宋_GB2312" w:eastAsia="仿宋_GB2312" w:cs="仿宋_GB2312"/>
          <w:b/>
          <w:color w:val="auto"/>
          <w:sz w:val="32"/>
          <w:szCs w:val="32"/>
          <w:highlight w:val="none"/>
        </w:rPr>
        <w:sectPr>
          <w:pgSz w:w="11907" w:h="16840"/>
          <w:pgMar w:top="1440" w:right="1797" w:bottom="1440" w:left="1797" w:header="851" w:footer="851" w:gutter="0"/>
          <w:cols w:space="720" w:num="1"/>
          <w:titlePg/>
          <w:docGrid w:linePitch="462" w:charSpace="0"/>
        </w:sectPr>
      </w:pPr>
    </w:p>
    <w:p w14:paraId="1EB1748D">
      <w:pPr>
        <w:tabs>
          <w:tab w:val="left" w:pos="1117"/>
        </w:tabs>
        <w:spacing w:line="480" w:lineRule="auto"/>
        <w:jc w:val="center"/>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第七章 </w:t>
      </w:r>
      <w:r>
        <w:rPr>
          <w:rFonts w:ascii="仿宋_GB2312" w:hAnsi="仿宋_GB2312" w:eastAsia="仿宋_GB2312" w:cs="仿宋_GB2312"/>
          <w:b/>
          <w:color w:val="auto"/>
          <w:sz w:val="32"/>
          <w:szCs w:val="32"/>
          <w:highlight w:val="none"/>
        </w:rPr>
        <w:t>投标文件格式</w:t>
      </w:r>
    </w:p>
    <w:p w14:paraId="029C3C5A">
      <w:pPr>
        <w:tabs>
          <w:tab w:val="left" w:pos="1117"/>
        </w:tabs>
        <w:jc w:val="center"/>
        <w:rPr>
          <w:rFonts w:hint="eastAsia" w:ascii="仿宋_GB2312" w:hAnsi="仿宋_GB2312" w:eastAsia="仿宋_GB2312" w:cs="仿宋_GB2312"/>
          <w:bCs/>
          <w:color w:val="auto"/>
          <w:sz w:val="32"/>
          <w:szCs w:val="32"/>
          <w:highlight w:val="none"/>
        </w:rPr>
      </w:pPr>
    </w:p>
    <w:p w14:paraId="4C94D350">
      <w:pPr>
        <w:tabs>
          <w:tab w:val="left" w:pos="1117"/>
        </w:tabs>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目 录</w:t>
      </w:r>
    </w:p>
    <w:p w14:paraId="151EADFC">
      <w:pPr>
        <w:spacing w:line="360" w:lineRule="auto"/>
        <w:ind w:firstLine="480" w:firstLineChars="20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附件1</w:t>
      </w:r>
      <w:r>
        <w:rPr>
          <w:rFonts w:hint="eastAsia" w:ascii="仿宋_GB2312" w:hAnsi="仿宋_GB2312" w:eastAsia="仿宋_GB2312" w:cs="仿宋_GB2312"/>
          <w:bCs/>
          <w:color w:val="auto"/>
          <w:sz w:val="24"/>
          <w:szCs w:val="24"/>
          <w:highlight w:val="none"/>
          <w:lang w:val="en-US" w:eastAsia="zh-CN"/>
        </w:rPr>
        <w:t xml:space="preserve">--  </w:t>
      </w:r>
      <w:r>
        <w:rPr>
          <w:rFonts w:ascii="仿宋_GB2312" w:hAnsi="仿宋_GB2312" w:eastAsia="仿宋_GB2312" w:cs="仿宋_GB2312"/>
          <w:bCs/>
          <w:color w:val="auto"/>
          <w:sz w:val="24"/>
          <w:szCs w:val="24"/>
          <w:highlight w:val="none"/>
        </w:rPr>
        <w:t>投标书</w:t>
      </w:r>
    </w:p>
    <w:p w14:paraId="485673EA">
      <w:pPr>
        <w:spacing w:line="360" w:lineRule="auto"/>
        <w:ind w:firstLine="480" w:firstLineChars="20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附件2</w:t>
      </w:r>
      <w:r>
        <w:rPr>
          <w:rFonts w:hint="eastAsia" w:ascii="仿宋_GB2312" w:hAnsi="仿宋_GB2312" w:eastAsia="仿宋_GB2312" w:cs="仿宋_GB2312"/>
          <w:bCs/>
          <w:color w:val="auto"/>
          <w:sz w:val="24"/>
          <w:szCs w:val="24"/>
          <w:highlight w:val="none"/>
          <w:lang w:val="en-US" w:eastAsia="zh-CN"/>
        </w:rPr>
        <w:t xml:space="preserve">--  </w:t>
      </w:r>
      <w:r>
        <w:rPr>
          <w:rFonts w:ascii="仿宋_GB2312" w:hAnsi="仿宋_GB2312" w:eastAsia="仿宋_GB2312" w:cs="仿宋_GB2312"/>
          <w:bCs/>
          <w:color w:val="auto"/>
          <w:sz w:val="24"/>
          <w:szCs w:val="24"/>
          <w:highlight w:val="none"/>
        </w:rPr>
        <w:t>投标一览表</w:t>
      </w:r>
    </w:p>
    <w:p w14:paraId="48D38468">
      <w:pPr>
        <w:spacing w:line="360" w:lineRule="auto"/>
        <w:ind w:firstLine="480" w:firstLineChars="20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附件3</w:t>
      </w:r>
      <w:r>
        <w:rPr>
          <w:rFonts w:hint="eastAsia" w:ascii="仿宋_GB2312" w:hAnsi="仿宋_GB2312" w:eastAsia="仿宋_GB2312" w:cs="仿宋_GB2312"/>
          <w:bCs/>
          <w:color w:val="auto"/>
          <w:sz w:val="24"/>
          <w:szCs w:val="24"/>
          <w:highlight w:val="none"/>
          <w:lang w:val="en-US" w:eastAsia="zh-CN"/>
        </w:rPr>
        <w:t>--</w:t>
      </w:r>
      <w:r>
        <w:rPr>
          <w:rFonts w:ascii="仿宋_GB2312" w:hAnsi="仿宋_GB2312" w:eastAsia="仿宋_GB2312" w:cs="仿宋_GB2312"/>
          <w:bCs/>
          <w:color w:val="auto"/>
          <w:sz w:val="24"/>
          <w:szCs w:val="24"/>
          <w:highlight w:val="none"/>
        </w:rPr>
        <w:t>资格证明文件</w:t>
      </w:r>
    </w:p>
    <w:p w14:paraId="68F782BA">
      <w:pPr>
        <w:spacing w:line="360" w:lineRule="auto"/>
        <w:ind w:left="0" w:leftChars="0" w:firstLine="840" w:firstLineChars="35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附件3-1</w:t>
      </w:r>
      <w:r>
        <w:rPr>
          <w:rFonts w:hint="eastAsia" w:ascii="仿宋_GB2312" w:hAnsi="仿宋_GB2312" w:eastAsia="仿宋_GB2312" w:cs="仿宋_GB2312"/>
          <w:bCs/>
          <w:color w:val="auto"/>
          <w:sz w:val="24"/>
          <w:szCs w:val="24"/>
          <w:highlight w:val="none"/>
          <w:lang w:val="en-US" w:eastAsia="zh-CN"/>
        </w:rPr>
        <w:t>--</w:t>
      </w:r>
      <w:r>
        <w:rPr>
          <w:rFonts w:ascii="仿宋_GB2312" w:hAnsi="仿宋_GB2312" w:eastAsia="仿宋_GB2312" w:cs="仿宋_GB2312"/>
          <w:bCs/>
          <w:color w:val="auto"/>
          <w:sz w:val="24"/>
          <w:szCs w:val="24"/>
          <w:highlight w:val="none"/>
        </w:rPr>
        <w:t>法人营业执照</w:t>
      </w:r>
    </w:p>
    <w:p w14:paraId="6ABB761B">
      <w:pPr>
        <w:spacing w:line="360" w:lineRule="auto"/>
        <w:ind w:left="0" w:leftChars="0" w:firstLine="840" w:firstLineChars="35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附件3-2</w:t>
      </w:r>
      <w:r>
        <w:rPr>
          <w:rFonts w:hint="eastAsia" w:ascii="仿宋_GB2312" w:hAnsi="仿宋_GB2312" w:eastAsia="仿宋_GB2312" w:cs="仿宋_GB2312"/>
          <w:bCs/>
          <w:color w:val="auto"/>
          <w:sz w:val="24"/>
          <w:szCs w:val="24"/>
          <w:highlight w:val="none"/>
          <w:lang w:val="en-US" w:eastAsia="zh-CN"/>
        </w:rPr>
        <w:t>--</w:t>
      </w:r>
      <w:r>
        <w:rPr>
          <w:rFonts w:ascii="仿宋_GB2312" w:hAnsi="仿宋_GB2312" w:eastAsia="仿宋_GB2312" w:cs="仿宋_GB2312"/>
          <w:bCs/>
          <w:color w:val="auto"/>
          <w:sz w:val="24"/>
          <w:szCs w:val="24"/>
          <w:highlight w:val="none"/>
        </w:rPr>
        <w:t>法定代表人授权书</w:t>
      </w:r>
    </w:p>
    <w:p w14:paraId="5ECF8B6C">
      <w:pPr>
        <w:spacing w:line="360" w:lineRule="auto"/>
        <w:ind w:left="0" w:leftChars="0" w:firstLine="840" w:firstLineChars="350"/>
        <w:outlineLvl w:val="9"/>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附件3-3</w:t>
      </w:r>
      <w:r>
        <w:rPr>
          <w:rFonts w:hint="eastAsia" w:ascii="仿宋_GB2312" w:hAnsi="仿宋_GB2312" w:eastAsia="仿宋_GB2312" w:cs="仿宋_GB2312"/>
          <w:bCs/>
          <w:color w:val="auto"/>
          <w:sz w:val="24"/>
          <w:szCs w:val="24"/>
          <w:highlight w:val="none"/>
          <w:lang w:val="en-US" w:eastAsia="zh-CN"/>
        </w:rPr>
        <w:t>--</w:t>
      </w:r>
      <w:r>
        <w:rPr>
          <w:rFonts w:ascii="仿宋_GB2312" w:hAnsi="仿宋_GB2312" w:eastAsia="仿宋_GB2312" w:cs="仿宋_GB2312"/>
          <w:bCs/>
          <w:color w:val="auto"/>
          <w:sz w:val="24"/>
          <w:szCs w:val="24"/>
          <w:highlight w:val="none"/>
        </w:rPr>
        <w:t>投标人概况调查表</w:t>
      </w:r>
    </w:p>
    <w:p w14:paraId="0DD9DBA5">
      <w:pPr>
        <w:spacing w:line="360" w:lineRule="auto"/>
        <w:ind w:left="0" w:leftChars="0" w:firstLine="840" w:firstLineChars="35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附件3-</w:t>
      </w:r>
      <w:r>
        <w:rPr>
          <w:rFonts w:ascii="仿宋_GB2312" w:hAnsi="仿宋_GB2312" w:eastAsia="仿宋_GB2312" w:cs="仿宋_GB2312"/>
          <w:bCs/>
          <w:color w:val="auto"/>
          <w:sz w:val="24"/>
          <w:szCs w:val="24"/>
          <w:highlight w:val="none"/>
          <w:lang w:val="en-US"/>
        </w:rPr>
        <w:t>4</w:t>
      </w:r>
      <w:r>
        <w:rPr>
          <w:rFonts w:hint="eastAsia" w:ascii="仿宋_GB2312" w:hAnsi="仿宋_GB2312" w:eastAsia="仿宋_GB2312" w:cs="仿宋_GB2312"/>
          <w:bCs/>
          <w:color w:val="auto"/>
          <w:sz w:val="24"/>
          <w:szCs w:val="24"/>
          <w:highlight w:val="none"/>
          <w:lang w:val="en-US" w:eastAsia="zh-CN"/>
        </w:rPr>
        <w:t>--</w:t>
      </w:r>
      <w:r>
        <w:rPr>
          <w:rFonts w:ascii="仿宋_GB2312" w:hAnsi="仿宋_GB2312" w:eastAsia="仿宋_GB2312" w:cs="仿宋_GB2312"/>
          <w:bCs/>
          <w:color w:val="auto"/>
          <w:sz w:val="24"/>
          <w:szCs w:val="24"/>
          <w:highlight w:val="none"/>
        </w:rPr>
        <w:t>业绩</w:t>
      </w:r>
    </w:p>
    <w:p w14:paraId="48C4097D">
      <w:pPr>
        <w:spacing w:line="360" w:lineRule="auto"/>
        <w:ind w:left="0" w:leftChars="0" w:firstLine="840" w:firstLineChars="35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附件3-</w:t>
      </w:r>
      <w:r>
        <w:rPr>
          <w:rFonts w:ascii="仿宋_GB2312" w:hAnsi="仿宋_GB2312" w:eastAsia="仿宋_GB2312" w:cs="仿宋_GB2312"/>
          <w:bCs/>
          <w:color w:val="auto"/>
          <w:sz w:val="24"/>
          <w:szCs w:val="24"/>
          <w:highlight w:val="none"/>
          <w:lang w:val="en-US"/>
        </w:rPr>
        <w:t>5</w:t>
      </w:r>
      <w:r>
        <w:rPr>
          <w:rFonts w:hint="eastAsia" w:ascii="仿宋_GB2312" w:hAnsi="仿宋_GB2312" w:eastAsia="仿宋_GB2312" w:cs="仿宋_GB2312"/>
          <w:bCs/>
          <w:color w:val="auto"/>
          <w:sz w:val="24"/>
          <w:szCs w:val="24"/>
          <w:highlight w:val="none"/>
          <w:lang w:val="en-US" w:eastAsia="zh-CN"/>
        </w:rPr>
        <w:t>--</w:t>
      </w:r>
      <w:r>
        <w:rPr>
          <w:rFonts w:ascii="仿宋_GB2312" w:hAnsi="仿宋_GB2312" w:eastAsia="仿宋_GB2312" w:cs="仿宋_GB2312"/>
          <w:bCs/>
          <w:color w:val="auto"/>
          <w:sz w:val="24"/>
          <w:szCs w:val="24"/>
          <w:highlight w:val="none"/>
        </w:rPr>
        <w:t>审计报告或资信证明</w:t>
      </w:r>
    </w:p>
    <w:p w14:paraId="278684B4">
      <w:pPr>
        <w:spacing w:line="360" w:lineRule="auto"/>
        <w:ind w:left="0" w:leftChars="0" w:firstLine="840" w:firstLineChars="35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附件3-</w:t>
      </w:r>
      <w:r>
        <w:rPr>
          <w:rFonts w:ascii="仿宋_GB2312" w:hAnsi="仿宋_GB2312" w:eastAsia="仿宋_GB2312" w:cs="仿宋_GB2312"/>
          <w:bCs/>
          <w:color w:val="auto"/>
          <w:sz w:val="24"/>
          <w:szCs w:val="24"/>
          <w:highlight w:val="none"/>
          <w:lang w:val="en-US"/>
        </w:rPr>
        <w:t>6</w:t>
      </w:r>
      <w:r>
        <w:rPr>
          <w:rFonts w:hint="eastAsia" w:ascii="仿宋_GB2312" w:hAnsi="仿宋_GB2312" w:eastAsia="仿宋_GB2312" w:cs="仿宋_GB2312"/>
          <w:bCs/>
          <w:color w:val="auto"/>
          <w:sz w:val="24"/>
          <w:szCs w:val="24"/>
          <w:highlight w:val="none"/>
          <w:lang w:val="en-US" w:eastAsia="zh-CN"/>
        </w:rPr>
        <w:t>--</w:t>
      </w:r>
      <w:r>
        <w:rPr>
          <w:rFonts w:ascii="仿宋_GB2312" w:hAnsi="仿宋_GB2312" w:eastAsia="仿宋_GB2312" w:cs="仿宋_GB2312"/>
          <w:bCs/>
          <w:color w:val="auto"/>
          <w:sz w:val="24"/>
          <w:szCs w:val="24"/>
          <w:highlight w:val="none"/>
        </w:rPr>
        <w:t>企业完税证明及社会保障资金缴纳记录</w:t>
      </w:r>
    </w:p>
    <w:p w14:paraId="024D9BDE">
      <w:pPr>
        <w:spacing w:line="360" w:lineRule="auto"/>
        <w:ind w:left="0" w:leftChars="0" w:firstLine="840" w:firstLineChars="35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附件3-</w:t>
      </w:r>
      <w:r>
        <w:rPr>
          <w:rFonts w:hint="default" w:ascii="仿宋_GB2312" w:hAnsi="仿宋_GB2312" w:eastAsia="仿宋_GB2312" w:cs="仿宋_GB2312"/>
          <w:bCs/>
          <w:color w:val="auto"/>
          <w:sz w:val="24"/>
          <w:szCs w:val="24"/>
          <w:highlight w:val="none"/>
          <w:lang w:val="en-US"/>
        </w:rPr>
        <w:t>7</w:t>
      </w:r>
      <w:r>
        <w:rPr>
          <w:rFonts w:hint="eastAsia" w:ascii="仿宋_GB2312" w:hAnsi="仿宋_GB2312" w:eastAsia="仿宋_GB2312" w:cs="仿宋_GB2312"/>
          <w:bCs/>
          <w:color w:val="auto"/>
          <w:sz w:val="24"/>
          <w:szCs w:val="24"/>
          <w:highlight w:val="none"/>
          <w:lang w:val="en-US" w:eastAsia="zh-CN"/>
        </w:rPr>
        <w:t>--</w:t>
      </w:r>
      <w:r>
        <w:rPr>
          <w:rFonts w:hint="eastAsia" w:ascii="仿宋_GB2312" w:hAnsi="仿宋_GB2312" w:eastAsia="仿宋_GB2312" w:cs="仿宋_GB2312"/>
          <w:bCs/>
          <w:color w:val="auto"/>
          <w:sz w:val="24"/>
          <w:szCs w:val="24"/>
          <w:highlight w:val="none"/>
        </w:rPr>
        <w:t xml:space="preserve"> </w:t>
      </w:r>
      <w:r>
        <w:rPr>
          <w:rFonts w:ascii="仿宋_GB2312" w:hAnsi="仿宋_GB2312" w:eastAsia="仿宋_GB2312" w:cs="仿宋_GB2312"/>
          <w:bCs/>
          <w:color w:val="auto"/>
          <w:sz w:val="24"/>
          <w:szCs w:val="24"/>
          <w:highlight w:val="none"/>
        </w:rPr>
        <w:t>承诺书</w:t>
      </w:r>
    </w:p>
    <w:p w14:paraId="73FE854F">
      <w:pPr>
        <w:spacing w:line="360" w:lineRule="auto"/>
        <w:ind w:left="0" w:leftChars="0" w:firstLine="840" w:firstLineChars="35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附件3-</w:t>
      </w:r>
      <w:r>
        <w:rPr>
          <w:rFonts w:hint="default" w:ascii="仿宋_GB2312" w:hAnsi="仿宋_GB2312" w:eastAsia="仿宋_GB2312" w:cs="仿宋_GB2312"/>
          <w:bCs/>
          <w:color w:val="auto"/>
          <w:sz w:val="24"/>
          <w:szCs w:val="24"/>
          <w:highlight w:val="none"/>
          <w:lang w:val="en-US"/>
        </w:rPr>
        <w:t>8</w:t>
      </w:r>
      <w:r>
        <w:rPr>
          <w:rFonts w:hint="eastAsia" w:ascii="仿宋_GB2312" w:hAnsi="仿宋_GB2312" w:eastAsia="仿宋_GB2312" w:cs="仿宋_GB2312"/>
          <w:bCs/>
          <w:color w:val="auto"/>
          <w:sz w:val="24"/>
          <w:szCs w:val="24"/>
          <w:highlight w:val="none"/>
          <w:lang w:val="en-US" w:eastAsia="zh-CN"/>
        </w:rPr>
        <w:t>--</w:t>
      </w:r>
      <w:r>
        <w:rPr>
          <w:rFonts w:hint="default" w:ascii="仿宋_GB2312" w:hAnsi="仿宋_GB2312" w:eastAsia="仿宋_GB2312" w:cs="仿宋_GB2312"/>
          <w:bCs/>
          <w:color w:val="auto"/>
          <w:sz w:val="24"/>
          <w:szCs w:val="24"/>
          <w:highlight w:val="none"/>
          <w:lang w:val="en-US"/>
        </w:rPr>
        <w:t xml:space="preserve"> </w:t>
      </w:r>
      <w:r>
        <w:rPr>
          <w:rFonts w:ascii="仿宋_GB2312" w:hAnsi="仿宋_GB2312" w:eastAsia="仿宋_GB2312" w:cs="仿宋_GB2312"/>
          <w:bCs/>
          <w:color w:val="auto"/>
          <w:sz w:val="24"/>
          <w:szCs w:val="24"/>
          <w:highlight w:val="none"/>
        </w:rPr>
        <w:t>招标文件要求的其他资格证明文件</w:t>
      </w:r>
    </w:p>
    <w:p w14:paraId="2E416769">
      <w:pPr>
        <w:spacing w:line="360" w:lineRule="auto"/>
        <w:ind w:firstLine="480" w:firstLineChars="20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附件4</w:t>
      </w:r>
      <w:r>
        <w:rPr>
          <w:rFonts w:hint="eastAsia" w:ascii="仿宋_GB2312" w:hAnsi="仿宋_GB2312" w:eastAsia="仿宋_GB2312" w:cs="仿宋_GB2312"/>
          <w:bCs/>
          <w:color w:val="auto"/>
          <w:sz w:val="24"/>
          <w:szCs w:val="24"/>
          <w:highlight w:val="none"/>
          <w:lang w:val="en-US" w:eastAsia="zh-CN"/>
        </w:rPr>
        <w:t xml:space="preserve">-- </w:t>
      </w:r>
      <w:r>
        <w:rPr>
          <w:rFonts w:ascii="仿宋_GB2312" w:hAnsi="仿宋_GB2312" w:eastAsia="仿宋_GB2312" w:cs="仿宋_GB2312"/>
          <w:bCs/>
          <w:color w:val="auto"/>
          <w:sz w:val="24"/>
          <w:szCs w:val="24"/>
          <w:highlight w:val="none"/>
        </w:rPr>
        <w:t>企业</w:t>
      </w:r>
      <w:r>
        <w:rPr>
          <w:rFonts w:hint="eastAsia" w:ascii="仿宋_GB2312" w:hAnsi="仿宋_GB2312" w:eastAsia="仿宋_GB2312" w:cs="仿宋_GB2312"/>
          <w:bCs/>
          <w:color w:val="auto"/>
          <w:sz w:val="24"/>
          <w:szCs w:val="24"/>
          <w:highlight w:val="none"/>
        </w:rPr>
        <w:t>实力</w:t>
      </w:r>
    </w:p>
    <w:p w14:paraId="24C81A93">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附件</w:t>
      </w:r>
      <w:r>
        <w:rPr>
          <w:rFonts w:hint="default" w:ascii="仿宋_GB2312" w:hAnsi="仿宋_GB2312" w:eastAsia="仿宋_GB2312" w:cs="仿宋_GB2312"/>
          <w:bCs/>
          <w:color w:val="auto"/>
          <w:sz w:val="24"/>
          <w:szCs w:val="24"/>
          <w:highlight w:val="none"/>
          <w:lang w:val="en-US"/>
        </w:rPr>
        <w:t>5</w:t>
      </w:r>
      <w:r>
        <w:rPr>
          <w:rFonts w:hint="eastAsia" w:ascii="仿宋_GB2312" w:hAnsi="仿宋_GB2312" w:eastAsia="仿宋_GB2312" w:cs="仿宋_GB2312"/>
          <w:bCs/>
          <w:color w:val="auto"/>
          <w:sz w:val="24"/>
          <w:szCs w:val="24"/>
          <w:highlight w:val="none"/>
          <w:lang w:val="en-US" w:eastAsia="zh-CN"/>
        </w:rPr>
        <w:t>--</w:t>
      </w:r>
      <w:r>
        <w:rPr>
          <w:rFonts w:hint="eastAsia" w:ascii="仿宋_GB2312" w:hAnsi="仿宋_GB2312" w:eastAsia="仿宋_GB2312" w:cs="仿宋_GB2312"/>
          <w:bCs/>
          <w:color w:val="auto"/>
          <w:sz w:val="24"/>
          <w:szCs w:val="24"/>
          <w:highlight w:val="none"/>
        </w:rPr>
        <w:t xml:space="preserve"> 售后服务</w:t>
      </w:r>
    </w:p>
    <w:p w14:paraId="11239893">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附件</w:t>
      </w:r>
      <w:r>
        <w:rPr>
          <w:rFonts w:hint="default" w:ascii="仿宋_GB2312" w:hAnsi="仿宋_GB2312" w:eastAsia="仿宋_GB2312" w:cs="仿宋_GB2312"/>
          <w:bCs/>
          <w:color w:val="auto"/>
          <w:sz w:val="24"/>
          <w:szCs w:val="24"/>
          <w:highlight w:val="none"/>
          <w:lang w:val="en-US"/>
        </w:rPr>
        <w:t>6</w:t>
      </w:r>
      <w:r>
        <w:rPr>
          <w:rFonts w:hint="eastAsia" w:ascii="仿宋_GB2312" w:hAnsi="仿宋_GB2312" w:eastAsia="仿宋_GB2312" w:cs="仿宋_GB2312"/>
          <w:bCs/>
          <w:color w:val="auto"/>
          <w:sz w:val="24"/>
          <w:szCs w:val="24"/>
          <w:highlight w:val="none"/>
          <w:lang w:val="en-US" w:eastAsia="zh-CN"/>
        </w:rPr>
        <w:t>--</w:t>
      </w:r>
      <w:r>
        <w:rPr>
          <w:rFonts w:hint="eastAsia" w:ascii="仿宋_GB2312" w:hAnsi="仿宋_GB2312" w:eastAsia="仿宋_GB2312" w:cs="仿宋_GB2312"/>
          <w:bCs/>
          <w:color w:val="auto"/>
          <w:sz w:val="24"/>
          <w:szCs w:val="24"/>
          <w:highlight w:val="none"/>
        </w:rPr>
        <w:t xml:space="preserve"> 培训方案</w:t>
      </w:r>
    </w:p>
    <w:p w14:paraId="79500A7A">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附件</w:t>
      </w:r>
      <w:r>
        <w:rPr>
          <w:rFonts w:hint="default" w:ascii="仿宋_GB2312" w:hAnsi="仿宋_GB2312" w:eastAsia="仿宋_GB2312" w:cs="仿宋_GB2312"/>
          <w:bCs/>
          <w:color w:val="auto"/>
          <w:sz w:val="24"/>
          <w:szCs w:val="24"/>
          <w:highlight w:val="none"/>
          <w:lang w:val="en-US"/>
        </w:rPr>
        <w:t>7</w:t>
      </w:r>
      <w:r>
        <w:rPr>
          <w:rFonts w:hint="eastAsia" w:ascii="仿宋_GB2312" w:hAnsi="仿宋_GB2312" w:eastAsia="仿宋_GB2312" w:cs="仿宋_GB2312"/>
          <w:bCs/>
          <w:color w:val="auto"/>
          <w:sz w:val="24"/>
          <w:szCs w:val="24"/>
          <w:highlight w:val="none"/>
          <w:lang w:val="en-US" w:eastAsia="zh-CN"/>
        </w:rPr>
        <w:t>--</w:t>
      </w:r>
      <w:r>
        <w:rPr>
          <w:rFonts w:hint="eastAsia" w:ascii="仿宋_GB2312" w:hAnsi="仿宋_GB2312" w:eastAsia="仿宋_GB2312" w:cs="仿宋_GB2312"/>
          <w:bCs/>
          <w:color w:val="auto"/>
          <w:sz w:val="24"/>
          <w:szCs w:val="24"/>
          <w:highlight w:val="none"/>
        </w:rPr>
        <w:t xml:space="preserve"> </w:t>
      </w:r>
      <w:r>
        <w:rPr>
          <w:rFonts w:ascii="仿宋_GB2312" w:hAnsi="仿宋_GB2312" w:eastAsia="仿宋_GB2312" w:cs="仿宋_GB2312"/>
          <w:bCs/>
          <w:color w:val="auto"/>
          <w:sz w:val="24"/>
          <w:szCs w:val="24"/>
          <w:highlight w:val="none"/>
        </w:rPr>
        <w:t>实施方案及服务承诺</w:t>
      </w:r>
    </w:p>
    <w:p w14:paraId="330CF95B">
      <w:pPr>
        <w:spacing w:line="360" w:lineRule="auto"/>
        <w:ind w:firstLine="480" w:firstLineChars="20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w:t>
      </w:r>
      <w:r>
        <w:rPr>
          <w:rFonts w:ascii="仿宋_GB2312" w:hAnsi="仿宋_GB2312" w:eastAsia="仿宋_GB2312" w:cs="仿宋_GB2312"/>
          <w:bCs/>
          <w:color w:val="auto"/>
          <w:sz w:val="24"/>
          <w:szCs w:val="24"/>
          <w:highlight w:val="none"/>
          <w:lang w:val="en-US"/>
        </w:rPr>
        <w:t>8</w:t>
      </w:r>
      <w:r>
        <w:rPr>
          <w:rFonts w:hint="eastAsia" w:ascii="仿宋_GB2312" w:hAnsi="仿宋_GB2312" w:eastAsia="仿宋_GB2312" w:cs="仿宋_GB2312"/>
          <w:bCs/>
          <w:color w:val="auto"/>
          <w:sz w:val="24"/>
          <w:szCs w:val="24"/>
          <w:highlight w:val="none"/>
          <w:lang w:val="en-US" w:eastAsia="zh-CN"/>
        </w:rPr>
        <w:t>--</w:t>
      </w:r>
      <w:r>
        <w:rPr>
          <w:rFonts w:ascii="仿宋_GB2312" w:hAnsi="仿宋_GB2312" w:eastAsia="仿宋_GB2312" w:cs="仿宋_GB2312"/>
          <w:bCs/>
          <w:color w:val="auto"/>
          <w:sz w:val="24"/>
          <w:szCs w:val="24"/>
          <w:highlight w:val="none"/>
          <w:lang w:val="en-US"/>
        </w:rPr>
        <w:t xml:space="preserve"> </w:t>
      </w:r>
      <w:r>
        <w:rPr>
          <w:rFonts w:hint="eastAsia" w:ascii="仿宋_GB2312" w:hAnsi="仿宋_GB2312" w:eastAsia="仿宋_GB2312" w:cs="仿宋_GB2312"/>
          <w:bCs/>
          <w:color w:val="auto"/>
          <w:sz w:val="24"/>
          <w:szCs w:val="24"/>
          <w:highlight w:val="none"/>
          <w:lang w:val="en-US" w:eastAsia="zh-CN"/>
        </w:rPr>
        <w:t>项目团队</w:t>
      </w:r>
    </w:p>
    <w:p w14:paraId="60C1E98C">
      <w:pPr>
        <w:spacing w:line="360" w:lineRule="auto"/>
        <w:ind w:firstLine="480" w:firstLineChars="20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w:t>
      </w:r>
      <w:r>
        <w:rPr>
          <w:rFonts w:ascii="仿宋_GB2312" w:hAnsi="仿宋_GB2312" w:eastAsia="仿宋_GB2312" w:cs="仿宋_GB2312"/>
          <w:bCs/>
          <w:color w:val="auto"/>
          <w:sz w:val="24"/>
          <w:szCs w:val="24"/>
          <w:highlight w:val="none"/>
          <w:lang w:val="en-US"/>
        </w:rPr>
        <w:t>9</w:t>
      </w:r>
      <w:r>
        <w:rPr>
          <w:rFonts w:hint="eastAsia" w:ascii="仿宋_GB2312" w:hAnsi="仿宋_GB2312" w:eastAsia="仿宋_GB2312" w:cs="仿宋_GB2312"/>
          <w:bCs/>
          <w:color w:val="auto"/>
          <w:sz w:val="24"/>
          <w:szCs w:val="24"/>
          <w:highlight w:val="none"/>
          <w:lang w:val="en-US" w:eastAsia="zh-CN"/>
        </w:rPr>
        <w:t>--</w:t>
      </w:r>
      <w:r>
        <w:rPr>
          <w:rFonts w:ascii="仿宋_GB2312" w:hAnsi="仿宋_GB2312" w:eastAsia="仿宋_GB2312" w:cs="仿宋_GB2312"/>
          <w:bCs/>
          <w:color w:val="auto"/>
          <w:sz w:val="24"/>
          <w:szCs w:val="24"/>
          <w:highlight w:val="none"/>
          <w:lang w:val="en-US"/>
        </w:rPr>
        <w:t xml:space="preserve"> </w:t>
      </w:r>
      <w:r>
        <w:rPr>
          <w:rFonts w:ascii="仿宋_GB2312" w:hAnsi="仿宋_GB2312" w:eastAsia="仿宋_GB2312" w:cs="仿宋_GB2312"/>
          <w:bCs/>
          <w:color w:val="auto"/>
          <w:sz w:val="24"/>
          <w:szCs w:val="24"/>
          <w:highlight w:val="none"/>
        </w:rPr>
        <w:t>应急响应方案</w:t>
      </w:r>
    </w:p>
    <w:p w14:paraId="57A032EB">
      <w:pPr>
        <w:spacing w:line="360" w:lineRule="auto"/>
        <w:ind w:firstLine="480" w:firstLineChars="20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w:t>
      </w:r>
      <w:r>
        <w:rPr>
          <w:rFonts w:hint="eastAsia" w:ascii="仿宋_GB2312" w:hAnsi="仿宋_GB2312" w:eastAsia="仿宋_GB2312" w:cs="仿宋_GB2312"/>
          <w:bCs/>
          <w:color w:val="auto"/>
          <w:sz w:val="24"/>
          <w:szCs w:val="24"/>
          <w:highlight w:val="none"/>
        </w:rPr>
        <w:t>1</w:t>
      </w:r>
      <w:r>
        <w:rPr>
          <w:rFonts w:hint="default" w:ascii="仿宋_GB2312" w:hAnsi="仿宋_GB2312" w:eastAsia="仿宋_GB2312" w:cs="仿宋_GB2312"/>
          <w:bCs/>
          <w:color w:val="auto"/>
          <w:sz w:val="24"/>
          <w:szCs w:val="24"/>
          <w:highlight w:val="none"/>
          <w:lang w:val="en-US"/>
        </w:rPr>
        <w:t>0</w:t>
      </w:r>
      <w:r>
        <w:rPr>
          <w:rFonts w:hint="eastAsia" w:ascii="仿宋_GB2312" w:hAnsi="仿宋_GB2312" w:eastAsia="仿宋_GB2312" w:cs="仿宋_GB2312"/>
          <w:bCs/>
          <w:color w:val="auto"/>
          <w:sz w:val="24"/>
          <w:szCs w:val="24"/>
          <w:highlight w:val="none"/>
          <w:lang w:val="en-US" w:eastAsia="zh-CN"/>
        </w:rPr>
        <w:t>--</w:t>
      </w:r>
      <w:r>
        <w:rPr>
          <w:rFonts w:hint="eastAsia" w:ascii="仿宋_GB2312" w:hAnsi="仿宋_GB2312" w:eastAsia="仿宋_GB2312" w:cs="仿宋_GB2312"/>
          <w:bCs/>
          <w:color w:val="auto"/>
          <w:sz w:val="24"/>
          <w:szCs w:val="24"/>
          <w:highlight w:val="none"/>
        </w:rPr>
        <w:t>商务条款偏离表</w:t>
      </w:r>
    </w:p>
    <w:p w14:paraId="02C3DCDB">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附件1</w:t>
      </w:r>
      <w:r>
        <w:rPr>
          <w:rFonts w:hint="default" w:ascii="仿宋_GB2312" w:hAnsi="仿宋_GB2312" w:eastAsia="仿宋_GB2312" w:cs="仿宋_GB2312"/>
          <w:bCs/>
          <w:color w:val="auto"/>
          <w:sz w:val="24"/>
          <w:szCs w:val="24"/>
          <w:highlight w:val="none"/>
          <w:lang w:val="en-US"/>
        </w:rPr>
        <w:t>1</w:t>
      </w:r>
      <w:r>
        <w:rPr>
          <w:rFonts w:hint="eastAsia" w:ascii="仿宋_GB2312" w:hAnsi="仿宋_GB2312" w:eastAsia="仿宋_GB2312" w:cs="仿宋_GB2312"/>
          <w:bCs/>
          <w:color w:val="auto"/>
          <w:sz w:val="24"/>
          <w:szCs w:val="24"/>
          <w:highlight w:val="none"/>
          <w:lang w:val="en-US" w:eastAsia="zh-CN"/>
        </w:rPr>
        <w:t>--</w:t>
      </w:r>
      <w:r>
        <w:rPr>
          <w:rFonts w:hint="eastAsia" w:ascii="仿宋_GB2312" w:hAnsi="仿宋_GB2312" w:eastAsia="仿宋_GB2312" w:cs="仿宋_GB2312"/>
          <w:bCs/>
          <w:color w:val="auto"/>
          <w:sz w:val="24"/>
          <w:szCs w:val="24"/>
          <w:highlight w:val="none"/>
        </w:rPr>
        <w:t>技术条款或服务条款偏离表</w:t>
      </w:r>
    </w:p>
    <w:p w14:paraId="3B43D207">
      <w:pPr>
        <w:spacing w:line="360" w:lineRule="auto"/>
        <w:ind w:firstLine="480" w:firstLineChars="200"/>
        <w:rPr>
          <w:rFonts w:hint="eastAsia" w:ascii="仿宋_GB2312" w:hAnsi="仿宋_GB2312" w:eastAsia="仿宋_GB2312" w:cs="仿宋_GB2312"/>
          <w:bCs/>
          <w:color w:val="auto"/>
          <w:sz w:val="24"/>
          <w:szCs w:val="24"/>
          <w:highlight w:val="none"/>
        </w:rPr>
      </w:pPr>
      <w:r>
        <w:rPr>
          <w:rFonts w:ascii="仿宋_GB2312" w:hAnsi="仿宋_GB2312" w:eastAsia="仿宋_GB2312" w:cs="仿宋_GB2312"/>
          <w:bCs/>
          <w:color w:val="auto"/>
          <w:sz w:val="24"/>
          <w:szCs w:val="24"/>
          <w:highlight w:val="none"/>
        </w:rPr>
        <w:t>附件</w:t>
      </w:r>
      <w:r>
        <w:rPr>
          <w:rFonts w:hint="eastAsia" w:ascii="仿宋_GB2312" w:hAnsi="仿宋_GB2312" w:eastAsia="仿宋_GB2312" w:cs="仿宋_GB2312"/>
          <w:bCs/>
          <w:color w:val="auto"/>
          <w:sz w:val="24"/>
          <w:szCs w:val="24"/>
          <w:highlight w:val="none"/>
        </w:rPr>
        <w:t>1</w:t>
      </w:r>
      <w:r>
        <w:rPr>
          <w:rFonts w:hint="default" w:ascii="仿宋_GB2312" w:hAnsi="仿宋_GB2312" w:eastAsia="仿宋_GB2312" w:cs="仿宋_GB2312"/>
          <w:bCs/>
          <w:color w:val="auto"/>
          <w:sz w:val="24"/>
          <w:szCs w:val="24"/>
          <w:highlight w:val="none"/>
          <w:lang w:val="en-US"/>
        </w:rPr>
        <w:t>2</w:t>
      </w:r>
      <w:r>
        <w:rPr>
          <w:rFonts w:hint="eastAsia" w:ascii="仿宋_GB2312" w:hAnsi="仿宋_GB2312" w:eastAsia="仿宋_GB2312" w:cs="仿宋_GB2312"/>
          <w:bCs/>
          <w:color w:val="auto"/>
          <w:sz w:val="24"/>
          <w:szCs w:val="24"/>
          <w:highlight w:val="none"/>
          <w:lang w:val="en-US" w:eastAsia="zh-CN"/>
        </w:rPr>
        <w:t>--</w:t>
      </w:r>
      <w:r>
        <w:rPr>
          <w:rFonts w:ascii="仿宋_GB2312" w:hAnsi="仿宋_GB2312" w:eastAsia="仿宋_GB2312" w:cs="仿宋_GB2312"/>
          <w:bCs/>
          <w:color w:val="auto"/>
          <w:sz w:val="24"/>
          <w:szCs w:val="24"/>
          <w:highlight w:val="none"/>
        </w:rPr>
        <w:t>投标人应提供的其他文件</w:t>
      </w:r>
    </w:p>
    <w:p w14:paraId="61FA6C3E">
      <w:pPr>
        <w:ind w:firstLine="480" w:firstLineChars="200"/>
        <w:rPr>
          <w:rFonts w:hint="eastAsia" w:ascii="仿宋_GB2312" w:hAnsi="仿宋_GB2312" w:eastAsia="仿宋_GB2312" w:cs="仿宋_GB2312"/>
          <w:bCs/>
          <w:color w:val="auto"/>
          <w:sz w:val="24"/>
          <w:szCs w:val="24"/>
          <w:highlight w:val="none"/>
        </w:rPr>
      </w:pPr>
    </w:p>
    <w:p w14:paraId="0AFB81B1">
      <w:pPr>
        <w:spacing w:line="560" w:lineRule="exact"/>
        <w:ind w:firstLine="640" w:firstLineChars="200"/>
        <w:rPr>
          <w:rFonts w:hint="eastAsia" w:ascii="仿宋_GB2312" w:hAnsi="仿宋_GB2312" w:eastAsia="仿宋_GB2312" w:cs="仿宋_GB2312"/>
          <w:bCs/>
          <w:color w:val="auto"/>
          <w:sz w:val="32"/>
          <w:szCs w:val="32"/>
          <w:highlight w:val="none"/>
        </w:rPr>
      </w:pPr>
    </w:p>
    <w:p w14:paraId="170DBB75">
      <w:pPr>
        <w:spacing w:line="560" w:lineRule="exact"/>
        <w:ind w:firstLine="640" w:firstLineChars="200"/>
        <w:rPr>
          <w:rFonts w:hint="eastAsia" w:ascii="仿宋_GB2312" w:hAnsi="仿宋_GB2312" w:eastAsia="仿宋_GB2312" w:cs="仿宋_GB2312"/>
          <w:bCs/>
          <w:color w:val="auto"/>
          <w:sz w:val="32"/>
          <w:szCs w:val="32"/>
          <w:highlight w:val="none"/>
        </w:rPr>
      </w:pPr>
    </w:p>
    <w:p w14:paraId="3FD5CC0B">
      <w:pPr>
        <w:spacing w:line="560" w:lineRule="exact"/>
        <w:ind w:firstLine="640" w:firstLineChars="200"/>
        <w:rPr>
          <w:rFonts w:hint="eastAsia" w:ascii="仿宋_GB2312" w:hAnsi="仿宋_GB2312" w:eastAsia="仿宋_GB2312" w:cs="仿宋_GB2312"/>
          <w:bCs/>
          <w:color w:val="auto"/>
          <w:sz w:val="32"/>
          <w:szCs w:val="32"/>
          <w:highlight w:val="none"/>
        </w:rPr>
      </w:pPr>
    </w:p>
    <w:p w14:paraId="54380FAD">
      <w:pPr>
        <w:spacing w:line="560" w:lineRule="exact"/>
        <w:ind w:firstLine="640" w:firstLineChars="200"/>
        <w:rPr>
          <w:rFonts w:hint="eastAsia" w:ascii="仿宋_GB2312" w:hAnsi="仿宋_GB2312" w:eastAsia="仿宋_GB2312" w:cs="仿宋_GB2312"/>
          <w:bCs/>
          <w:color w:val="auto"/>
          <w:sz w:val="32"/>
          <w:szCs w:val="32"/>
          <w:highlight w:val="none"/>
        </w:rPr>
      </w:pPr>
    </w:p>
    <w:p w14:paraId="4404A90F">
      <w:pPr>
        <w:jc w:val="left"/>
        <w:outlineLvl w:val="1"/>
        <w:rPr>
          <w:rFonts w:hint="eastAsia" w:ascii="仿宋" w:hAnsi="仿宋" w:eastAsia="仿宋" w:cs="仿宋"/>
          <w:b/>
          <w:color w:val="auto"/>
          <w:sz w:val="24"/>
          <w:szCs w:val="28"/>
          <w:highlight w:val="none"/>
        </w:rPr>
      </w:pPr>
      <w:r>
        <w:rPr>
          <w:rFonts w:hint="default" w:ascii="宋体" w:hAnsi="宋体" w:cs="宋体"/>
          <w:b/>
          <w:color w:val="auto"/>
          <w:sz w:val="24"/>
          <w:szCs w:val="24"/>
          <w:highlight w:val="none"/>
          <w:lang w:val="en-US"/>
        </w:rPr>
        <w:br w:type="page"/>
      </w:r>
      <w:r>
        <w:rPr>
          <w:rFonts w:hint="eastAsia" w:ascii="仿宋" w:hAnsi="仿宋" w:eastAsia="仿宋" w:cs="仿宋"/>
          <w:b/>
          <w:color w:val="auto"/>
          <w:sz w:val="24"/>
          <w:szCs w:val="28"/>
          <w:highlight w:val="none"/>
        </w:rPr>
        <w:t>附件1：投标书</w:t>
      </w:r>
    </w:p>
    <w:p w14:paraId="41161FF7">
      <w:pPr>
        <w:spacing w:line="480" w:lineRule="exact"/>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投标书</w:t>
      </w:r>
    </w:p>
    <w:p w14:paraId="66969192">
      <w:pPr>
        <w:spacing w:line="480" w:lineRule="exact"/>
        <w:jc w:val="center"/>
        <w:rPr>
          <w:rFonts w:hint="eastAsia" w:ascii="仿宋" w:hAnsi="仿宋" w:eastAsia="仿宋" w:cs="仿宋"/>
          <w:b/>
          <w:bCs/>
          <w:color w:val="auto"/>
          <w:sz w:val="24"/>
          <w:szCs w:val="24"/>
          <w:highlight w:val="none"/>
        </w:rPr>
      </w:pPr>
    </w:p>
    <w:p w14:paraId="0ED0A23B">
      <w:pPr>
        <w:tabs>
          <w:tab w:val="left" w:pos="5580"/>
        </w:tabs>
        <w:spacing w:line="480" w:lineRule="exact"/>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w:t>
      </w:r>
      <w:r>
        <w:rPr>
          <w:rFonts w:hint="eastAsia" w:ascii="仿宋" w:hAnsi="仿宋" w:eastAsia="仿宋" w:cs="仿宋"/>
          <w:color w:val="auto"/>
          <w:sz w:val="22"/>
          <w:szCs w:val="22"/>
          <w:highlight w:val="none"/>
          <w:u w:val="single"/>
        </w:rPr>
        <w:t>（招标采购代理单位）</w:t>
      </w:r>
    </w:p>
    <w:p w14:paraId="0D613F23">
      <w:pPr>
        <w:pStyle w:val="11"/>
        <w:tabs>
          <w:tab w:val="left" w:pos="5580"/>
        </w:tabs>
        <w:spacing w:line="480" w:lineRule="exact"/>
        <w:ind w:firstLine="440" w:firstLineChars="200"/>
        <w:rPr>
          <w:rFonts w:hint="eastAsia" w:ascii="仿宋" w:hAnsi="仿宋" w:eastAsia="仿宋" w:cs="仿宋"/>
          <w:color w:val="auto"/>
          <w:sz w:val="22"/>
          <w:szCs w:val="22"/>
          <w:highlight w:val="none"/>
        </w:rPr>
      </w:pPr>
    </w:p>
    <w:p w14:paraId="652794C9">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根据贵方为</w:t>
      </w:r>
      <w:r>
        <w:rPr>
          <w:rFonts w:hint="eastAsia" w:ascii="仿宋" w:hAnsi="仿宋" w:eastAsia="仿宋" w:cs="仿宋"/>
          <w:color w:val="auto"/>
          <w:sz w:val="22"/>
          <w:szCs w:val="22"/>
          <w:highlight w:val="none"/>
          <w:u w:val="single"/>
        </w:rPr>
        <w:t>(招标项目名称、项目编号)</w:t>
      </w:r>
      <w:r>
        <w:rPr>
          <w:rFonts w:hint="eastAsia" w:ascii="仿宋" w:hAnsi="仿宋" w:eastAsia="仿宋" w:cs="仿宋"/>
          <w:color w:val="auto"/>
          <w:sz w:val="22"/>
          <w:szCs w:val="22"/>
          <w:highlight w:val="none"/>
        </w:rPr>
        <w:t>招标采购项目要求，签字代表(</w:t>
      </w:r>
      <w:r>
        <w:rPr>
          <w:rFonts w:hint="eastAsia" w:ascii="仿宋" w:hAnsi="仿宋" w:eastAsia="仿宋" w:cs="仿宋"/>
          <w:color w:val="auto"/>
          <w:sz w:val="22"/>
          <w:szCs w:val="22"/>
          <w:highlight w:val="none"/>
          <w:u w:val="single"/>
        </w:rPr>
        <w:t>姓名、职务</w:t>
      </w:r>
      <w:r>
        <w:rPr>
          <w:rFonts w:hint="eastAsia" w:ascii="仿宋" w:hAnsi="仿宋" w:eastAsia="仿宋" w:cs="仿宋"/>
          <w:color w:val="auto"/>
          <w:sz w:val="22"/>
          <w:szCs w:val="22"/>
          <w:highlight w:val="none"/>
        </w:rPr>
        <w:t>)经正式授权并代表投标人（</w:t>
      </w:r>
      <w:r>
        <w:rPr>
          <w:rFonts w:hint="eastAsia" w:ascii="仿宋" w:hAnsi="仿宋" w:eastAsia="仿宋" w:cs="仿宋"/>
          <w:color w:val="auto"/>
          <w:sz w:val="22"/>
          <w:szCs w:val="22"/>
          <w:highlight w:val="none"/>
          <w:u w:val="single"/>
        </w:rPr>
        <w:t>投标人名称、地址</w:t>
      </w:r>
      <w:r>
        <w:rPr>
          <w:rFonts w:hint="eastAsia" w:ascii="仿宋" w:hAnsi="仿宋" w:eastAsia="仿宋" w:cs="仿宋"/>
          <w:color w:val="auto"/>
          <w:sz w:val="22"/>
          <w:szCs w:val="22"/>
          <w:highlight w:val="none"/>
        </w:rPr>
        <w:t>）提交下述文件正本一份及副本</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份及电子文件</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份（不退）。</w:t>
      </w:r>
    </w:p>
    <w:p w14:paraId="5917245D">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1.投标一览表</w:t>
      </w:r>
    </w:p>
    <w:p w14:paraId="5AD9BC18">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2.资格证明文件</w:t>
      </w:r>
    </w:p>
    <w:p w14:paraId="6A0AEEB4">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3.遵守国家有关法律、法规和规章，按招标文件中投标人须知和服务需求提供的有关文件</w:t>
      </w:r>
    </w:p>
    <w:p w14:paraId="6EB98A7E">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4.以</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形式出具的投标保证金，金额为人民币</w:t>
      </w:r>
      <w:r>
        <w:rPr>
          <w:rFonts w:hint="eastAsia" w:ascii="仿宋" w:hAnsi="仿宋" w:eastAsia="仿宋" w:cs="仿宋"/>
          <w:color w:val="auto"/>
          <w:sz w:val="22"/>
          <w:szCs w:val="22"/>
          <w:highlight w:val="none"/>
          <w:u w:val="single"/>
        </w:rPr>
        <w:t>　　　　　　</w:t>
      </w:r>
      <w:r>
        <w:rPr>
          <w:rFonts w:hint="eastAsia" w:ascii="仿宋" w:hAnsi="仿宋" w:eastAsia="仿宋" w:cs="仿宋"/>
          <w:color w:val="auto"/>
          <w:sz w:val="22"/>
          <w:szCs w:val="22"/>
          <w:highlight w:val="none"/>
        </w:rPr>
        <w:t>元。</w:t>
      </w:r>
    </w:p>
    <w:p w14:paraId="3F8E10FA">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据此，签字代表宣布同意如下：</w:t>
      </w:r>
    </w:p>
    <w:p w14:paraId="70F3E65F">
      <w:pPr>
        <w:pStyle w:val="11"/>
        <w:tabs>
          <w:tab w:val="left" w:pos="720"/>
          <w:tab w:val="left" w:pos="900"/>
        </w:tabs>
        <w:spacing w:line="48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（1）投标一览表中规定的应提交的</w:t>
      </w:r>
      <w:r>
        <w:rPr>
          <w:rFonts w:hint="eastAsia" w:ascii="仿宋" w:hAnsi="仿宋" w:eastAsia="仿宋" w:cs="仿宋"/>
          <w:color w:val="auto"/>
          <w:sz w:val="22"/>
          <w:szCs w:val="22"/>
          <w:highlight w:val="none"/>
          <w:u w:val="single"/>
        </w:rPr>
        <w:t>（项目名称）</w:t>
      </w:r>
      <w:r>
        <w:rPr>
          <w:rFonts w:hint="eastAsia" w:ascii="仿宋" w:hAnsi="仿宋" w:eastAsia="仿宋" w:cs="仿宋"/>
          <w:color w:val="auto"/>
          <w:sz w:val="22"/>
          <w:szCs w:val="22"/>
          <w:highlight w:val="none"/>
        </w:rPr>
        <w:t>报价为人民币</w:t>
      </w:r>
      <w:r>
        <w:rPr>
          <w:rFonts w:hint="eastAsia" w:ascii="仿宋" w:hAnsi="仿宋" w:eastAsia="仿宋" w:cs="仿宋"/>
          <w:color w:val="auto"/>
          <w:sz w:val="22"/>
          <w:szCs w:val="22"/>
          <w:highlight w:val="none"/>
          <w:u w:val="single"/>
        </w:rPr>
        <w:t xml:space="preserve">  </w:t>
      </w:r>
      <w:r>
        <w:rPr>
          <w:rFonts w:hint="eastAsia" w:ascii="仿宋" w:hAnsi="仿宋" w:eastAsia="仿宋" w:cs="仿宋"/>
          <w:bCs/>
          <w:color w:val="auto"/>
          <w:sz w:val="22"/>
          <w:szCs w:val="22"/>
          <w:highlight w:val="none"/>
        </w:rPr>
        <w:t>（元）</w:t>
      </w:r>
      <w:r>
        <w:rPr>
          <w:rFonts w:hint="eastAsia" w:ascii="仿宋" w:hAnsi="仿宋" w:eastAsia="仿宋" w:cs="仿宋"/>
          <w:color w:val="auto"/>
          <w:sz w:val="22"/>
          <w:szCs w:val="22"/>
          <w:highlight w:val="none"/>
        </w:rPr>
        <w:t>。</w:t>
      </w:r>
    </w:p>
    <w:p w14:paraId="43CE5284">
      <w:pPr>
        <w:pStyle w:val="11"/>
        <w:tabs>
          <w:tab w:val="left" w:pos="5580"/>
        </w:tabs>
        <w:spacing w:line="480" w:lineRule="exact"/>
        <w:ind w:firstLine="440" w:firstLineChars="20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（2）投标人将按招标文件的规定履行合同责任和义务。</w:t>
      </w:r>
    </w:p>
    <w:p w14:paraId="3C77DC92">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（3）投标人已详细审查全部招标文件，包括第</w:t>
      </w:r>
      <w:r>
        <w:rPr>
          <w:rFonts w:hint="eastAsia" w:ascii="仿宋" w:hAnsi="仿宋" w:eastAsia="仿宋" w:cs="仿宋"/>
          <w:color w:val="auto"/>
          <w:sz w:val="22"/>
          <w:szCs w:val="22"/>
          <w:highlight w:val="none"/>
          <w:u w:val="single"/>
        </w:rPr>
        <w:t xml:space="preserve">        号（项目编号、补充通知）（如果有的话</w:t>
      </w:r>
      <w:r>
        <w:rPr>
          <w:rFonts w:hint="eastAsia" w:ascii="仿宋" w:hAnsi="仿宋" w:eastAsia="仿宋" w:cs="仿宋"/>
          <w:color w:val="auto"/>
          <w:sz w:val="22"/>
          <w:szCs w:val="22"/>
          <w:highlight w:val="none"/>
        </w:rPr>
        <w:t>）。我们完全理解并同意放弃对这方面有不明及误解的权力。</w:t>
      </w:r>
    </w:p>
    <w:p w14:paraId="7CFAF4B7">
      <w:pPr>
        <w:pStyle w:val="11"/>
        <w:tabs>
          <w:tab w:val="left" w:pos="5580"/>
        </w:tabs>
        <w:spacing w:line="480" w:lineRule="exact"/>
        <w:ind w:firstLine="440" w:firstLineChars="20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（4）本投标有效期为自开标日起</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个日历日。</w:t>
      </w:r>
    </w:p>
    <w:p w14:paraId="6F36EE38">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（5）在规定的开标时间后，投标人在投标有效期内撤回投标，其投标保证金将不予退还。</w:t>
      </w:r>
    </w:p>
    <w:p w14:paraId="6EF0049B">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（6）我方承诺，与招标采购单位聘请的为此项目提供咨询服务的公司及任何附属机构均无关联，我方不是招标采购单位的附属机构。</w:t>
      </w:r>
    </w:p>
    <w:p w14:paraId="5DE60BE0">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（7）根据招标文件规定，我司承诺，我司充分知悉并理解招标文件所列全部内容。在北京首新航空地面服务有限公司的 </w:t>
      </w:r>
      <w:r>
        <w:rPr>
          <w:rFonts w:hint="eastAsia" w:ascii="仿宋" w:hAnsi="仿宋" w:eastAsia="仿宋" w:cs="仿宋"/>
          <w:color w:val="auto"/>
          <w:sz w:val="22"/>
          <w:szCs w:val="22"/>
          <w:highlight w:val="none"/>
          <w:u w:val="single"/>
        </w:rPr>
        <w:t xml:space="preserve">   （项目名称）   </w:t>
      </w:r>
      <w:r>
        <w:rPr>
          <w:rFonts w:hint="eastAsia" w:ascii="仿宋" w:hAnsi="仿宋" w:eastAsia="仿宋" w:cs="仿宋"/>
          <w:color w:val="auto"/>
          <w:sz w:val="22"/>
          <w:szCs w:val="22"/>
          <w:highlight w:val="none"/>
        </w:rPr>
        <w:t>项目的招标过程中，无论我司是否中标，我司在此均无条件地同意接受招标文件的约束。</w:t>
      </w:r>
    </w:p>
    <w:p w14:paraId="09E280CB">
      <w:pPr>
        <w:pStyle w:val="11"/>
        <w:tabs>
          <w:tab w:val="left" w:pos="5580"/>
        </w:tabs>
        <w:spacing w:line="48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（8）我方同意提供按照贵方可能要求的与其投标有关的一切数据或资料，完全理解贵方不一定接受最低价的投标。</w:t>
      </w:r>
    </w:p>
    <w:p w14:paraId="06B2F774">
      <w:pPr>
        <w:pStyle w:val="11"/>
        <w:tabs>
          <w:tab w:val="left" w:pos="5580"/>
        </w:tabs>
        <w:spacing w:line="480" w:lineRule="exact"/>
        <w:ind w:firstLine="440" w:firstLineChars="20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5．与本投标有关的一切正式往来信函请寄：</w:t>
      </w:r>
    </w:p>
    <w:p w14:paraId="0BFB03F9">
      <w:pPr>
        <w:pStyle w:val="11"/>
        <w:tabs>
          <w:tab w:val="left" w:pos="5580"/>
        </w:tabs>
        <w:spacing w:line="480" w:lineRule="exact"/>
        <w:ind w:left="420"/>
        <w:rPr>
          <w:rFonts w:hint="eastAsia" w:ascii="仿宋" w:hAnsi="仿宋" w:eastAsia="仿宋" w:cs="仿宋"/>
          <w:color w:val="auto"/>
          <w:sz w:val="22"/>
          <w:szCs w:val="22"/>
          <w:highlight w:val="none"/>
        </w:rPr>
      </w:pPr>
    </w:p>
    <w:p w14:paraId="7F80FE02">
      <w:pPr>
        <w:pStyle w:val="11"/>
        <w:tabs>
          <w:tab w:val="left" w:pos="5580"/>
        </w:tabs>
        <w:spacing w:line="480" w:lineRule="exact"/>
        <w:ind w:left="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  传真-------------------------</w:t>
      </w:r>
    </w:p>
    <w:p w14:paraId="29C31C40">
      <w:pPr>
        <w:pStyle w:val="11"/>
        <w:tabs>
          <w:tab w:val="left" w:pos="5580"/>
        </w:tabs>
        <w:spacing w:line="480" w:lineRule="exact"/>
        <w:ind w:left="42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电话-------------------------  电子函件---------------------</w:t>
      </w:r>
    </w:p>
    <w:p w14:paraId="01B81DB0">
      <w:pPr>
        <w:pStyle w:val="11"/>
        <w:tabs>
          <w:tab w:val="left" w:pos="5580"/>
        </w:tabs>
        <w:spacing w:line="480" w:lineRule="exact"/>
        <w:ind w:left="420"/>
        <w:rPr>
          <w:rFonts w:hint="eastAsia" w:ascii="仿宋" w:hAnsi="仿宋" w:eastAsia="仿宋" w:cs="仿宋"/>
          <w:color w:val="auto"/>
          <w:sz w:val="22"/>
          <w:szCs w:val="22"/>
          <w:highlight w:val="none"/>
        </w:rPr>
      </w:pPr>
    </w:p>
    <w:p w14:paraId="3DB34703">
      <w:pPr>
        <w:pStyle w:val="11"/>
        <w:tabs>
          <w:tab w:val="left" w:pos="5580"/>
        </w:tabs>
        <w:spacing w:line="480" w:lineRule="exact"/>
        <w:ind w:left="420" w:firstLine="2862" w:firstLineChars="130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投标人授权代表签字-----------------</w:t>
      </w:r>
    </w:p>
    <w:p w14:paraId="308D0A41">
      <w:pPr>
        <w:pStyle w:val="11"/>
        <w:tabs>
          <w:tab w:val="left" w:pos="5580"/>
        </w:tabs>
        <w:spacing w:line="480" w:lineRule="exact"/>
        <w:ind w:left="420" w:firstLine="2862" w:firstLineChars="130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投标人名称（全称）-----------------</w:t>
      </w:r>
    </w:p>
    <w:p w14:paraId="47295D52">
      <w:pPr>
        <w:pStyle w:val="11"/>
        <w:tabs>
          <w:tab w:val="left" w:pos="5580"/>
        </w:tabs>
        <w:spacing w:line="480" w:lineRule="exact"/>
        <w:ind w:left="420" w:firstLine="2862" w:firstLineChars="130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投标人开户银行（全称）</w:t>
      </w:r>
      <w:r>
        <w:rPr>
          <w:rFonts w:hint="eastAsia" w:ascii="仿宋" w:hAnsi="仿宋" w:eastAsia="仿宋" w:cs="仿宋"/>
          <w:color w:val="auto"/>
          <w:sz w:val="22"/>
          <w:szCs w:val="22"/>
          <w:highlight w:val="none"/>
          <w:u w:val="single"/>
        </w:rPr>
        <w:t xml:space="preserve">　　　　　　 </w:t>
      </w:r>
    </w:p>
    <w:p w14:paraId="25EA034A">
      <w:pPr>
        <w:pStyle w:val="11"/>
        <w:tabs>
          <w:tab w:val="left" w:pos="5580"/>
        </w:tabs>
        <w:spacing w:line="480" w:lineRule="exact"/>
        <w:ind w:left="420" w:firstLine="2862" w:firstLineChars="130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投标人银行帐号</w:t>
      </w:r>
      <w:r>
        <w:rPr>
          <w:rFonts w:hint="eastAsia" w:ascii="仿宋" w:hAnsi="仿宋" w:eastAsia="仿宋" w:cs="仿宋"/>
          <w:color w:val="auto"/>
          <w:sz w:val="22"/>
          <w:szCs w:val="22"/>
          <w:highlight w:val="none"/>
          <w:u w:val="single"/>
        </w:rPr>
        <w:t>　　　　　　　　　　</w:t>
      </w:r>
    </w:p>
    <w:p w14:paraId="6D3197CE">
      <w:pPr>
        <w:pStyle w:val="11"/>
        <w:tabs>
          <w:tab w:val="left" w:pos="5580"/>
        </w:tabs>
        <w:spacing w:line="480" w:lineRule="exact"/>
        <w:ind w:left="420" w:firstLine="2862" w:firstLineChars="1301"/>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投标人公章-------------------------</w:t>
      </w:r>
    </w:p>
    <w:p w14:paraId="03EEB154">
      <w:pPr>
        <w:pStyle w:val="11"/>
        <w:tabs>
          <w:tab w:val="left" w:pos="5580"/>
        </w:tabs>
        <w:spacing w:line="480" w:lineRule="exact"/>
        <w:ind w:left="420" w:firstLine="2862" w:firstLineChars="1301"/>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日期-------------------------------</w:t>
      </w:r>
    </w:p>
    <w:p w14:paraId="6105DD68">
      <w:pPr>
        <w:pStyle w:val="11"/>
        <w:tabs>
          <w:tab w:val="left" w:pos="5580"/>
        </w:tabs>
        <w:spacing w:line="440" w:lineRule="exact"/>
        <w:ind w:left="420"/>
        <w:rPr>
          <w:rFonts w:hint="eastAsia" w:ascii="仿宋" w:hAnsi="仿宋" w:eastAsia="仿宋" w:cs="仿宋"/>
          <w:color w:val="auto"/>
          <w:sz w:val="24"/>
          <w:highlight w:val="none"/>
          <w:u w:val="single"/>
        </w:rPr>
        <w:sectPr>
          <w:pgSz w:w="11907" w:h="16840"/>
          <w:pgMar w:top="1440" w:right="1797" w:bottom="1440" w:left="1797" w:header="851" w:footer="851" w:gutter="0"/>
          <w:cols w:space="720" w:num="1"/>
          <w:titlePg/>
          <w:docGrid w:linePitch="462" w:charSpace="0"/>
        </w:sectPr>
      </w:pPr>
      <w:r>
        <w:rPr>
          <w:rFonts w:hint="eastAsia" w:ascii="仿宋" w:hAnsi="仿宋" w:eastAsia="仿宋" w:cs="仿宋"/>
          <w:color w:val="auto"/>
          <w:spacing w:val="20"/>
          <w:sz w:val="24"/>
          <w:szCs w:val="24"/>
          <w:highlight w:val="none"/>
        </w:rPr>
        <w:t xml:space="preserve">             </w:t>
      </w:r>
    </w:p>
    <w:p w14:paraId="5DD449D0">
      <w:pPr>
        <w:jc w:val="left"/>
        <w:outlineLvl w:val="1"/>
        <w:rPr>
          <w:rFonts w:hint="eastAsia" w:ascii="仿宋" w:hAnsi="仿宋" w:eastAsia="仿宋" w:cs="仿宋"/>
          <w:b/>
          <w:color w:val="auto"/>
          <w:sz w:val="24"/>
          <w:szCs w:val="28"/>
          <w:highlight w:val="none"/>
        </w:rPr>
      </w:pPr>
      <w:bookmarkStart w:id="224" w:name="_Hlt520356243"/>
      <w:bookmarkEnd w:id="224"/>
      <w:bookmarkStart w:id="225" w:name="_Hlt520355938"/>
      <w:bookmarkEnd w:id="225"/>
      <w:r>
        <w:rPr>
          <w:rFonts w:hint="eastAsia" w:ascii="仿宋" w:hAnsi="仿宋" w:eastAsia="仿宋" w:cs="仿宋"/>
          <w:b/>
          <w:color w:val="auto"/>
          <w:sz w:val="24"/>
          <w:szCs w:val="28"/>
          <w:highlight w:val="none"/>
        </w:rPr>
        <w:t>附件2：投标一览表</w:t>
      </w:r>
    </w:p>
    <w:p w14:paraId="4548FBCE">
      <w:pPr>
        <w:spacing w:before="120" w:line="360" w:lineRule="auto"/>
        <w:jc w:val="center"/>
        <w:rPr>
          <w:rFonts w:hint="eastAsia" w:ascii="仿宋" w:hAnsi="仿宋" w:eastAsia="仿宋" w:cs="仿宋"/>
          <w:b/>
          <w:bCs w:val="0"/>
          <w:color w:val="auto"/>
          <w:sz w:val="22"/>
          <w:highlight w:val="none"/>
        </w:rPr>
      </w:pPr>
      <w:r>
        <w:rPr>
          <w:rFonts w:hint="eastAsia" w:ascii="仿宋" w:hAnsi="仿宋" w:eastAsia="仿宋" w:cs="仿宋"/>
          <w:b/>
          <w:bCs w:val="0"/>
          <w:color w:val="auto"/>
          <w:sz w:val="24"/>
          <w:szCs w:val="28"/>
          <w:highlight w:val="none"/>
        </w:rPr>
        <w:t>投标一览表</w:t>
      </w:r>
    </w:p>
    <w:p w14:paraId="01C23318">
      <w:pPr>
        <w:spacing w:before="120" w:line="360" w:lineRule="auto"/>
        <w:jc w:val="center"/>
        <w:rPr>
          <w:rFonts w:hint="eastAsia" w:ascii="仿宋" w:hAnsi="仿宋" w:eastAsia="仿宋" w:cs="仿宋"/>
          <w:b/>
          <w:bCs w:val="0"/>
          <w:color w:val="auto"/>
          <w:sz w:val="24"/>
          <w:highlight w:val="none"/>
        </w:rPr>
      </w:pPr>
    </w:p>
    <w:p w14:paraId="520F7A3D">
      <w:pPr>
        <w:pStyle w:val="7"/>
        <w:tabs>
          <w:tab w:val="left" w:pos="5580"/>
        </w:tabs>
        <w:rPr>
          <w:rFonts w:hint="eastAsia" w:ascii="仿宋" w:hAnsi="仿宋" w:eastAsia="仿宋" w:cs="仿宋"/>
          <w:color w:val="auto"/>
          <w:highlight w:val="none"/>
        </w:rPr>
      </w:pPr>
    </w:p>
    <w:p w14:paraId="1BA5EDA9">
      <w:pPr>
        <w:tabs>
          <w:tab w:val="left" w:pos="1800"/>
          <w:tab w:val="left" w:pos="5580"/>
        </w:tabs>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招标编号：                             项目名称：　</w:t>
      </w:r>
    </w:p>
    <w:tbl>
      <w:tblPr>
        <w:tblStyle w:val="14"/>
        <w:tblW w:w="82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70"/>
        <w:gridCol w:w="1527"/>
        <w:gridCol w:w="1376"/>
        <w:gridCol w:w="1095"/>
        <w:gridCol w:w="1037"/>
        <w:gridCol w:w="995"/>
        <w:gridCol w:w="775"/>
      </w:tblGrid>
      <w:tr w14:paraId="383EE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178" w:hRule="atLeast"/>
        </w:trPr>
        <w:tc>
          <w:tcPr>
            <w:tcW w:w="1470" w:type="dxa"/>
            <w:vAlign w:val="center"/>
          </w:tcPr>
          <w:p w14:paraId="2B60931A">
            <w:pPr>
              <w:tabs>
                <w:tab w:val="left" w:pos="5580"/>
              </w:tabs>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投标人名称</w:t>
            </w:r>
          </w:p>
        </w:tc>
        <w:tc>
          <w:tcPr>
            <w:tcW w:w="1527" w:type="dxa"/>
            <w:vAlign w:val="center"/>
          </w:tcPr>
          <w:p w14:paraId="018B2328">
            <w:pPr>
              <w:tabs>
                <w:tab w:val="left" w:pos="5580"/>
              </w:tabs>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投标总价</w:t>
            </w:r>
          </w:p>
          <w:p w14:paraId="392FE9C8">
            <w:pPr>
              <w:tabs>
                <w:tab w:val="left" w:pos="5580"/>
              </w:tabs>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（元）</w:t>
            </w:r>
          </w:p>
        </w:tc>
        <w:tc>
          <w:tcPr>
            <w:tcW w:w="1376" w:type="dxa"/>
            <w:vAlign w:val="center"/>
          </w:tcPr>
          <w:p w14:paraId="121DC90C">
            <w:pPr>
              <w:tabs>
                <w:tab w:val="left" w:pos="5580"/>
              </w:tabs>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投标保证金</w:t>
            </w:r>
          </w:p>
        </w:tc>
        <w:tc>
          <w:tcPr>
            <w:tcW w:w="1095" w:type="dxa"/>
            <w:vAlign w:val="center"/>
          </w:tcPr>
          <w:p w14:paraId="69661574">
            <w:pPr>
              <w:tabs>
                <w:tab w:val="left" w:pos="5580"/>
              </w:tabs>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服务期限</w:t>
            </w:r>
          </w:p>
        </w:tc>
        <w:tc>
          <w:tcPr>
            <w:tcW w:w="1037" w:type="dxa"/>
            <w:vAlign w:val="center"/>
          </w:tcPr>
          <w:p w14:paraId="434855A7">
            <w:pPr>
              <w:tabs>
                <w:tab w:val="left" w:pos="5580"/>
              </w:tabs>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服务地点</w:t>
            </w:r>
          </w:p>
        </w:tc>
        <w:tc>
          <w:tcPr>
            <w:tcW w:w="995" w:type="dxa"/>
            <w:vAlign w:val="center"/>
          </w:tcPr>
          <w:p w14:paraId="098A7609">
            <w:pPr>
              <w:tabs>
                <w:tab w:val="left" w:pos="5580"/>
              </w:tabs>
              <w:jc w:val="center"/>
              <w:rPr>
                <w:rFonts w:hint="eastAsia" w:ascii="仿宋" w:hAnsi="仿宋" w:eastAsia="仿宋" w:cs="仿宋"/>
                <w:bCs/>
                <w:color w:val="auto"/>
                <w:sz w:val="21"/>
                <w:szCs w:val="21"/>
                <w:highlight w:val="none"/>
                <w:lang w:val="en-US" w:eastAsia="zh-CN"/>
              </w:rPr>
            </w:pPr>
            <w:r>
              <w:rPr>
                <w:rFonts w:hint="eastAsia" w:ascii="仿宋" w:hAnsi="仿宋" w:eastAsia="仿宋" w:cs="仿宋"/>
                <w:color w:val="auto"/>
                <w:sz w:val="21"/>
                <w:szCs w:val="21"/>
                <w:highlight w:val="none"/>
              </w:rPr>
              <w:t>软件开发增值服务</w:t>
            </w:r>
            <w:r>
              <w:rPr>
                <w:rFonts w:hint="eastAsia" w:ascii="仿宋" w:hAnsi="仿宋" w:eastAsia="仿宋" w:cs="仿宋"/>
                <w:color w:val="auto"/>
                <w:sz w:val="21"/>
                <w:szCs w:val="21"/>
                <w:highlight w:val="none"/>
                <w:lang w:val="en-US" w:eastAsia="zh-CN"/>
              </w:rPr>
              <w:t>费</w:t>
            </w:r>
          </w:p>
        </w:tc>
        <w:tc>
          <w:tcPr>
            <w:tcW w:w="775" w:type="dxa"/>
            <w:vAlign w:val="center"/>
          </w:tcPr>
          <w:p w14:paraId="2EF17A6C">
            <w:pPr>
              <w:tabs>
                <w:tab w:val="left" w:pos="5580"/>
              </w:tabs>
              <w:jc w:val="center"/>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备注</w:t>
            </w:r>
          </w:p>
        </w:tc>
      </w:tr>
      <w:tr w14:paraId="7BB667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1193" w:hRule="atLeast"/>
        </w:trPr>
        <w:tc>
          <w:tcPr>
            <w:tcW w:w="1470" w:type="dxa"/>
            <w:vAlign w:val="center"/>
          </w:tcPr>
          <w:p w14:paraId="405FB4E8">
            <w:pPr>
              <w:tabs>
                <w:tab w:val="left" w:pos="5580"/>
              </w:tabs>
              <w:jc w:val="center"/>
              <w:rPr>
                <w:rFonts w:hint="eastAsia" w:ascii="仿宋" w:hAnsi="仿宋" w:eastAsia="仿宋" w:cs="仿宋"/>
                <w:color w:val="auto"/>
                <w:sz w:val="24"/>
                <w:highlight w:val="none"/>
              </w:rPr>
            </w:pPr>
          </w:p>
        </w:tc>
        <w:tc>
          <w:tcPr>
            <w:tcW w:w="1527" w:type="dxa"/>
            <w:vAlign w:val="center"/>
          </w:tcPr>
          <w:p w14:paraId="2A0F5C77">
            <w:pPr>
              <w:tabs>
                <w:tab w:val="left" w:pos="5580"/>
              </w:tabs>
              <w:jc w:val="center"/>
              <w:rPr>
                <w:rFonts w:hint="eastAsia" w:ascii="仿宋" w:hAnsi="仿宋" w:eastAsia="仿宋" w:cs="仿宋"/>
                <w:color w:val="auto"/>
                <w:sz w:val="24"/>
                <w:highlight w:val="none"/>
              </w:rPr>
            </w:pPr>
          </w:p>
        </w:tc>
        <w:tc>
          <w:tcPr>
            <w:tcW w:w="1376" w:type="dxa"/>
            <w:vAlign w:val="center"/>
          </w:tcPr>
          <w:p w14:paraId="51830F75">
            <w:pPr>
              <w:tabs>
                <w:tab w:val="left" w:pos="5580"/>
              </w:tabs>
              <w:jc w:val="center"/>
              <w:rPr>
                <w:rFonts w:hint="eastAsia" w:ascii="仿宋" w:hAnsi="仿宋" w:eastAsia="仿宋" w:cs="仿宋"/>
                <w:color w:val="auto"/>
                <w:sz w:val="24"/>
                <w:highlight w:val="none"/>
              </w:rPr>
            </w:pPr>
          </w:p>
        </w:tc>
        <w:tc>
          <w:tcPr>
            <w:tcW w:w="1095" w:type="dxa"/>
            <w:vAlign w:val="center"/>
          </w:tcPr>
          <w:p w14:paraId="6AFF6552">
            <w:pPr>
              <w:tabs>
                <w:tab w:val="left" w:pos="5580"/>
              </w:tabs>
              <w:jc w:val="center"/>
              <w:rPr>
                <w:rFonts w:hint="eastAsia" w:ascii="仿宋" w:hAnsi="仿宋" w:eastAsia="仿宋" w:cs="仿宋"/>
                <w:color w:val="auto"/>
                <w:sz w:val="24"/>
                <w:highlight w:val="none"/>
              </w:rPr>
            </w:pPr>
          </w:p>
        </w:tc>
        <w:tc>
          <w:tcPr>
            <w:tcW w:w="1037" w:type="dxa"/>
            <w:vAlign w:val="center"/>
          </w:tcPr>
          <w:p w14:paraId="65EBE89E">
            <w:pPr>
              <w:tabs>
                <w:tab w:val="left" w:pos="5580"/>
              </w:tabs>
              <w:jc w:val="center"/>
              <w:rPr>
                <w:rFonts w:hint="eastAsia" w:ascii="仿宋" w:hAnsi="仿宋" w:eastAsia="仿宋" w:cs="仿宋"/>
                <w:color w:val="auto"/>
                <w:sz w:val="24"/>
                <w:highlight w:val="none"/>
              </w:rPr>
            </w:pPr>
          </w:p>
        </w:tc>
        <w:tc>
          <w:tcPr>
            <w:tcW w:w="995" w:type="dxa"/>
            <w:vAlign w:val="center"/>
          </w:tcPr>
          <w:p w14:paraId="03251C70">
            <w:pPr>
              <w:tabs>
                <w:tab w:val="left" w:pos="5580"/>
              </w:tabs>
              <w:jc w:val="center"/>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u w:val="none"/>
                <w:lang w:val="en-US" w:eastAsia="zh-CN"/>
              </w:rPr>
              <w:t>元/</w:t>
            </w:r>
            <w:r>
              <w:rPr>
                <w:rFonts w:hint="eastAsia" w:ascii="仿宋" w:hAnsi="仿宋" w:eastAsia="仿宋" w:cs="仿宋"/>
                <w:color w:val="auto"/>
                <w:sz w:val="21"/>
                <w:szCs w:val="21"/>
                <w:highlight w:val="none"/>
              </w:rPr>
              <w:t>人日</w:t>
            </w:r>
          </w:p>
        </w:tc>
        <w:tc>
          <w:tcPr>
            <w:tcW w:w="775" w:type="dxa"/>
            <w:vAlign w:val="center"/>
          </w:tcPr>
          <w:p w14:paraId="494053D3">
            <w:pPr>
              <w:tabs>
                <w:tab w:val="left" w:pos="5580"/>
              </w:tabs>
              <w:jc w:val="center"/>
              <w:rPr>
                <w:rFonts w:hint="eastAsia" w:ascii="仿宋" w:hAnsi="仿宋" w:eastAsia="仿宋" w:cs="仿宋"/>
                <w:color w:val="auto"/>
                <w:sz w:val="24"/>
                <w:highlight w:val="none"/>
              </w:rPr>
            </w:pPr>
          </w:p>
        </w:tc>
      </w:tr>
    </w:tbl>
    <w:p w14:paraId="4562B92E">
      <w:pPr>
        <w:pStyle w:val="11"/>
        <w:tabs>
          <w:tab w:val="left" w:pos="5580"/>
        </w:tabs>
        <w:spacing w:before="120"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注:1、此表应按投标人须知的规定密封标记并单独递交。</w:t>
      </w:r>
    </w:p>
    <w:p w14:paraId="44594280">
      <w:pPr>
        <w:pStyle w:val="11"/>
        <w:numPr>
          <w:ilvl w:val="0"/>
          <w:numId w:val="22"/>
        </w:numPr>
        <w:tabs>
          <w:tab w:val="left" w:pos="5580"/>
        </w:tabs>
        <w:spacing w:before="120" w:line="360" w:lineRule="auto"/>
        <w:ind w:firstLine="362" w:firstLineChars="151"/>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投标人报价均为含税价,为一年报价。</w:t>
      </w:r>
    </w:p>
    <w:p w14:paraId="1AA9445B">
      <w:pPr>
        <w:pStyle w:val="11"/>
        <w:numPr>
          <w:ilvl w:val="0"/>
          <w:numId w:val="22"/>
        </w:numPr>
        <w:tabs>
          <w:tab w:val="left" w:pos="5580"/>
        </w:tabs>
        <w:spacing w:before="120" w:line="360" w:lineRule="auto"/>
        <w:ind w:firstLine="362" w:firstLineChars="151"/>
        <w:outlineLvl w:val="9"/>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投标人须对</w:t>
      </w:r>
      <w:r>
        <w:rPr>
          <w:rFonts w:hint="eastAsia" w:ascii="仿宋" w:hAnsi="仿宋" w:eastAsia="仿宋" w:cs="仿宋"/>
          <w:color w:val="auto"/>
          <w:kern w:val="0"/>
          <w:sz w:val="24"/>
          <w:szCs w:val="24"/>
          <w:highlight w:val="none"/>
        </w:rPr>
        <w:t>软件开发增值服务超过600人日部分</w:t>
      </w:r>
      <w:r>
        <w:rPr>
          <w:rFonts w:hint="eastAsia" w:ascii="仿宋" w:hAnsi="仿宋" w:eastAsia="仿宋" w:cs="仿宋"/>
          <w:color w:val="auto"/>
          <w:kern w:val="0"/>
          <w:sz w:val="24"/>
          <w:szCs w:val="24"/>
          <w:highlight w:val="none"/>
          <w:lang w:val="en-US" w:eastAsia="zh-CN"/>
        </w:rPr>
        <w:t>进行报价</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且不得</w:t>
      </w:r>
      <w:r>
        <w:rPr>
          <w:rFonts w:hint="eastAsia" w:ascii="仿宋" w:hAnsi="仿宋" w:eastAsia="仿宋" w:cs="仿宋"/>
          <w:color w:val="auto"/>
          <w:kern w:val="0"/>
          <w:sz w:val="24"/>
          <w:szCs w:val="24"/>
          <w:highlight w:val="none"/>
        </w:rPr>
        <w:t>高于2000元/</w:t>
      </w:r>
      <w:r>
        <w:rPr>
          <w:rFonts w:hint="eastAsia" w:ascii="仿宋" w:hAnsi="仿宋" w:eastAsia="仿宋" w:cs="仿宋"/>
          <w:color w:val="auto"/>
          <w:kern w:val="0"/>
          <w:sz w:val="24"/>
          <w:szCs w:val="24"/>
          <w:highlight w:val="none"/>
          <w:lang w:val="en-US" w:eastAsia="zh-CN"/>
        </w:rPr>
        <w:t>人日，否则按无效投标处理。该报价不参与本次评审，如合同执行中发生，按本报价进行据实结算。</w:t>
      </w:r>
    </w:p>
    <w:p w14:paraId="2BB0E13E">
      <w:pPr>
        <w:pStyle w:val="11"/>
        <w:tabs>
          <w:tab w:val="left" w:pos="5580"/>
        </w:tabs>
        <w:spacing w:before="120" w:line="22" w:lineRule="atLeast"/>
        <w:rPr>
          <w:rFonts w:hint="eastAsia" w:ascii="仿宋" w:hAnsi="仿宋" w:eastAsia="仿宋" w:cs="仿宋"/>
          <w:color w:val="auto"/>
          <w:sz w:val="24"/>
          <w:highlight w:val="none"/>
          <w:u w:val="single"/>
        </w:rPr>
      </w:pPr>
    </w:p>
    <w:p w14:paraId="09E56C61">
      <w:pPr>
        <w:pStyle w:val="11"/>
        <w:tabs>
          <w:tab w:val="left" w:pos="5580"/>
        </w:tabs>
        <w:spacing w:before="120" w:line="440" w:lineRule="exact"/>
        <w:ind w:firstLine="3542" w:firstLineChars="1476"/>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投标人名称（盖章）：</w:t>
      </w:r>
      <w:r>
        <w:rPr>
          <w:rFonts w:hint="eastAsia" w:ascii="仿宋" w:hAnsi="仿宋" w:eastAsia="仿宋" w:cs="仿宋"/>
          <w:color w:val="auto"/>
          <w:sz w:val="24"/>
          <w:highlight w:val="none"/>
          <w:u w:val="single"/>
        </w:rPr>
        <w:t xml:space="preserve">                    </w:t>
      </w:r>
    </w:p>
    <w:p w14:paraId="1CD29A99">
      <w:pPr>
        <w:pStyle w:val="11"/>
        <w:tabs>
          <w:tab w:val="left" w:pos="5820"/>
        </w:tabs>
        <w:spacing w:before="120" w:line="440" w:lineRule="exact"/>
        <w:ind w:firstLine="3542" w:firstLineChars="14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投标人法定代表人或其授权代表签字:</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2EA9632D">
      <w:pPr>
        <w:pStyle w:val="11"/>
        <w:tabs>
          <w:tab w:val="left" w:pos="5580"/>
        </w:tabs>
        <w:spacing w:before="120" w:line="440" w:lineRule="exact"/>
        <w:ind w:firstLine="3542" w:firstLineChars="1476"/>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41D0A92F">
      <w:pPr>
        <w:pStyle w:val="11"/>
        <w:tabs>
          <w:tab w:val="left" w:pos="5580"/>
        </w:tabs>
        <w:spacing w:before="120" w:line="22" w:lineRule="atLeast"/>
        <w:rPr>
          <w:rFonts w:hint="eastAsia" w:ascii="仿宋" w:hAnsi="仿宋" w:eastAsia="仿宋" w:cs="仿宋"/>
          <w:color w:val="auto"/>
          <w:sz w:val="24"/>
          <w:highlight w:val="none"/>
          <w:u w:val="single"/>
        </w:rPr>
      </w:pPr>
    </w:p>
    <w:p w14:paraId="7F37A054">
      <w:pPr>
        <w:tabs>
          <w:tab w:val="left" w:pos="1117"/>
        </w:tabs>
        <w:rPr>
          <w:rFonts w:hint="eastAsia" w:ascii="仿宋" w:hAnsi="仿宋" w:eastAsia="仿宋" w:cs="仿宋"/>
          <w:bCs/>
          <w:color w:val="auto"/>
          <w:sz w:val="32"/>
          <w:szCs w:val="32"/>
          <w:highlight w:val="none"/>
        </w:rPr>
      </w:pPr>
    </w:p>
    <w:p w14:paraId="6A823564">
      <w:pPr>
        <w:tabs>
          <w:tab w:val="left" w:pos="1117"/>
        </w:tabs>
        <w:rPr>
          <w:rFonts w:hint="eastAsia" w:ascii="仿宋" w:hAnsi="仿宋" w:eastAsia="仿宋" w:cs="仿宋"/>
          <w:bCs/>
          <w:color w:val="auto"/>
          <w:sz w:val="32"/>
          <w:szCs w:val="32"/>
          <w:highlight w:val="none"/>
        </w:rPr>
      </w:pPr>
    </w:p>
    <w:p w14:paraId="026F9540">
      <w:pPr>
        <w:tabs>
          <w:tab w:val="left" w:pos="1117"/>
        </w:tabs>
        <w:rPr>
          <w:rFonts w:hint="eastAsia" w:ascii="仿宋" w:hAnsi="仿宋" w:eastAsia="仿宋" w:cs="仿宋"/>
          <w:bCs/>
          <w:color w:val="auto"/>
          <w:sz w:val="32"/>
          <w:szCs w:val="32"/>
          <w:highlight w:val="none"/>
        </w:rPr>
      </w:pPr>
    </w:p>
    <w:p w14:paraId="0264A15F">
      <w:pPr>
        <w:tabs>
          <w:tab w:val="left" w:pos="1117"/>
        </w:tabs>
        <w:rPr>
          <w:rFonts w:hint="eastAsia" w:ascii="仿宋" w:hAnsi="仿宋" w:eastAsia="仿宋" w:cs="仿宋"/>
          <w:bCs/>
          <w:color w:val="auto"/>
          <w:sz w:val="32"/>
          <w:szCs w:val="32"/>
          <w:highlight w:val="none"/>
        </w:rPr>
      </w:pPr>
    </w:p>
    <w:p w14:paraId="7E3CD823">
      <w:pPr>
        <w:tabs>
          <w:tab w:val="left" w:pos="1117"/>
        </w:tabs>
        <w:rPr>
          <w:rFonts w:hint="eastAsia" w:ascii="仿宋" w:hAnsi="仿宋" w:eastAsia="仿宋" w:cs="仿宋"/>
          <w:bCs/>
          <w:color w:val="auto"/>
          <w:sz w:val="32"/>
          <w:szCs w:val="32"/>
          <w:highlight w:val="none"/>
        </w:rPr>
      </w:pPr>
    </w:p>
    <w:p w14:paraId="64A049B4">
      <w:pPr>
        <w:tabs>
          <w:tab w:val="left" w:pos="1117"/>
        </w:tabs>
        <w:rPr>
          <w:rFonts w:hint="eastAsia" w:ascii="仿宋" w:hAnsi="仿宋" w:eastAsia="仿宋" w:cs="仿宋"/>
          <w:bCs/>
          <w:color w:val="auto"/>
          <w:sz w:val="32"/>
          <w:szCs w:val="32"/>
          <w:highlight w:val="none"/>
        </w:rPr>
      </w:pPr>
    </w:p>
    <w:p w14:paraId="71595D9B">
      <w:pPr>
        <w:rPr>
          <w:rFonts w:hint="eastAsia" w:ascii="仿宋" w:hAnsi="仿宋" w:eastAsia="仿宋" w:cs="仿宋"/>
          <w:b/>
          <w:bCs w:val="0"/>
          <w:color w:val="auto"/>
          <w:sz w:val="24"/>
          <w:szCs w:val="28"/>
          <w:highlight w:val="none"/>
        </w:rPr>
      </w:pPr>
      <w:r>
        <w:rPr>
          <w:rFonts w:hint="eastAsia" w:ascii="仿宋" w:hAnsi="仿宋" w:eastAsia="仿宋" w:cs="仿宋"/>
          <w:b/>
          <w:bCs w:val="0"/>
          <w:color w:val="auto"/>
          <w:sz w:val="24"/>
          <w:szCs w:val="28"/>
          <w:highlight w:val="none"/>
        </w:rPr>
        <w:br w:type="page"/>
      </w:r>
    </w:p>
    <w:p w14:paraId="4DDB51A3">
      <w:pPr>
        <w:pStyle w:val="13"/>
        <w:spacing w:after="0" w:line="360" w:lineRule="auto"/>
        <w:ind w:left="0" w:leftChars="0" w:firstLine="0" w:firstLineChars="0"/>
        <w:outlineLvl w:val="1"/>
        <w:rPr>
          <w:rFonts w:hint="eastAsia" w:ascii="仿宋" w:hAnsi="仿宋" w:eastAsia="仿宋" w:cs="仿宋"/>
          <w:b/>
          <w:bCs w:val="0"/>
          <w:color w:val="auto"/>
          <w:sz w:val="24"/>
          <w:szCs w:val="28"/>
          <w:highlight w:val="none"/>
        </w:rPr>
      </w:pPr>
      <w:r>
        <w:rPr>
          <w:rFonts w:hint="eastAsia" w:ascii="仿宋" w:hAnsi="仿宋" w:eastAsia="仿宋" w:cs="仿宋"/>
          <w:b/>
          <w:bCs w:val="0"/>
          <w:color w:val="auto"/>
          <w:sz w:val="24"/>
          <w:szCs w:val="28"/>
          <w:highlight w:val="none"/>
        </w:rPr>
        <w:t>附件3：资格证明文件</w:t>
      </w:r>
    </w:p>
    <w:p w14:paraId="23BF0E84">
      <w:pPr>
        <w:pStyle w:val="13"/>
        <w:spacing w:after="0"/>
        <w:ind w:left="0" w:leftChars="0" w:firstLine="0" w:firstLineChars="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附件3.1：法人营业执照</w:t>
      </w:r>
    </w:p>
    <w:p w14:paraId="6F11D7D4">
      <w:pPr>
        <w:pStyle w:val="13"/>
        <w:spacing w:after="0"/>
        <w:ind w:left="0" w:leftChars="0" w:firstLine="0" w:firstLineChars="0"/>
        <w:rPr>
          <w:rFonts w:hint="eastAsia" w:ascii="仿宋" w:hAnsi="仿宋" w:eastAsia="仿宋" w:cs="仿宋"/>
          <w:b/>
          <w:bCs/>
          <w:color w:val="auto"/>
          <w:sz w:val="24"/>
          <w:szCs w:val="24"/>
          <w:highlight w:val="none"/>
        </w:rPr>
      </w:pPr>
    </w:p>
    <w:p w14:paraId="27E1115F">
      <w:pPr>
        <w:pStyle w:val="13"/>
        <w:spacing w:after="0"/>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法人营业执照</w:t>
      </w:r>
    </w:p>
    <w:p w14:paraId="42099BA7">
      <w:pPr>
        <w:pStyle w:val="11"/>
        <w:tabs>
          <w:tab w:val="left" w:pos="5580"/>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（复印件加盖投标人公章）</w:t>
      </w:r>
    </w:p>
    <w:p w14:paraId="78340A81">
      <w:pPr>
        <w:rPr>
          <w:rFonts w:hint="eastAsia" w:ascii="仿宋" w:hAnsi="仿宋" w:eastAsia="仿宋" w:cs="仿宋"/>
          <w:color w:val="auto"/>
          <w:sz w:val="24"/>
          <w:szCs w:val="24"/>
          <w:highlight w:val="none"/>
        </w:rPr>
      </w:pPr>
    </w:p>
    <w:p w14:paraId="724E5A40">
      <w:pPr>
        <w:rPr>
          <w:rFonts w:hint="eastAsia" w:ascii="仿宋" w:hAnsi="仿宋" w:eastAsia="仿宋" w:cs="仿宋"/>
          <w:color w:val="auto"/>
          <w:sz w:val="24"/>
          <w:szCs w:val="24"/>
          <w:highlight w:val="none"/>
        </w:rPr>
      </w:pPr>
    </w:p>
    <w:p w14:paraId="15391269">
      <w:pPr>
        <w:pStyle w:val="13"/>
        <w:ind w:left="0" w:leftChars="0" w:firstLine="0" w:firstLineChars="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附件3-2：法定代表人授权书</w:t>
      </w:r>
    </w:p>
    <w:p w14:paraId="11AD720F">
      <w:pPr>
        <w:pStyle w:val="11"/>
        <w:spacing w:line="440" w:lineRule="exact"/>
        <w:jc w:val="center"/>
        <w:rPr>
          <w:rFonts w:hint="eastAsia" w:ascii="仿宋" w:hAnsi="仿宋" w:eastAsia="仿宋" w:cs="仿宋"/>
          <w:color w:val="auto"/>
          <w:sz w:val="24"/>
          <w:szCs w:val="24"/>
          <w:highlight w:val="none"/>
        </w:rPr>
      </w:pPr>
    </w:p>
    <w:p w14:paraId="57E93859">
      <w:pPr>
        <w:pStyle w:val="11"/>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法定代表人授权书</w:t>
      </w:r>
    </w:p>
    <w:p w14:paraId="7A266C2B">
      <w:pPr>
        <w:pStyle w:val="11"/>
        <w:tabs>
          <w:tab w:val="left" w:pos="5580"/>
        </w:tabs>
        <w:spacing w:line="440" w:lineRule="exact"/>
        <w:rPr>
          <w:rFonts w:hint="eastAsia" w:ascii="仿宋" w:hAnsi="仿宋" w:eastAsia="仿宋" w:cs="仿宋"/>
          <w:color w:val="auto"/>
          <w:sz w:val="24"/>
          <w:szCs w:val="24"/>
          <w:highlight w:val="none"/>
        </w:rPr>
      </w:pPr>
    </w:p>
    <w:p w14:paraId="1AB5E243">
      <w:pPr>
        <w:pStyle w:val="11"/>
        <w:tabs>
          <w:tab w:val="left" w:pos="5580"/>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本授权书声明：注册于中华人民共和国的（</w:t>
      </w:r>
      <w:r>
        <w:rPr>
          <w:rFonts w:hint="eastAsia" w:ascii="仿宋" w:hAnsi="仿宋" w:eastAsia="仿宋" w:cs="仿宋"/>
          <w:color w:val="auto"/>
          <w:sz w:val="24"/>
          <w:szCs w:val="24"/>
          <w:highlight w:val="none"/>
          <w:u w:val="single"/>
        </w:rPr>
        <w:t>投标公司名称</w:t>
      </w:r>
      <w:r>
        <w:rPr>
          <w:rFonts w:hint="eastAsia" w:ascii="仿宋" w:hAnsi="仿宋" w:eastAsia="仿宋" w:cs="仿宋"/>
          <w:color w:val="auto"/>
          <w:sz w:val="24"/>
          <w:szCs w:val="24"/>
          <w:highlight w:val="none"/>
        </w:rPr>
        <w:t>）的在下面签字的法定代表人（</w:t>
      </w:r>
      <w:r>
        <w:rPr>
          <w:rFonts w:hint="eastAsia" w:ascii="仿宋" w:hAnsi="仿宋" w:eastAsia="仿宋" w:cs="仿宋"/>
          <w:color w:val="auto"/>
          <w:sz w:val="24"/>
          <w:szCs w:val="24"/>
          <w:highlight w:val="none"/>
          <w:u w:val="single"/>
        </w:rPr>
        <w:t>法人代表姓名、职务</w:t>
      </w:r>
      <w:r>
        <w:rPr>
          <w:rFonts w:hint="eastAsia" w:ascii="仿宋" w:hAnsi="仿宋" w:eastAsia="仿宋" w:cs="仿宋"/>
          <w:color w:val="auto"/>
          <w:sz w:val="24"/>
          <w:szCs w:val="24"/>
          <w:highlight w:val="none"/>
        </w:rPr>
        <w:t>）代表本公司授权（</w:t>
      </w:r>
      <w:r>
        <w:rPr>
          <w:rFonts w:hint="eastAsia" w:ascii="仿宋" w:hAnsi="仿宋" w:eastAsia="仿宋" w:cs="仿宋"/>
          <w:color w:val="auto"/>
          <w:sz w:val="24"/>
          <w:szCs w:val="24"/>
          <w:highlight w:val="none"/>
          <w:u w:val="single"/>
        </w:rPr>
        <w:t>投标公司名称</w:t>
      </w:r>
      <w:r>
        <w:rPr>
          <w:rFonts w:hint="eastAsia" w:ascii="仿宋" w:hAnsi="仿宋" w:eastAsia="仿宋" w:cs="仿宋"/>
          <w:color w:val="auto"/>
          <w:sz w:val="24"/>
          <w:szCs w:val="24"/>
          <w:highlight w:val="none"/>
        </w:rPr>
        <w:t>）的在下面签字的（</w:t>
      </w:r>
      <w:r>
        <w:rPr>
          <w:rFonts w:hint="eastAsia" w:ascii="仿宋" w:hAnsi="仿宋" w:eastAsia="仿宋" w:cs="仿宋"/>
          <w:color w:val="auto"/>
          <w:sz w:val="24"/>
          <w:szCs w:val="24"/>
          <w:highlight w:val="none"/>
          <w:u w:val="single"/>
        </w:rPr>
        <w:t>被授权人的姓名、职务</w:t>
      </w:r>
      <w:r>
        <w:rPr>
          <w:rFonts w:hint="eastAsia" w:ascii="仿宋" w:hAnsi="仿宋" w:eastAsia="仿宋" w:cs="仿宋"/>
          <w:color w:val="auto"/>
          <w:sz w:val="24"/>
          <w:szCs w:val="24"/>
          <w:highlight w:val="none"/>
        </w:rPr>
        <w:t>）为本公司的合法代理人，就</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项目，项目编号为</w:t>
      </w:r>
      <w:r>
        <w:rPr>
          <w:rFonts w:hint="eastAsia" w:ascii="仿宋" w:hAnsi="仿宋" w:eastAsia="仿宋" w:cs="仿宋"/>
          <w:color w:val="auto"/>
          <w:sz w:val="24"/>
          <w:szCs w:val="24"/>
          <w:highlight w:val="none"/>
          <w:u w:val="single"/>
        </w:rPr>
        <w:t>（项目编号）</w:t>
      </w:r>
      <w:r>
        <w:rPr>
          <w:rFonts w:hint="eastAsia" w:ascii="仿宋" w:hAnsi="仿宋" w:eastAsia="仿宋" w:cs="仿宋"/>
          <w:color w:val="auto"/>
          <w:sz w:val="24"/>
          <w:szCs w:val="24"/>
          <w:highlight w:val="none"/>
        </w:rPr>
        <w:t>的投标，以本公司名义处理一切与之有关的事务。</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w:t>
      </w:r>
    </w:p>
    <w:p w14:paraId="3BD0C4A4">
      <w:pPr>
        <w:pStyle w:val="11"/>
        <w:tabs>
          <w:tab w:val="left" w:pos="5580"/>
        </w:tabs>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本授权书于__________年_____月______日签字生效,特此声明。</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法定代表人签字或盖章________________________</w:t>
      </w:r>
    </w:p>
    <w:p w14:paraId="4F2EC8DE">
      <w:pPr>
        <w:pStyle w:val="11"/>
        <w:tabs>
          <w:tab w:val="left" w:pos="5580"/>
        </w:tabs>
        <w:spacing w:line="440" w:lineRule="exact"/>
        <w:ind w:firstLine="2880" w:firstLineChars="1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被授权人签字_________________________________</w:t>
      </w:r>
    </w:p>
    <w:p w14:paraId="5E9CEE3D">
      <w:pPr>
        <w:pStyle w:val="11"/>
        <w:tabs>
          <w:tab w:val="left" w:pos="5580"/>
        </w:tabs>
        <w:spacing w:line="440" w:lineRule="exact"/>
        <w:ind w:firstLine="2856" w:firstLineChars="119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01842D3A">
      <w:pPr>
        <w:pStyle w:val="11"/>
        <w:tabs>
          <w:tab w:val="left" w:pos="5580"/>
        </w:tabs>
        <w:spacing w:line="440" w:lineRule="exact"/>
        <w:ind w:firstLine="2880" w:firstLineChars="1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 司 盖  章</w:t>
      </w:r>
      <w:r>
        <w:rPr>
          <w:rFonts w:hint="eastAsia" w:ascii="仿宋" w:hAnsi="仿宋" w:eastAsia="仿宋" w:cs="仿宋"/>
          <w:color w:val="auto"/>
          <w:sz w:val="24"/>
          <w:szCs w:val="24"/>
          <w:highlight w:val="none"/>
          <w:u w:val="single"/>
        </w:rPr>
        <w:t xml:space="preserve">                                 </w:t>
      </w:r>
    </w:p>
    <w:p w14:paraId="1D062840">
      <w:pPr>
        <w:pStyle w:val="11"/>
        <w:tabs>
          <w:tab w:val="left" w:pos="5580"/>
        </w:tabs>
        <w:spacing w:line="440" w:lineRule="exact"/>
        <w:rPr>
          <w:rFonts w:hint="eastAsia" w:ascii="仿宋" w:hAnsi="仿宋" w:eastAsia="仿宋" w:cs="仿宋"/>
          <w:color w:val="auto"/>
          <w:sz w:val="24"/>
          <w:szCs w:val="24"/>
          <w:highlight w:val="none"/>
        </w:rPr>
      </w:pPr>
    </w:p>
    <w:p w14:paraId="4B0CE1D8">
      <w:pPr>
        <w:pStyle w:val="11"/>
        <w:tabs>
          <w:tab w:val="left" w:pos="5580"/>
        </w:tabs>
        <w:spacing w:line="440" w:lineRule="exact"/>
        <w:ind w:firstLine="2834" w:firstLineChars="1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w:t>
      </w:r>
    </w:p>
    <w:p w14:paraId="05BF938F">
      <w:pPr>
        <w:pStyle w:val="11"/>
        <w:tabs>
          <w:tab w:val="left" w:pos="5580"/>
        </w:tabs>
        <w:spacing w:line="440" w:lineRule="exact"/>
        <w:ind w:firstLine="2834" w:firstLineChars="1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被授权人姓名：_______________________________</w:t>
      </w:r>
    </w:p>
    <w:p w14:paraId="4D302028">
      <w:pPr>
        <w:pStyle w:val="11"/>
        <w:tabs>
          <w:tab w:val="left" w:pos="5580"/>
        </w:tabs>
        <w:spacing w:line="440" w:lineRule="exact"/>
        <w:ind w:firstLine="2834" w:firstLineChars="1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　　　　务：_______________________________</w:t>
      </w:r>
    </w:p>
    <w:p w14:paraId="1200F64E">
      <w:pPr>
        <w:pStyle w:val="11"/>
        <w:tabs>
          <w:tab w:val="left" w:pos="5580"/>
        </w:tabs>
        <w:spacing w:line="440" w:lineRule="exact"/>
        <w:ind w:firstLine="2834" w:firstLineChars="1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详细通讯地址：_______________________________</w:t>
      </w:r>
    </w:p>
    <w:p w14:paraId="23C7DB91">
      <w:pPr>
        <w:pStyle w:val="11"/>
        <w:tabs>
          <w:tab w:val="left" w:pos="5580"/>
        </w:tabs>
        <w:spacing w:line="440" w:lineRule="exact"/>
        <w:ind w:firstLine="2834" w:firstLineChars="1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 政  编 码：_______________________________</w:t>
      </w:r>
    </w:p>
    <w:p w14:paraId="54DBDDD8">
      <w:pPr>
        <w:pStyle w:val="11"/>
        <w:tabs>
          <w:tab w:val="left" w:pos="5580"/>
        </w:tabs>
        <w:spacing w:line="440" w:lineRule="exact"/>
        <w:ind w:firstLine="2834" w:firstLineChars="1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　　　　真：_______________________________</w:t>
      </w:r>
    </w:p>
    <w:p w14:paraId="6E77B602">
      <w:pPr>
        <w:pStyle w:val="11"/>
        <w:tabs>
          <w:tab w:val="left" w:pos="5580"/>
        </w:tabs>
        <w:spacing w:line="440" w:lineRule="exact"/>
        <w:ind w:left="1543" w:leftChars="735" w:firstLine="1320" w:firstLineChars="5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话：_______________________________</w:t>
      </w:r>
    </w:p>
    <w:p w14:paraId="13FDFF70">
      <w:pPr>
        <w:tabs>
          <w:tab w:val="left" w:pos="1117"/>
        </w:tabs>
        <w:rPr>
          <w:rFonts w:hint="eastAsia" w:ascii="仿宋" w:hAnsi="仿宋" w:eastAsia="仿宋" w:cs="仿宋"/>
          <w:bCs/>
          <w:color w:val="auto"/>
          <w:sz w:val="32"/>
          <w:szCs w:val="32"/>
          <w:highlight w:val="none"/>
        </w:rPr>
      </w:pPr>
    </w:p>
    <w:p w14:paraId="53B61D47">
      <w:pP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p>
    <w:p w14:paraId="2006BFA2">
      <w:pPr>
        <w:pStyle w:val="13"/>
        <w:ind w:left="0" w:leftChars="0" w:firstLine="0" w:firstLineChars="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附件3-3：投标人概况调查表(格式)</w:t>
      </w:r>
    </w:p>
    <w:p w14:paraId="4E41AB06">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投标人概况调查表</w:t>
      </w:r>
    </w:p>
    <w:tbl>
      <w:tblPr>
        <w:tblStyle w:val="14"/>
        <w:tblW w:w="4972" w:type="pct"/>
        <w:jc w:val="center"/>
        <w:tblLayout w:type="autofit"/>
        <w:tblCellMar>
          <w:top w:w="0" w:type="dxa"/>
          <w:left w:w="0" w:type="dxa"/>
          <w:bottom w:w="0" w:type="dxa"/>
          <w:right w:w="0" w:type="dxa"/>
        </w:tblCellMar>
      </w:tblPr>
      <w:tblGrid>
        <w:gridCol w:w="1545"/>
        <w:gridCol w:w="1700"/>
        <w:gridCol w:w="2221"/>
        <w:gridCol w:w="1754"/>
        <w:gridCol w:w="56"/>
        <w:gridCol w:w="1804"/>
      </w:tblGrid>
      <w:tr w14:paraId="6AD7C76B">
        <w:tblPrEx>
          <w:tblCellMar>
            <w:top w:w="0" w:type="dxa"/>
            <w:left w:w="0" w:type="dxa"/>
            <w:bottom w:w="0" w:type="dxa"/>
            <w:right w:w="0" w:type="dxa"/>
          </w:tblCellMar>
        </w:tblPrEx>
        <w:trPr>
          <w:cantSplit/>
          <w:trHeight w:val="367" w:hRule="atLeast"/>
          <w:jc w:val="center"/>
        </w:trPr>
        <w:tc>
          <w:tcPr>
            <w:tcW w:w="5000" w:type="pct"/>
            <w:gridSpan w:val="6"/>
            <w:tcBorders>
              <w:top w:val="single" w:color="auto" w:sz="12" w:space="0"/>
              <w:left w:val="single" w:color="auto" w:sz="12" w:space="0"/>
              <w:bottom w:val="single" w:color="auto" w:sz="4" w:space="0"/>
              <w:right w:val="single" w:color="auto" w:sz="12" w:space="0"/>
            </w:tcBorders>
            <w:tcMar>
              <w:top w:w="15" w:type="dxa"/>
              <w:left w:w="810" w:type="dxa"/>
              <w:bottom w:w="0" w:type="dxa"/>
              <w:right w:w="15" w:type="dxa"/>
            </w:tcMar>
            <w:vAlign w:val="center"/>
          </w:tcPr>
          <w:p w14:paraId="048ABDF5">
            <w:pPr>
              <w:ind w:left="-701" w:leftChars="-334" w:firstLine="209"/>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 标 人 总 体 情 况</w:t>
            </w:r>
          </w:p>
        </w:tc>
      </w:tr>
      <w:tr w14:paraId="35AFF8BB">
        <w:tblPrEx>
          <w:tblCellMar>
            <w:top w:w="0" w:type="dxa"/>
            <w:left w:w="0" w:type="dxa"/>
            <w:bottom w:w="0" w:type="dxa"/>
            <w:right w:w="0" w:type="dxa"/>
          </w:tblCellMar>
        </w:tblPrEx>
        <w:trPr>
          <w:trHeight w:val="366" w:hRule="atLeast"/>
          <w:jc w:val="center"/>
        </w:trPr>
        <w:tc>
          <w:tcPr>
            <w:tcW w:w="1787" w:type="pct"/>
            <w:gridSpan w:val="2"/>
            <w:tcBorders>
              <w:top w:val="single" w:color="auto" w:sz="4" w:space="0"/>
              <w:left w:val="single" w:color="auto" w:sz="12" w:space="0"/>
              <w:bottom w:val="single" w:color="auto" w:sz="4" w:space="0"/>
              <w:right w:val="single" w:color="auto" w:sz="4" w:space="0"/>
            </w:tcBorders>
            <w:tcMar>
              <w:top w:w="15" w:type="dxa"/>
              <w:left w:w="810" w:type="dxa"/>
              <w:bottom w:w="0" w:type="dxa"/>
              <w:right w:w="15" w:type="dxa"/>
            </w:tcMar>
            <w:vAlign w:val="center"/>
          </w:tcPr>
          <w:p w14:paraId="4E467FB9">
            <w:pPr>
              <w:ind w:left="-701" w:leftChars="-334" w:firstLine="209"/>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公司名称</w:t>
            </w:r>
          </w:p>
        </w:tc>
        <w:tc>
          <w:tcPr>
            <w:tcW w:w="3212" w:type="pct"/>
            <w:gridSpan w:val="4"/>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14:paraId="2CB04ACC">
            <w:pPr>
              <w:jc w:val="center"/>
              <w:rPr>
                <w:rFonts w:hint="eastAsia" w:ascii="仿宋" w:hAnsi="仿宋" w:eastAsia="仿宋" w:cs="仿宋"/>
                <w:bCs/>
                <w:color w:val="auto"/>
                <w:szCs w:val="21"/>
                <w:highlight w:val="none"/>
              </w:rPr>
            </w:pPr>
          </w:p>
        </w:tc>
      </w:tr>
      <w:tr w14:paraId="2685B74F">
        <w:tblPrEx>
          <w:tblCellMar>
            <w:top w:w="0" w:type="dxa"/>
            <w:left w:w="0" w:type="dxa"/>
            <w:bottom w:w="0" w:type="dxa"/>
            <w:right w:w="0" w:type="dxa"/>
          </w:tblCellMar>
        </w:tblPrEx>
        <w:trPr>
          <w:trHeight w:val="405" w:hRule="atLeast"/>
          <w:jc w:val="center"/>
        </w:trPr>
        <w:tc>
          <w:tcPr>
            <w:tcW w:w="1787" w:type="pct"/>
            <w:gridSpan w:val="2"/>
            <w:tcBorders>
              <w:top w:val="single" w:color="auto" w:sz="4" w:space="0"/>
              <w:left w:val="single" w:color="auto" w:sz="12" w:space="0"/>
              <w:bottom w:val="single" w:color="auto" w:sz="4" w:space="0"/>
              <w:right w:val="single" w:color="auto" w:sz="4" w:space="0"/>
            </w:tcBorders>
            <w:tcMar>
              <w:top w:w="15" w:type="dxa"/>
              <w:left w:w="810" w:type="dxa"/>
              <w:bottom w:w="0" w:type="dxa"/>
              <w:right w:w="15" w:type="dxa"/>
            </w:tcMar>
            <w:vAlign w:val="center"/>
          </w:tcPr>
          <w:p w14:paraId="470EA701">
            <w:pPr>
              <w:ind w:left="-804" w:leftChars="-383" w:firstLine="31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地址、邮编</w:t>
            </w:r>
          </w:p>
        </w:tc>
        <w:tc>
          <w:tcPr>
            <w:tcW w:w="3212" w:type="pct"/>
            <w:gridSpan w:val="4"/>
            <w:tcBorders>
              <w:top w:val="single" w:color="auto" w:sz="4" w:space="0"/>
              <w:left w:val="nil"/>
              <w:bottom w:val="single" w:color="auto" w:sz="4" w:space="0"/>
              <w:right w:val="single" w:color="auto" w:sz="12" w:space="0"/>
            </w:tcBorders>
            <w:tcMar>
              <w:top w:w="15" w:type="dxa"/>
              <w:left w:w="15" w:type="dxa"/>
              <w:bottom w:w="0" w:type="dxa"/>
              <w:right w:w="15" w:type="dxa"/>
            </w:tcMar>
            <w:vAlign w:val="center"/>
          </w:tcPr>
          <w:p w14:paraId="5D690F6D">
            <w:pPr>
              <w:jc w:val="center"/>
              <w:rPr>
                <w:rFonts w:hint="eastAsia" w:ascii="仿宋" w:hAnsi="仿宋" w:eastAsia="仿宋" w:cs="仿宋"/>
                <w:bCs/>
                <w:color w:val="auto"/>
                <w:szCs w:val="21"/>
                <w:highlight w:val="none"/>
              </w:rPr>
            </w:pPr>
          </w:p>
        </w:tc>
      </w:tr>
      <w:tr w14:paraId="5B1CF30A">
        <w:tblPrEx>
          <w:tblCellMar>
            <w:top w:w="0" w:type="dxa"/>
            <w:left w:w="0" w:type="dxa"/>
            <w:bottom w:w="0" w:type="dxa"/>
            <w:right w:w="0" w:type="dxa"/>
          </w:tblCellMar>
        </w:tblPrEx>
        <w:trPr>
          <w:trHeight w:val="338" w:hRule="atLeast"/>
          <w:jc w:val="center"/>
        </w:trPr>
        <w:tc>
          <w:tcPr>
            <w:tcW w:w="1787" w:type="pct"/>
            <w:gridSpan w:val="2"/>
            <w:tcBorders>
              <w:top w:val="single" w:color="auto" w:sz="4" w:space="0"/>
              <w:left w:val="single" w:color="auto" w:sz="12" w:space="0"/>
              <w:bottom w:val="single" w:color="auto" w:sz="4" w:space="0"/>
              <w:right w:val="single" w:color="auto" w:sz="4" w:space="0"/>
            </w:tcBorders>
            <w:tcMar>
              <w:top w:w="15" w:type="dxa"/>
              <w:left w:w="810" w:type="dxa"/>
              <w:bottom w:w="0" w:type="dxa"/>
              <w:right w:w="15" w:type="dxa"/>
            </w:tcMar>
            <w:vAlign w:val="center"/>
          </w:tcPr>
          <w:p w14:paraId="1C54EDE7">
            <w:pPr>
              <w:ind w:left="-804" w:leftChars="-383" w:firstLine="31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主要业务范围</w:t>
            </w:r>
          </w:p>
        </w:tc>
        <w:tc>
          <w:tcPr>
            <w:tcW w:w="3212" w:type="pct"/>
            <w:gridSpan w:val="4"/>
            <w:tcBorders>
              <w:top w:val="single" w:color="auto" w:sz="4" w:space="0"/>
              <w:left w:val="nil"/>
              <w:bottom w:val="single" w:color="auto" w:sz="8" w:space="0"/>
              <w:right w:val="single" w:color="auto" w:sz="12" w:space="0"/>
            </w:tcBorders>
            <w:tcMar>
              <w:top w:w="15" w:type="dxa"/>
              <w:left w:w="15" w:type="dxa"/>
              <w:bottom w:w="0" w:type="dxa"/>
              <w:right w:w="15" w:type="dxa"/>
            </w:tcMar>
            <w:vAlign w:val="center"/>
          </w:tcPr>
          <w:p w14:paraId="235360AB">
            <w:pPr>
              <w:jc w:val="center"/>
              <w:rPr>
                <w:rFonts w:hint="eastAsia" w:ascii="仿宋" w:hAnsi="仿宋" w:eastAsia="仿宋" w:cs="仿宋"/>
                <w:bCs/>
                <w:color w:val="auto"/>
                <w:szCs w:val="21"/>
                <w:highlight w:val="none"/>
              </w:rPr>
            </w:pPr>
          </w:p>
        </w:tc>
      </w:tr>
      <w:tr w14:paraId="48C58EE6">
        <w:tblPrEx>
          <w:tblCellMar>
            <w:top w:w="0" w:type="dxa"/>
            <w:left w:w="0" w:type="dxa"/>
            <w:bottom w:w="0" w:type="dxa"/>
            <w:right w:w="0" w:type="dxa"/>
          </w:tblCellMar>
        </w:tblPrEx>
        <w:trPr>
          <w:trHeight w:val="434" w:hRule="atLeast"/>
          <w:jc w:val="center"/>
        </w:trPr>
        <w:tc>
          <w:tcPr>
            <w:tcW w:w="1787" w:type="pct"/>
            <w:gridSpan w:val="2"/>
            <w:tcBorders>
              <w:top w:val="single" w:color="auto" w:sz="4" w:space="0"/>
              <w:left w:val="single" w:color="auto" w:sz="12" w:space="0"/>
              <w:bottom w:val="single" w:color="auto" w:sz="4" w:space="0"/>
              <w:right w:val="single" w:color="auto" w:sz="8" w:space="0"/>
            </w:tcBorders>
            <w:tcMar>
              <w:top w:w="15" w:type="dxa"/>
              <w:left w:w="810" w:type="dxa"/>
              <w:bottom w:w="0" w:type="dxa"/>
              <w:right w:w="15" w:type="dxa"/>
            </w:tcMar>
            <w:vAlign w:val="center"/>
          </w:tcPr>
          <w:p w14:paraId="3DEAD80E">
            <w:pPr>
              <w:ind w:left="-804" w:leftChars="-383" w:firstLine="31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企业性质</w:t>
            </w:r>
          </w:p>
        </w:tc>
        <w:tc>
          <w:tcPr>
            <w:tcW w:w="1223" w:type="pct"/>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14:paraId="0CDC65E7">
            <w:pPr>
              <w:ind w:left="-804" w:leftChars="-383" w:firstLine="313"/>
              <w:rPr>
                <w:rFonts w:hint="eastAsia" w:ascii="仿宋" w:hAnsi="仿宋" w:eastAsia="仿宋" w:cs="仿宋"/>
                <w:bCs/>
                <w:color w:val="auto"/>
                <w:szCs w:val="21"/>
                <w:highlight w:val="none"/>
              </w:rPr>
            </w:pPr>
          </w:p>
        </w:tc>
        <w:tc>
          <w:tcPr>
            <w:tcW w:w="966" w:type="pct"/>
            <w:tcBorders>
              <w:top w:val="single" w:color="auto" w:sz="8" w:space="0"/>
              <w:left w:val="single" w:color="auto" w:sz="8" w:space="0"/>
              <w:bottom w:val="single" w:color="auto" w:sz="8" w:space="0"/>
              <w:right w:val="single" w:color="auto" w:sz="8" w:space="0"/>
            </w:tcBorders>
            <w:vAlign w:val="center"/>
          </w:tcPr>
          <w:p w14:paraId="38131159">
            <w:pPr>
              <w:ind w:left="-804" w:leftChars="-383" w:firstLine="313"/>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上级主管部门</w:t>
            </w:r>
          </w:p>
        </w:tc>
        <w:tc>
          <w:tcPr>
            <w:tcW w:w="1022" w:type="pct"/>
            <w:gridSpan w:val="2"/>
            <w:tcBorders>
              <w:top w:val="single" w:color="auto" w:sz="8" w:space="0"/>
              <w:left w:val="single" w:color="auto" w:sz="8" w:space="0"/>
              <w:bottom w:val="single" w:color="auto" w:sz="8" w:space="0"/>
              <w:right w:val="single" w:color="auto" w:sz="12" w:space="0"/>
            </w:tcBorders>
            <w:vAlign w:val="center"/>
          </w:tcPr>
          <w:p w14:paraId="621E8824">
            <w:pP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tc>
      </w:tr>
      <w:tr w14:paraId="74CD5C71">
        <w:tblPrEx>
          <w:tblCellMar>
            <w:top w:w="0" w:type="dxa"/>
            <w:left w:w="0" w:type="dxa"/>
            <w:bottom w:w="0" w:type="dxa"/>
            <w:right w:w="0" w:type="dxa"/>
          </w:tblCellMar>
        </w:tblPrEx>
        <w:trPr>
          <w:trHeight w:val="366" w:hRule="atLeast"/>
          <w:jc w:val="center"/>
        </w:trPr>
        <w:tc>
          <w:tcPr>
            <w:tcW w:w="1787" w:type="pct"/>
            <w:gridSpan w:val="2"/>
            <w:tcBorders>
              <w:top w:val="single" w:color="auto" w:sz="4" w:space="0"/>
              <w:left w:val="single" w:color="auto" w:sz="12" w:space="0"/>
              <w:bottom w:val="single" w:color="auto" w:sz="4" w:space="0"/>
              <w:right w:val="single" w:color="auto" w:sz="4" w:space="0"/>
            </w:tcBorders>
            <w:tcMar>
              <w:top w:w="15" w:type="dxa"/>
              <w:left w:w="810" w:type="dxa"/>
              <w:bottom w:w="0" w:type="dxa"/>
              <w:right w:w="15" w:type="dxa"/>
            </w:tcMar>
            <w:vAlign w:val="center"/>
          </w:tcPr>
          <w:p w14:paraId="42A5F059">
            <w:pPr>
              <w:ind w:left="-804" w:leftChars="-383" w:firstLine="31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成立时间</w:t>
            </w:r>
          </w:p>
        </w:tc>
        <w:tc>
          <w:tcPr>
            <w:tcW w:w="3212" w:type="pct"/>
            <w:gridSpan w:val="4"/>
            <w:tcBorders>
              <w:top w:val="single" w:color="auto" w:sz="8" w:space="0"/>
              <w:left w:val="nil"/>
              <w:bottom w:val="single" w:color="auto" w:sz="4" w:space="0"/>
              <w:right w:val="single" w:color="auto" w:sz="12" w:space="0"/>
            </w:tcBorders>
            <w:tcMar>
              <w:top w:w="15" w:type="dxa"/>
              <w:left w:w="15" w:type="dxa"/>
              <w:bottom w:w="0" w:type="dxa"/>
              <w:right w:w="15" w:type="dxa"/>
            </w:tcMar>
            <w:vAlign w:val="center"/>
          </w:tcPr>
          <w:p w14:paraId="17F80F04">
            <w:pPr>
              <w:jc w:val="center"/>
              <w:rPr>
                <w:rFonts w:hint="eastAsia" w:ascii="仿宋" w:hAnsi="仿宋" w:eastAsia="仿宋" w:cs="仿宋"/>
                <w:bCs/>
                <w:color w:val="auto"/>
                <w:szCs w:val="21"/>
                <w:highlight w:val="none"/>
              </w:rPr>
            </w:pPr>
          </w:p>
        </w:tc>
      </w:tr>
      <w:tr w14:paraId="1FA27B13">
        <w:tblPrEx>
          <w:tblCellMar>
            <w:top w:w="0" w:type="dxa"/>
            <w:left w:w="0" w:type="dxa"/>
            <w:bottom w:w="0" w:type="dxa"/>
            <w:right w:w="0" w:type="dxa"/>
          </w:tblCellMar>
        </w:tblPrEx>
        <w:trPr>
          <w:cantSplit/>
          <w:trHeight w:val="407" w:hRule="atLeast"/>
          <w:jc w:val="center"/>
        </w:trPr>
        <w:tc>
          <w:tcPr>
            <w:tcW w:w="1787" w:type="pct"/>
            <w:gridSpan w:val="2"/>
            <w:tcBorders>
              <w:top w:val="single" w:color="auto" w:sz="4" w:space="0"/>
              <w:left w:val="single" w:color="auto" w:sz="12" w:space="0"/>
              <w:bottom w:val="single" w:color="auto" w:sz="4" w:space="0"/>
              <w:right w:val="single" w:color="auto" w:sz="4" w:space="0"/>
            </w:tcBorders>
            <w:tcMar>
              <w:top w:w="15" w:type="dxa"/>
              <w:left w:w="810" w:type="dxa"/>
              <w:bottom w:w="0" w:type="dxa"/>
              <w:right w:w="15" w:type="dxa"/>
            </w:tcMar>
            <w:vAlign w:val="center"/>
          </w:tcPr>
          <w:p w14:paraId="1F4974FD">
            <w:pPr>
              <w:ind w:left="-804" w:leftChars="-383" w:firstLine="31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资质情况及编号</w:t>
            </w:r>
          </w:p>
        </w:tc>
        <w:tc>
          <w:tcPr>
            <w:tcW w:w="3212" w:type="pct"/>
            <w:gridSpan w:val="4"/>
            <w:tcBorders>
              <w:top w:val="nil"/>
              <w:left w:val="nil"/>
              <w:bottom w:val="single" w:color="auto" w:sz="4" w:space="0"/>
              <w:right w:val="single" w:color="auto" w:sz="12" w:space="0"/>
            </w:tcBorders>
            <w:tcMar>
              <w:top w:w="15" w:type="dxa"/>
              <w:left w:w="15" w:type="dxa"/>
              <w:bottom w:w="0" w:type="dxa"/>
              <w:right w:w="15" w:type="dxa"/>
            </w:tcMar>
            <w:vAlign w:val="center"/>
          </w:tcPr>
          <w:p w14:paraId="244893F9">
            <w:pPr>
              <w:jc w:val="center"/>
              <w:rPr>
                <w:rFonts w:hint="eastAsia" w:ascii="仿宋" w:hAnsi="仿宋" w:eastAsia="仿宋" w:cs="仿宋"/>
                <w:bCs/>
                <w:color w:val="auto"/>
                <w:szCs w:val="21"/>
                <w:highlight w:val="none"/>
              </w:rPr>
            </w:pPr>
          </w:p>
        </w:tc>
      </w:tr>
      <w:tr w14:paraId="4917E157">
        <w:tblPrEx>
          <w:tblCellMar>
            <w:top w:w="0" w:type="dxa"/>
            <w:left w:w="0" w:type="dxa"/>
            <w:bottom w:w="0" w:type="dxa"/>
            <w:right w:w="0" w:type="dxa"/>
          </w:tblCellMar>
        </w:tblPrEx>
        <w:trPr>
          <w:cantSplit/>
          <w:trHeight w:val="362" w:hRule="atLeast"/>
          <w:jc w:val="center"/>
        </w:trPr>
        <w:tc>
          <w:tcPr>
            <w:tcW w:w="1787" w:type="pct"/>
            <w:gridSpan w:val="2"/>
            <w:tcBorders>
              <w:top w:val="single" w:color="auto" w:sz="4" w:space="0"/>
              <w:left w:val="single" w:color="auto" w:sz="12" w:space="0"/>
              <w:bottom w:val="single" w:color="auto" w:sz="4" w:space="0"/>
              <w:right w:val="single" w:color="auto" w:sz="4" w:space="0"/>
            </w:tcBorders>
            <w:tcMar>
              <w:top w:w="15" w:type="dxa"/>
              <w:left w:w="810" w:type="dxa"/>
              <w:bottom w:w="0" w:type="dxa"/>
              <w:right w:w="15" w:type="dxa"/>
            </w:tcMar>
            <w:vAlign w:val="center"/>
          </w:tcPr>
          <w:p w14:paraId="30928A46">
            <w:pPr>
              <w:ind w:left="-804" w:leftChars="-383" w:firstLine="31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体系认证</w:t>
            </w:r>
          </w:p>
        </w:tc>
        <w:tc>
          <w:tcPr>
            <w:tcW w:w="3212" w:type="pct"/>
            <w:gridSpan w:val="4"/>
            <w:tcBorders>
              <w:top w:val="nil"/>
              <w:left w:val="nil"/>
              <w:bottom w:val="single" w:color="auto" w:sz="4" w:space="0"/>
              <w:right w:val="single" w:color="auto" w:sz="12" w:space="0"/>
            </w:tcBorders>
            <w:tcMar>
              <w:top w:w="15" w:type="dxa"/>
              <w:left w:w="15" w:type="dxa"/>
              <w:bottom w:w="0" w:type="dxa"/>
              <w:right w:w="15" w:type="dxa"/>
            </w:tcMar>
            <w:vAlign w:val="center"/>
          </w:tcPr>
          <w:p w14:paraId="318A1169">
            <w:pPr>
              <w:jc w:val="center"/>
              <w:rPr>
                <w:rFonts w:hint="eastAsia" w:ascii="仿宋" w:hAnsi="仿宋" w:eastAsia="仿宋" w:cs="仿宋"/>
                <w:bCs/>
                <w:color w:val="auto"/>
                <w:szCs w:val="21"/>
                <w:highlight w:val="none"/>
              </w:rPr>
            </w:pPr>
          </w:p>
        </w:tc>
      </w:tr>
      <w:tr w14:paraId="2676AC4C">
        <w:tblPrEx>
          <w:tblCellMar>
            <w:top w:w="0" w:type="dxa"/>
            <w:left w:w="0" w:type="dxa"/>
            <w:bottom w:w="0" w:type="dxa"/>
            <w:right w:w="0" w:type="dxa"/>
          </w:tblCellMar>
        </w:tblPrEx>
        <w:trPr>
          <w:cantSplit/>
          <w:trHeight w:val="362" w:hRule="atLeast"/>
          <w:jc w:val="center"/>
        </w:trPr>
        <w:tc>
          <w:tcPr>
            <w:tcW w:w="1787" w:type="pct"/>
            <w:gridSpan w:val="2"/>
            <w:tcBorders>
              <w:top w:val="single" w:color="auto" w:sz="4" w:space="0"/>
              <w:left w:val="single" w:color="auto" w:sz="12" w:space="0"/>
              <w:bottom w:val="single" w:color="auto" w:sz="4" w:space="0"/>
              <w:right w:val="single" w:color="auto" w:sz="4" w:space="0"/>
            </w:tcBorders>
            <w:tcMar>
              <w:top w:w="15" w:type="dxa"/>
              <w:left w:w="810" w:type="dxa"/>
              <w:bottom w:w="0" w:type="dxa"/>
              <w:right w:w="15" w:type="dxa"/>
            </w:tcMar>
            <w:vAlign w:val="center"/>
          </w:tcPr>
          <w:p w14:paraId="4F869EFE">
            <w:pPr>
              <w:ind w:left="-804" w:leftChars="-383" w:firstLine="31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售后服务及维修</w:t>
            </w:r>
          </w:p>
        </w:tc>
        <w:tc>
          <w:tcPr>
            <w:tcW w:w="3212" w:type="pct"/>
            <w:gridSpan w:val="4"/>
            <w:tcBorders>
              <w:top w:val="nil"/>
              <w:left w:val="nil"/>
              <w:bottom w:val="single" w:color="auto" w:sz="4" w:space="0"/>
              <w:right w:val="single" w:color="auto" w:sz="12" w:space="0"/>
            </w:tcBorders>
            <w:tcMar>
              <w:top w:w="15" w:type="dxa"/>
              <w:left w:w="15" w:type="dxa"/>
              <w:bottom w:w="0" w:type="dxa"/>
              <w:right w:w="15" w:type="dxa"/>
            </w:tcMar>
            <w:vAlign w:val="center"/>
          </w:tcPr>
          <w:p w14:paraId="36A1D12B">
            <w:pPr>
              <w:jc w:val="center"/>
              <w:rPr>
                <w:rFonts w:hint="eastAsia" w:ascii="仿宋" w:hAnsi="仿宋" w:eastAsia="仿宋" w:cs="仿宋"/>
                <w:bCs/>
                <w:color w:val="auto"/>
                <w:szCs w:val="21"/>
                <w:highlight w:val="none"/>
              </w:rPr>
            </w:pPr>
          </w:p>
        </w:tc>
      </w:tr>
      <w:tr w14:paraId="3BF39472">
        <w:tblPrEx>
          <w:tblCellMar>
            <w:top w:w="0" w:type="dxa"/>
            <w:left w:w="0" w:type="dxa"/>
            <w:bottom w:w="0" w:type="dxa"/>
            <w:right w:w="0" w:type="dxa"/>
          </w:tblCellMar>
        </w:tblPrEx>
        <w:trPr>
          <w:trHeight w:val="330" w:hRule="atLeast"/>
          <w:jc w:val="center"/>
        </w:trPr>
        <w:tc>
          <w:tcPr>
            <w:tcW w:w="5000" w:type="pct"/>
            <w:gridSpan w:val="6"/>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14:paraId="3BA43564">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公 司 领 导 班 子 构 成 情 况</w:t>
            </w:r>
          </w:p>
        </w:tc>
      </w:tr>
      <w:tr w14:paraId="44979B03">
        <w:tblPrEx>
          <w:tblCellMar>
            <w:top w:w="0" w:type="dxa"/>
            <w:left w:w="0" w:type="dxa"/>
            <w:bottom w:w="0" w:type="dxa"/>
            <w:right w:w="0" w:type="dxa"/>
          </w:tblCellMar>
        </w:tblPrEx>
        <w:trPr>
          <w:trHeight w:val="433" w:hRule="atLeast"/>
          <w:jc w:val="center"/>
        </w:trPr>
        <w:tc>
          <w:tcPr>
            <w:tcW w:w="851" w:type="pct"/>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5B160275">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法人代表</w:t>
            </w:r>
          </w:p>
        </w:tc>
        <w:tc>
          <w:tcPr>
            <w:tcW w:w="936" w:type="pct"/>
            <w:tcBorders>
              <w:top w:val="nil"/>
              <w:left w:val="nil"/>
              <w:bottom w:val="single" w:color="auto" w:sz="4" w:space="0"/>
              <w:right w:val="single" w:color="auto" w:sz="4" w:space="0"/>
            </w:tcBorders>
            <w:tcMar>
              <w:top w:w="15" w:type="dxa"/>
              <w:left w:w="15" w:type="dxa"/>
              <w:bottom w:w="0" w:type="dxa"/>
              <w:right w:w="15" w:type="dxa"/>
            </w:tcMar>
            <w:vAlign w:val="center"/>
          </w:tcPr>
          <w:p w14:paraId="6D601D2F">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公司经理</w:t>
            </w:r>
          </w:p>
        </w:tc>
        <w:tc>
          <w:tcPr>
            <w:tcW w:w="1223" w:type="pct"/>
            <w:tcBorders>
              <w:top w:val="nil"/>
              <w:left w:val="nil"/>
              <w:bottom w:val="single" w:color="auto" w:sz="4" w:space="0"/>
              <w:right w:val="single" w:color="auto" w:sz="4" w:space="0"/>
            </w:tcBorders>
            <w:tcMar>
              <w:top w:w="15" w:type="dxa"/>
              <w:left w:w="15" w:type="dxa"/>
              <w:bottom w:w="0" w:type="dxa"/>
              <w:right w:w="15" w:type="dxa"/>
            </w:tcMar>
            <w:vAlign w:val="center"/>
          </w:tcPr>
          <w:p w14:paraId="7210C57D">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总工程师</w:t>
            </w:r>
          </w:p>
        </w:tc>
        <w:tc>
          <w:tcPr>
            <w:tcW w:w="997"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5D24BE60">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总经济师</w:t>
            </w:r>
          </w:p>
        </w:tc>
        <w:tc>
          <w:tcPr>
            <w:tcW w:w="992" w:type="pct"/>
            <w:tcBorders>
              <w:top w:val="nil"/>
              <w:left w:val="nil"/>
              <w:bottom w:val="single" w:color="auto" w:sz="4" w:space="0"/>
              <w:right w:val="single" w:color="auto" w:sz="12" w:space="0"/>
            </w:tcBorders>
            <w:tcMar>
              <w:top w:w="15" w:type="dxa"/>
              <w:left w:w="15" w:type="dxa"/>
              <w:bottom w:w="0" w:type="dxa"/>
              <w:right w:w="15" w:type="dxa"/>
            </w:tcMar>
            <w:vAlign w:val="center"/>
          </w:tcPr>
          <w:p w14:paraId="1019E3BC">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总会计师</w:t>
            </w:r>
          </w:p>
        </w:tc>
      </w:tr>
      <w:tr w14:paraId="65B44E2B">
        <w:tblPrEx>
          <w:tblCellMar>
            <w:top w:w="0" w:type="dxa"/>
            <w:left w:w="0" w:type="dxa"/>
            <w:bottom w:w="0" w:type="dxa"/>
            <w:right w:w="0" w:type="dxa"/>
          </w:tblCellMar>
        </w:tblPrEx>
        <w:trPr>
          <w:trHeight w:val="388" w:hRule="atLeast"/>
          <w:jc w:val="center"/>
        </w:trPr>
        <w:tc>
          <w:tcPr>
            <w:tcW w:w="851" w:type="pct"/>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187E0348">
            <w:pPr>
              <w:jc w:val="center"/>
              <w:rPr>
                <w:rFonts w:hint="eastAsia" w:ascii="仿宋" w:hAnsi="仿宋" w:eastAsia="仿宋" w:cs="仿宋"/>
                <w:bCs/>
                <w:color w:val="auto"/>
                <w:szCs w:val="21"/>
                <w:highlight w:val="none"/>
              </w:rPr>
            </w:pPr>
          </w:p>
        </w:tc>
        <w:tc>
          <w:tcPr>
            <w:tcW w:w="936" w:type="pct"/>
            <w:tcBorders>
              <w:top w:val="nil"/>
              <w:left w:val="nil"/>
              <w:bottom w:val="single" w:color="auto" w:sz="4" w:space="0"/>
              <w:right w:val="single" w:color="auto" w:sz="4" w:space="0"/>
            </w:tcBorders>
            <w:tcMar>
              <w:top w:w="15" w:type="dxa"/>
              <w:left w:w="15" w:type="dxa"/>
              <w:bottom w:w="0" w:type="dxa"/>
              <w:right w:w="15" w:type="dxa"/>
            </w:tcMar>
            <w:vAlign w:val="center"/>
          </w:tcPr>
          <w:p w14:paraId="686F43E3">
            <w:pPr>
              <w:jc w:val="center"/>
              <w:rPr>
                <w:rFonts w:hint="eastAsia" w:ascii="仿宋" w:hAnsi="仿宋" w:eastAsia="仿宋" w:cs="仿宋"/>
                <w:bCs/>
                <w:color w:val="auto"/>
                <w:szCs w:val="21"/>
                <w:highlight w:val="none"/>
              </w:rPr>
            </w:pPr>
          </w:p>
        </w:tc>
        <w:tc>
          <w:tcPr>
            <w:tcW w:w="1223" w:type="pct"/>
            <w:tcBorders>
              <w:top w:val="nil"/>
              <w:left w:val="nil"/>
              <w:bottom w:val="single" w:color="auto" w:sz="4" w:space="0"/>
              <w:right w:val="single" w:color="auto" w:sz="4" w:space="0"/>
            </w:tcBorders>
            <w:tcMar>
              <w:top w:w="15" w:type="dxa"/>
              <w:left w:w="15" w:type="dxa"/>
              <w:bottom w:w="0" w:type="dxa"/>
              <w:right w:w="15" w:type="dxa"/>
            </w:tcMar>
            <w:vAlign w:val="center"/>
          </w:tcPr>
          <w:p w14:paraId="6D1E4DDA">
            <w:pPr>
              <w:jc w:val="center"/>
              <w:rPr>
                <w:rFonts w:hint="eastAsia" w:ascii="仿宋" w:hAnsi="仿宋" w:eastAsia="仿宋" w:cs="仿宋"/>
                <w:bCs/>
                <w:color w:val="auto"/>
                <w:szCs w:val="21"/>
                <w:highlight w:val="none"/>
              </w:rPr>
            </w:pPr>
          </w:p>
        </w:tc>
        <w:tc>
          <w:tcPr>
            <w:tcW w:w="997"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48B48EFA">
            <w:pPr>
              <w:jc w:val="center"/>
              <w:rPr>
                <w:rFonts w:hint="eastAsia" w:ascii="仿宋" w:hAnsi="仿宋" w:eastAsia="仿宋" w:cs="仿宋"/>
                <w:bCs/>
                <w:color w:val="auto"/>
                <w:szCs w:val="21"/>
                <w:highlight w:val="none"/>
              </w:rPr>
            </w:pPr>
          </w:p>
        </w:tc>
        <w:tc>
          <w:tcPr>
            <w:tcW w:w="992" w:type="pct"/>
            <w:tcBorders>
              <w:top w:val="nil"/>
              <w:left w:val="nil"/>
              <w:bottom w:val="single" w:color="auto" w:sz="4" w:space="0"/>
              <w:right w:val="single" w:color="auto" w:sz="12" w:space="0"/>
            </w:tcBorders>
            <w:tcMar>
              <w:top w:w="15" w:type="dxa"/>
              <w:left w:w="15" w:type="dxa"/>
              <w:bottom w:w="0" w:type="dxa"/>
              <w:right w:w="15" w:type="dxa"/>
            </w:tcMar>
            <w:vAlign w:val="center"/>
          </w:tcPr>
          <w:p w14:paraId="288BEEB5">
            <w:pPr>
              <w:jc w:val="center"/>
              <w:rPr>
                <w:rFonts w:hint="eastAsia" w:ascii="仿宋" w:hAnsi="仿宋" w:eastAsia="仿宋" w:cs="仿宋"/>
                <w:bCs/>
                <w:color w:val="auto"/>
                <w:szCs w:val="21"/>
                <w:highlight w:val="none"/>
              </w:rPr>
            </w:pPr>
          </w:p>
        </w:tc>
      </w:tr>
      <w:tr w14:paraId="5DB0E036">
        <w:tblPrEx>
          <w:tblCellMar>
            <w:top w:w="0" w:type="dxa"/>
            <w:left w:w="0" w:type="dxa"/>
            <w:bottom w:w="0" w:type="dxa"/>
            <w:right w:w="0" w:type="dxa"/>
          </w:tblCellMar>
        </w:tblPrEx>
        <w:trPr>
          <w:trHeight w:val="452" w:hRule="atLeast"/>
          <w:jc w:val="center"/>
        </w:trPr>
        <w:tc>
          <w:tcPr>
            <w:tcW w:w="5000" w:type="pct"/>
            <w:gridSpan w:val="6"/>
            <w:tcBorders>
              <w:top w:val="single" w:color="auto" w:sz="4" w:space="0"/>
              <w:left w:val="single" w:color="auto" w:sz="12" w:space="0"/>
              <w:bottom w:val="single" w:color="auto" w:sz="4" w:space="0"/>
              <w:right w:val="single" w:color="auto" w:sz="12" w:space="0"/>
            </w:tcBorders>
            <w:tcMar>
              <w:top w:w="15" w:type="dxa"/>
              <w:left w:w="15" w:type="dxa"/>
              <w:bottom w:w="0" w:type="dxa"/>
              <w:right w:w="15" w:type="dxa"/>
            </w:tcMar>
            <w:vAlign w:val="center"/>
          </w:tcPr>
          <w:p w14:paraId="7B614B4E">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公 司 人 员 构 成 情 况</w:t>
            </w:r>
          </w:p>
        </w:tc>
      </w:tr>
      <w:tr w14:paraId="54127FBE">
        <w:tblPrEx>
          <w:tblCellMar>
            <w:top w:w="0" w:type="dxa"/>
            <w:left w:w="0" w:type="dxa"/>
            <w:bottom w:w="0" w:type="dxa"/>
            <w:right w:w="0" w:type="dxa"/>
          </w:tblCellMar>
        </w:tblPrEx>
        <w:trPr>
          <w:trHeight w:val="388" w:hRule="atLeast"/>
          <w:jc w:val="center"/>
        </w:trPr>
        <w:tc>
          <w:tcPr>
            <w:tcW w:w="851" w:type="pct"/>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1E847183">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人员总数</w:t>
            </w:r>
          </w:p>
        </w:tc>
        <w:tc>
          <w:tcPr>
            <w:tcW w:w="936" w:type="pct"/>
            <w:tcBorders>
              <w:top w:val="nil"/>
              <w:left w:val="nil"/>
              <w:bottom w:val="single" w:color="auto" w:sz="4" w:space="0"/>
              <w:right w:val="single" w:color="auto" w:sz="4" w:space="0"/>
            </w:tcBorders>
            <w:tcMar>
              <w:top w:w="15" w:type="dxa"/>
              <w:left w:w="15" w:type="dxa"/>
              <w:bottom w:w="0" w:type="dxa"/>
              <w:right w:w="15" w:type="dxa"/>
            </w:tcMar>
            <w:vAlign w:val="center"/>
          </w:tcPr>
          <w:p w14:paraId="73467315">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高级职称</w:t>
            </w:r>
          </w:p>
        </w:tc>
        <w:tc>
          <w:tcPr>
            <w:tcW w:w="1223" w:type="pct"/>
            <w:tcBorders>
              <w:top w:val="nil"/>
              <w:left w:val="nil"/>
              <w:bottom w:val="single" w:color="auto" w:sz="4" w:space="0"/>
              <w:right w:val="single" w:color="auto" w:sz="4" w:space="0"/>
            </w:tcBorders>
            <w:tcMar>
              <w:top w:w="15" w:type="dxa"/>
              <w:left w:w="15" w:type="dxa"/>
              <w:bottom w:w="0" w:type="dxa"/>
              <w:right w:w="15" w:type="dxa"/>
            </w:tcMar>
            <w:vAlign w:val="center"/>
          </w:tcPr>
          <w:p w14:paraId="4BF184E5">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中级职称</w:t>
            </w:r>
          </w:p>
        </w:tc>
        <w:tc>
          <w:tcPr>
            <w:tcW w:w="997"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2E0999A3">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初级职称</w:t>
            </w:r>
          </w:p>
        </w:tc>
        <w:tc>
          <w:tcPr>
            <w:tcW w:w="992" w:type="pct"/>
            <w:tcBorders>
              <w:top w:val="nil"/>
              <w:left w:val="nil"/>
              <w:bottom w:val="single" w:color="auto" w:sz="4" w:space="0"/>
              <w:right w:val="single" w:color="auto" w:sz="12" w:space="0"/>
            </w:tcBorders>
            <w:tcMar>
              <w:top w:w="15" w:type="dxa"/>
              <w:left w:w="15" w:type="dxa"/>
              <w:bottom w:w="0" w:type="dxa"/>
              <w:right w:w="15" w:type="dxa"/>
            </w:tcMar>
            <w:vAlign w:val="center"/>
          </w:tcPr>
          <w:p w14:paraId="47CDD250">
            <w:pPr>
              <w:jc w:val="center"/>
              <w:rPr>
                <w:rFonts w:hint="eastAsia" w:ascii="仿宋" w:hAnsi="仿宋" w:eastAsia="仿宋" w:cs="仿宋"/>
                <w:bCs/>
                <w:color w:val="auto"/>
                <w:szCs w:val="21"/>
                <w:highlight w:val="none"/>
              </w:rPr>
            </w:pPr>
          </w:p>
        </w:tc>
      </w:tr>
      <w:tr w14:paraId="72C6E414">
        <w:tblPrEx>
          <w:tblCellMar>
            <w:top w:w="0" w:type="dxa"/>
            <w:left w:w="0" w:type="dxa"/>
            <w:bottom w:w="0" w:type="dxa"/>
            <w:right w:w="0" w:type="dxa"/>
          </w:tblCellMar>
        </w:tblPrEx>
        <w:trPr>
          <w:cantSplit/>
          <w:trHeight w:val="388" w:hRule="atLeast"/>
          <w:jc w:val="center"/>
        </w:trPr>
        <w:tc>
          <w:tcPr>
            <w:tcW w:w="851" w:type="pct"/>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4519C321">
            <w:pPr>
              <w:jc w:val="center"/>
              <w:rPr>
                <w:rFonts w:hint="eastAsia" w:ascii="仿宋" w:hAnsi="仿宋" w:eastAsia="仿宋" w:cs="仿宋"/>
                <w:bCs/>
                <w:color w:val="auto"/>
                <w:szCs w:val="21"/>
                <w:highlight w:val="none"/>
              </w:rPr>
            </w:pPr>
          </w:p>
        </w:tc>
        <w:tc>
          <w:tcPr>
            <w:tcW w:w="936" w:type="pct"/>
            <w:tcBorders>
              <w:top w:val="nil"/>
              <w:left w:val="nil"/>
              <w:bottom w:val="single" w:color="auto" w:sz="4" w:space="0"/>
              <w:right w:val="single" w:color="auto" w:sz="4" w:space="0"/>
            </w:tcBorders>
            <w:tcMar>
              <w:top w:w="15" w:type="dxa"/>
              <w:left w:w="15" w:type="dxa"/>
              <w:bottom w:w="0" w:type="dxa"/>
              <w:right w:w="15" w:type="dxa"/>
            </w:tcMar>
            <w:vAlign w:val="center"/>
          </w:tcPr>
          <w:p w14:paraId="0646F628">
            <w:pPr>
              <w:jc w:val="center"/>
              <w:rPr>
                <w:rFonts w:hint="eastAsia" w:ascii="仿宋" w:hAnsi="仿宋" w:eastAsia="仿宋" w:cs="仿宋"/>
                <w:bCs/>
                <w:color w:val="auto"/>
                <w:szCs w:val="21"/>
                <w:highlight w:val="none"/>
              </w:rPr>
            </w:pPr>
          </w:p>
        </w:tc>
        <w:tc>
          <w:tcPr>
            <w:tcW w:w="1223" w:type="pct"/>
            <w:tcBorders>
              <w:top w:val="nil"/>
              <w:left w:val="nil"/>
              <w:bottom w:val="single" w:color="auto" w:sz="4" w:space="0"/>
              <w:right w:val="single" w:color="auto" w:sz="4" w:space="0"/>
            </w:tcBorders>
            <w:tcMar>
              <w:top w:w="15" w:type="dxa"/>
              <w:left w:w="15" w:type="dxa"/>
              <w:bottom w:w="0" w:type="dxa"/>
              <w:right w:w="15" w:type="dxa"/>
            </w:tcMar>
            <w:vAlign w:val="center"/>
          </w:tcPr>
          <w:p w14:paraId="50A6B91B">
            <w:pPr>
              <w:jc w:val="center"/>
              <w:rPr>
                <w:rFonts w:hint="eastAsia" w:ascii="仿宋" w:hAnsi="仿宋" w:eastAsia="仿宋" w:cs="仿宋"/>
                <w:bCs/>
                <w:color w:val="auto"/>
                <w:szCs w:val="21"/>
                <w:highlight w:val="none"/>
              </w:rPr>
            </w:pPr>
          </w:p>
        </w:tc>
        <w:tc>
          <w:tcPr>
            <w:tcW w:w="997"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77BF0753">
            <w:pPr>
              <w:jc w:val="center"/>
              <w:rPr>
                <w:rFonts w:hint="eastAsia" w:ascii="仿宋" w:hAnsi="仿宋" w:eastAsia="仿宋" w:cs="仿宋"/>
                <w:bCs/>
                <w:color w:val="auto"/>
                <w:szCs w:val="21"/>
                <w:highlight w:val="none"/>
              </w:rPr>
            </w:pPr>
          </w:p>
        </w:tc>
        <w:tc>
          <w:tcPr>
            <w:tcW w:w="992" w:type="pct"/>
            <w:tcBorders>
              <w:top w:val="nil"/>
              <w:left w:val="nil"/>
              <w:bottom w:val="single" w:color="auto" w:sz="4" w:space="0"/>
              <w:right w:val="single" w:color="auto" w:sz="12" w:space="0"/>
            </w:tcBorders>
            <w:tcMar>
              <w:top w:w="15" w:type="dxa"/>
              <w:left w:w="15" w:type="dxa"/>
              <w:bottom w:w="0" w:type="dxa"/>
              <w:right w:w="15" w:type="dxa"/>
            </w:tcMar>
            <w:vAlign w:val="center"/>
          </w:tcPr>
          <w:p w14:paraId="569FBD3A">
            <w:pPr>
              <w:jc w:val="center"/>
              <w:rPr>
                <w:rFonts w:hint="eastAsia" w:ascii="仿宋" w:hAnsi="仿宋" w:eastAsia="仿宋" w:cs="仿宋"/>
                <w:bCs/>
                <w:color w:val="auto"/>
                <w:szCs w:val="21"/>
                <w:highlight w:val="none"/>
              </w:rPr>
            </w:pPr>
          </w:p>
        </w:tc>
      </w:tr>
      <w:tr w14:paraId="1536C6CC">
        <w:tblPrEx>
          <w:tblCellMar>
            <w:top w:w="0" w:type="dxa"/>
            <w:left w:w="0" w:type="dxa"/>
            <w:bottom w:w="0" w:type="dxa"/>
            <w:right w:w="0" w:type="dxa"/>
          </w:tblCellMar>
        </w:tblPrEx>
        <w:trPr>
          <w:cantSplit/>
          <w:trHeight w:val="608" w:hRule="atLeast"/>
          <w:jc w:val="center"/>
        </w:trPr>
        <w:tc>
          <w:tcPr>
            <w:tcW w:w="851" w:type="pct"/>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48567340">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项目经理总数</w:t>
            </w:r>
          </w:p>
        </w:tc>
        <w:tc>
          <w:tcPr>
            <w:tcW w:w="936" w:type="pct"/>
            <w:tcBorders>
              <w:top w:val="nil"/>
              <w:left w:val="nil"/>
              <w:bottom w:val="single" w:color="auto" w:sz="4" w:space="0"/>
              <w:right w:val="single" w:color="auto" w:sz="4" w:space="0"/>
            </w:tcBorders>
            <w:tcMar>
              <w:top w:w="15" w:type="dxa"/>
              <w:left w:w="15" w:type="dxa"/>
              <w:bottom w:w="0" w:type="dxa"/>
              <w:right w:w="15" w:type="dxa"/>
            </w:tcMar>
            <w:vAlign w:val="center"/>
          </w:tcPr>
          <w:p w14:paraId="0E5609FA">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一级项目经理人数</w:t>
            </w:r>
          </w:p>
        </w:tc>
        <w:tc>
          <w:tcPr>
            <w:tcW w:w="1223" w:type="pct"/>
            <w:tcBorders>
              <w:top w:val="nil"/>
              <w:left w:val="nil"/>
              <w:bottom w:val="single" w:color="auto" w:sz="4" w:space="0"/>
              <w:right w:val="single" w:color="auto" w:sz="4" w:space="0"/>
            </w:tcBorders>
            <w:tcMar>
              <w:top w:w="15" w:type="dxa"/>
              <w:left w:w="15" w:type="dxa"/>
              <w:bottom w:w="0" w:type="dxa"/>
              <w:right w:w="15" w:type="dxa"/>
            </w:tcMar>
            <w:vAlign w:val="center"/>
          </w:tcPr>
          <w:p w14:paraId="1A7509A8">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二级项目经理人数</w:t>
            </w:r>
          </w:p>
        </w:tc>
        <w:tc>
          <w:tcPr>
            <w:tcW w:w="997"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749CFF7B">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拟派项目经理等级</w:t>
            </w:r>
          </w:p>
        </w:tc>
        <w:tc>
          <w:tcPr>
            <w:tcW w:w="992" w:type="pct"/>
            <w:tcBorders>
              <w:top w:val="nil"/>
              <w:left w:val="nil"/>
              <w:bottom w:val="single" w:color="auto" w:sz="4" w:space="0"/>
              <w:right w:val="single" w:color="auto" w:sz="12" w:space="0"/>
            </w:tcBorders>
            <w:tcMar>
              <w:top w:w="15" w:type="dxa"/>
              <w:left w:w="15" w:type="dxa"/>
              <w:bottom w:w="0" w:type="dxa"/>
              <w:right w:w="15" w:type="dxa"/>
            </w:tcMar>
            <w:vAlign w:val="center"/>
          </w:tcPr>
          <w:p w14:paraId="13D26941">
            <w:pPr>
              <w:jc w:val="center"/>
              <w:rPr>
                <w:rFonts w:hint="eastAsia" w:ascii="仿宋" w:hAnsi="仿宋" w:eastAsia="仿宋" w:cs="仿宋"/>
                <w:bCs/>
                <w:color w:val="auto"/>
                <w:szCs w:val="21"/>
                <w:highlight w:val="none"/>
              </w:rPr>
            </w:pPr>
          </w:p>
        </w:tc>
      </w:tr>
      <w:tr w14:paraId="563A979B">
        <w:tblPrEx>
          <w:tblCellMar>
            <w:top w:w="0" w:type="dxa"/>
            <w:left w:w="0" w:type="dxa"/>
            <w:bottom w:w="0" w:type="dxa"/>
            <w:right w:w="0" w:type="dxa"/>
          </w:tblCellMar>
        </w:tblPrEx>
        <w:trPr>
          <w:cantSplit/>
          <w:trHeight w:val="388" w:hRule="atLeast"/>
          <w:jc w:val="center"/>
        </w:trPr>
        <w:tc>
          <w:tcPr>
            <w:tcW w:w="851" w:type="pct"/>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5EEC10B0">
            <w:pPr>
              <w:jc w:val="center"/>
              <w:rPr>
                <w:rFonts w:hint="eastAsia" w:ascii="仿宋" w:hAnsi="仿宋" w:eastAsia="仿宋" w:cs="仿宋"/>
                <w:bCs/>
                <w:color w:val="auto"/>
                <w:szCs w:val="21"/>
                <w:highlight w:val="none"/>
              </w:rPr>
            </w:pPr>
          </w:p>
        </w:tc>
        <w:tc>
          <w:tcPr>
            <w:tcW w:w="936" w:type="pct"/>
            <w:tcBorders>
              <w:top w:val="nil"/>
              <w:left w:val="nil"/>
              <w:bottom w:val="single" w:color="auto" w:sz="4" w:space="0"/>
              <w:right w:val="single" w:color="auto" w:sz="4" w:space="0"/>
            </w:tcBorders>
            <w:tcMar>
              <w:top w:w="15" w:type="dxa"/>
              <w:left w:w="15" w:type="dxa"/>
              <w:bottom w:w="0" w:type="dxa"/>
              <w:right w:w="15" w:type="dxa"/>
            </w:tcMar>
            <w:vAlign w:val="center"/>
          </w:tcPr>
          <w:p w14:paraId="31B5763D">
            <w:pPr>
              <w:jc w:val="center"/>
              <w:rPr>
                <w:rFonts w:hint="eastAsia" w:ascii="仿宋" w:hAnsi="仿宋" w:eastAsia="仿宋" w:cs="仿宋"/>
                <w:bCs/>
                <w:color w:val="auto"/>
                <w:szCs w:val="21"/>
                <w:highlight w:val="none"/>
              </w:rPr>
            </w:pPr>
          </w:p>
        </w:tc>
        <w:tc>
          <w:tcPr>
            <w:tcW w:w="1223" w:type="pct"/>
            <w:tcBorders>
              <w:top w:val="nil"/>
              <w:left w:val="nil"/>
              <w:bottom w:val="single" w:color="auto" w:sz="4" w:space="0"/>
              <w:right w:val="single" w:color="auto" w:sz="4" w:space="0"/>
            </w:tcBorders>
            <w:tcMar>
              <w:top w:w="15" w:type="dxa"/>
              <w:left w:w="15" w:type="dxa"/>
              <w:bottom w:w="0" w:type="dxa"/>
              <w:right w:w="15" w:type="dxa"/>
            </w:tcMar>
            <w:vAlign w:val="center"/>
          </w:tcPr>
          <w:p w14:paraId="110409D7">
            <w:pPr>
              <w:jc w:val="center"/>
              <w:rPr>
                <w:rFonts w:hint="eastAsia" w:ascii="仿宋" w:hAnsi="仿宋" w:eastAsia="仿宋" w:cs="仿宋"/>
                <w:bCs/>
                <w:color w:val="auto"/>
                <w:szCs w:val="21"/>
                <w:highlight w:val="none"/>
              </w:rPr>
            </w:pPr>
          </w:p>
        </w:tc>
        <w:tc>
          <w:tcPr>
            <w:tcW w:w="997"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6DCBD9DC">
            <w:pPr>
              <w:jc w:val="center"/>
              <w:rPr>
                <w:rFonts w:hint="eastAsia" w:ascii="仿宋" w:hAnsi="仿宋" w:eastAsia="仿宋" w:cs="仿宋"/>
                <w:bCs/>
                <w:color w:val="auto"/>
                <w:szCs w:val="21"/>
                <w:highlight w:val="none"/>
              </w:rPr>
            </w:pPr>
          </w:p>
        </w:tc>
        <w:tc>
          <w:tcPr>
            <w:tcW w:w="992" w:type="pct"/>
            <w:tcBorders>
              <w:top w:val="nil"/>
              <w:left w:val="nil"/>
              <w:bottom w:val="single" w:color="auto" w:sz="4" w:space="0"/>
              <w:right w:val="single" w:color="auto" w:sz="12" w:space="0"/>
            </w:tcBorders>
            <w:tcMar>
              <w:top w:w="15" w:type="dxa"/>
              <w:left w:w="15" w:type="dxa"/>
              <w:bottom w:w="0" w:type="dxa"/>
              <w:right w:w="15" w:type="dxa"/>
            </w:tcMar>
            <w:vAlign w:val="center"/>
          </w:tcPr>
          <w:p w14:paraId="1F2B95EB">
            <w:pPr>
              <w:jc w:val="center"/>
              <w:rPr>
                <w:rFonts w:hint="eastAsia" w:ascii="仿宋" w:hAnsi="仿宋" w:eastAsia="仿宋" w:cs="仿宋"/>
                <w:bCs/>
                <w:color w:val="auto"/>
                <w:szCs w:val="21"/>
                <w:highlight w:val="none"/>
              </w:rPr>
            </w:pPr>
          </w:p>
        </w:tc>
      </w:tr>
      <w:tr w14:paraId="7F6E82F3">
        <w:tblPrEx>
          <w:tblCellMar>
            <w:top w:w="0" w:type="dxa"/>
            <w:left w:w="0" w:type="dxa"/>
            <w:bottom w:w="0" w:type="dxa"/>
            <w:right w:w="0" w:type="dxa"/>
          </w:tblCellMar>
        </w:tblPrEx>
        <w:trPr>
          <w:cantSplit/>
          <w:trHeight w:val="608" w:hRule="atLeast"/>
          <w:jc w:val="center"/>
        </w:trPr>
        <w:tc>
          <w:tcPr>
            <w:tcW w:w="851" w:type="pct"/>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760BEDA1">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专职设计人员总数</w:t>
            </w:r>
          </w:p>
        </w:tc>
        <w:tc>
          <w:tcPr>
            <w:tcW w:w="936" w:type="pct"/>
            <w:tcBorders>
              <w:top w:val="nil"/>
              <w:left w:val="nil"/>
              <w:bottom w:val="single" w:color="auto" w:sz="4" w:space="0"/>
              <w:right w:val="single" w:color="auto" w:sz="4" w:space="0"/>
            </w:tcBorders>
            <w:tcMar>
              <w:top w:w="15" w:type="dxa"/>
              <w:left w:w="15" w:type="dxa"/>
              <w:bottom w:w="0" w:type="dxa"/>
              <w:right w:w="15" w:type="dxa"/>
            </w:tcMar>
            <w:vAlign w:val="center"/>
          </w:tcPr>
          <w:p w14:paraId="4FB8479B">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高级职称</w:t>
            </w:r>
          </w:p>
        </w:tc>
        <w:tc>
          <w:tcPr>
            <w:tcW w:w="1223" w:type="pct"/>
            <w:tcBorders>
              <w:top w:val="nil"/>
              <w:left w:val="nil"/>
              <w:bottom w:val="single" w:color="auto" w:sz="4" w:space="0"/>
              <w:right w:val="single" w:color="auto" w:sz="4" w:space="0"/>
            </w:tcBorders>
            <w:tcMar>
              <w:top w:w="15" w:type="dxa"/>
              <w:left w:w="15" w:type="dxa"/>
              <w:bottom w:w="0" w:type="dxa"/>
              <w:right w:w="15" w:type="dxa"/>
            </w:tcMar>
            <w:vAlign w:val="center"/>
          </w:tcPr>
          <w:p w14:paraId="71CACE0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中级职称</w:t>
            </w:r>
          </w:p>
        </w:tc>
        <w:tc>
          <w:tcPr>
            <w:tcW w:w="997"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75121B4B">
            <w:pPr>
              <w:jc w:val="center"/>
              <w:rPr>
                <w:rFonts w:hint="eastAsia" w:ascii="仿宋" w:hAnsi="仿宋" w:eastAsia="仿宋" w:cs="仿宋"/>
                <w:bCs/>
                <w:color w:val="auto"/>
                <w:szCs w:val="21"/>
                <w:highlight w:val="none"/>
              </w:rPr>
            </w:pPr>
          </w:p>
        </w:tc>
        <w:tc>
          <w:tcPr>
            <w:tcW w:w="992" w:type="pct"/>
            <w:tcBorders>
              <w:top w:val="nil"/>
              <w:left w:val="nil"/>
              <w:bottom w:val="single" w:color="auto" w:sz="4" w:space="0"/>
              <w:right w:val="single" w:color="auto" w:sz="12" w:space="0"/>
            </w:tcBorders>
            <w:tcMar>
              <w:top w:w="15" w:type="dxa"/>
              <w:left w:w="15" w:type="dxa"/>
              <w:bottom w:w="0" w:type="dxa"/>
              <w:right w:w="15" w:type="dxa"/>
            </w:tcMar>
            <w:vAlign w:val="center"/>
          </w:tcPr>
          <w:p w14:paraId="66F21971">
            <w:pPr>
              <w:jc w:val="center"/>
              <w:rPr>
                <w:rFonts w:hint="eastAsia" w:ascii="仿宋" w:hAnsi="仿宋" w:eastAsia="仿宋" w:cs="仿宋"/>
                <w:bCs/>
                <w:color w:val="auto"/>
                <w:szCs w:val="21"/>
                <w:highlight w:val="none"/>
              </w:rPr>
            </w:pPr>
          </w:p>
        </w:tc>
      </w:tr>
      <w:tr w14:paraId="52907834">
        <w:tblPrEx>
          <w:tblCellMar>
            <w:top w:w="0" w:type="dxa"/>
            <w:left w:w="0" w:type="dxa"/>
            <w:bottom w:w="0" w:type="dxa"/>
            <w:right w:w="0" w:type="dxa"/>
          </w:tblCellMar>
        </w:tblPrEx>
        <w:trPr>
          <w:cantSplit/>
          <w:trHeight w:val="388" w:hRule="atLeast"/>
          <w:jc w:val="center"/>
        </w:trPr>
        <w:tc>
          <w:tcPr>
            <w:tcW w:w="851" w:type="pct"/>
            <w:tcBorders>
              <w:top w:val="nil"/>
              <w:left w:val="single" w:color="auto" w:sz="12" w:space="0"/>
              <w:bottom w:val="single" w:color="auto" w:sz="4" w:space="0"/>
              <w:right w:val="single" w:color="auto" w:sz="4" w:space="0"/>
            </w:tcBorders>
            <w:tcMar>
              <w:top w:w="15" w:type="dxa"/>
              <w:left w:w="15" w:type="dxa"/>
              <w:bottom w:w="0" w:type="dxa"/>
              <w:right w:w="15" w:type="dxa"/>
            </w:tcMar>
            <w:vAlign w:val="center"/>
          </w:tcPr>
          <w:p w14:paraId="624261C9">
            <w:pPr>
              <w:jc w:val="center"/>
              <w:rPr>
                <w:rFonts w:hint="eastAsia" w:ascii="仿宋" w:hAnsi="仿宋" w:eastAsia="仿宋" w:cs="仿宋"/>
                <w:bCs/>
                <w:color w:val="auto"/>
                <w:szCs w:val="21"/>
                <w:highlight w:val="none"/>
              </w:rPr>
            </w:pPr>
          </w:p>
        </w:tc>
        <w:tc>
          <w:tcPr>
            <w:tcW w:w="936" w:type="pct"/>
            <w:tcBorders>
              <w:top w:val="nil"/>
              <w:left w:val="nil"/>
              <w:bottom w:val="single" w:color="auto" w:sz="4" w:space="0"/>
              <w:right w:val="single" w:color="auto" w:sz="4" w:space="0"/>
            </w:tcBorders>
            <w:tcMar>
              <w:top w:w="15" w:type="dxa"/>
              <w:left w:w="15" w:type="dxa"/>
              <w:bottom w:w="0" w:type="dxa"/>
              <w:right w:w="15" w:type="dxa"/>
            </w:tcMar>
            <w:vAlign w:val="center"/>
          </w:tcPr>
          <w:p w14:paraId="4E6B837B">
            <w:pPr>
              <w:jc w:val="center"/>
              <w:rPr>
                <w:rFonts w:hint="eastAsia" w:ascii="仿宋" w:hAnsi="仿宋" w:eastAsia="仿宋" w:cs="仿宋"/>
                <w:bCs/>
                <w:color w:val="auto"/>
                <w:szCs w:val="21"/>
                <w:highlight w:val="none"/>
              </w:rPr>
            </w:pPr>
          </w:p>
        </w:tc>
        <w:tc>
          <w:tcPr>
            <w:tcW w:w="1223" w:type="pct"/>
            <w:tcBorders>
              <w:top w:val="nil"/>
              <w:left w:val="nil"/>
              <w:bottom w:val="single" w:color="auto" w:sz="4" w:space="0"/>
              <w:right w:val="single" w:color="auto" w:sz="4" w:space="0"/>
            </w:tcBorders>
            <w:tcMar>
              <w:top w:w="15" w:type="dxa"/>
              <w:left w:w="15" w:type="dxa"/>
              <w:bottom w:w="0" w:type="dxa"/>
              <w:right w:w="15" w:type="dxa"/>
            </w:tcMar>
            <w:vAlign w:val="center"/>
          </w:tcPr>
          <w:p w14:paraId="42AC2E97">
            <w:pPr>
              <w:jc w:val="center"/>
              <w:rPr>
                <w:rFonts w:hint="eastAsia" w:ascii="仿宋" w:hAnsi="仿宋" w:eastAsia="仿宋" w:cs="仿宋"/>
                <w:bCs/>
                <w:color w:val="auto"/>
                <w:szCs w:val="21"/>
                <w:highlight w:val="none"/>
              </w:rPr>
            </w:pPr>
          </w:p>
        </w:tc>
        <w:tc>
          <w:tcPr>
            <w:tcW w:w="997"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01CF218E">
            <w:pPr>
              <w:jc w:val="center"/>
              <w:rPr>
                <w:rFonts w:hint="eastAsia" w:ascii="仿宋" w:hAnsi="仿宋" w:eastAsia="仿宋" w:cs="仿宋"/>
                <w:bCs/>
                <w:color w:val="auto"/>
                <w:szCs w:val="21"/>
                <w:highlight w:val="none"/>
              </w:rPr>
            </w:pPr>
          </w:p>
        </w:tc>
        <w:tc>
          <w:tcPr>
            <w:tcW w:w="992" w:type="pct"/>
            <w:tcBorders>
              <w:top w:val="nil"/>
              <w:left w:val="nil"/>
              <w:bottom w:val="single" w:color="auto" w:sz="4" w:space="0"/>
              <w:right w:val="single" w:color="auto" w:sz="12" w:space="0"/>
            </w:tcBorders>
            <w:tcMar>
              <w:top w:w="15" w:type="dxa"/>
              <w:left w:w="15" w:type="dxa"/>
              <w:bottom w:w="0" w:type="dxa"/>
              <w:right w:w="15" w:type="dxa"/>
            </w:tcMar>
            <w:vAlign w:val="center"/>
          </w:tcPr>
          <w:p w14:paraId="60607811">
            <w:pPr>
              <w:jc w:val="center"/>
              <w:rPr>
                <w:rFonts w:hint="eastAsia" w:ascii="仿宋" w:hAnsi="仿宋" w:eastAsia="仿宋" w:cs="仿宋"/>
                <w:bCs/>
                <w:color w:val="auto"/>
                <w:szCs w:val="21"/>
                <w:highlight w:val="none"/>
              </w:rPr>
            </w:pPr>
          </w:p>
        </w:tc>
      </w:tr>
      <w:tr w14:paraId="19ED3AF4">
        <w:tblPrEx>
          <w:tblCellMar>
            <w:top w:w="0" w:type="dxa"/>
            <w:left w:w="0" w:type="dxa"/>
            <w:bottom w:w="0" w:type="dxa"/>
            <w:right w:w="0" w:type="dxa"/>
          </w:tblCellMar>
        </w:tblPrEx>
        <w:trPr>
          <w:cantSplit/>
          <w:trHeight w:val="380" w:hRule="atLeast"/>
          <w:jc w:val="center"/>
        </w:trPr>
        <w:tc>
          <w:tcPr>
            <w:tcW w:w="5000" w:type="pct"/>
            <w:gridSpan w:val="6"/>
            <w:tcBorders>
              <w:top w:val="nil"/>
              <w:left w:val="single" w:color="auto" w:sz="12" w:space="0"/>
              <w:bottom w:val="single" w:color="auto" w:sz="4" w:space="0"/>
              <w:right w:val="single" w:color="auto" w:sz="12" w:space="0"/>
            </w:tcBorders>
            <w:vAlign w:val="center"/>
          </w:tcPr>
          <w:p w14:paraId="4709BE17">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财 务 状 况</w:t>
            </w:r>
          </w:p>
        </w:tc>
      </w:tr>
      <w:tr w14:paraId="3CCF2850">
        <w:tblPrEx>
          <w:tblCellMar>
            <w:top w:w="0" w:type="dxa"/>
            <w:left w:w="0" w:type="dxa"/>
            <w:bottom w:w="0" w:type="dxa"/>
            <w:right w:w="0" w:type="dxa"/>
          </w:tblCellMar>
        </w:tblPrEx>
        <w:trPr>
          <w:cantSplit/>
          <w:trHeight w:val="388" w:hRule="atLeast"/>
          <w:jc w:val="center"/>
        </w:trPr>
        <w:tc>
          <w:tcPr>
            <w:tcW w:w="851" w:type="pct"/>
            <w:tcBorders>
              <w:top w:val="nil"/>
              <w:left w:val="single" w:color="auto" w:sz="12" w:space="0"/>
              <w:bottom w:val="single" w:color="auto" w:sz="4" w:space="0"/>
              <w:right w:val="single" w:color="auto" w:sz="4" w:space="0"/>
            </w:tcBorders>
            <w:vAlign w:val="center"/>
          </w:tcPr>
          <w:p w14:paraId="23780720">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注册资本金</w:t>
            </w:r>
          </w:p>
        </w:tc>
        <w:tc>
          <w:tcPr>
            <w:tcW w:w="936" w:type="pct"/>
            <w:tcBorders>
              <w:top w:val="nil"/>
              <w:left w:val="nil"/>
              <w:bottom w:val="single" w:color="auto" w:sz="4" w:space="0"/>
              <w:right w:val="single" w:color="auto" w:sz="4" w:space="0"/>
            </w:tcBorders>
            <w:tcMar>
              <w:top w:w="15" w:type="dxa"/>
              <w:left w:w="15" w:type="dxa"/>
              <w:bottom w:w="0" w:type="dxa"/>
              <w:right w:w="15" w:type="dxa"/>
            </w:tcMar>
            <w:vAlign w:val="center"/>
          </w:tcPr>
          <w:p w14:paraId="3F1ABBAC">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开户行</w:t>
            </w:r>
          </w:p>
        </w:tc>
        <w:tc>
          <w:tcPr>
            <w:tcW w:w="1223" w:type="pct"/>
            <w:tcBorders>
              <w:top w:val="nil"/>
              <w:left w:val="nil"/>
              <w:bottom w:val="single" w:color="auto" w:sz="4" w:space="0"/>
              <w:right w:val="single" w:color="auto" w:sz="4" w:space="0"/>
            </w:tcBorders>
            <w:tcMar>
              <w:top w:w="15" w:type="dxa"/>
              <w:left w:w="15" w:type="dxa"/>
              <w:bottom w:w="0" w:type="dxa"/>
              <w:right w:w="15" w:type="dxa"/>
            </w:tcMar>
            <w:vAlign w:val="center"/>
          </w:tcPr>
          <w:p w14:paraId="6B544696">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账号</w:t>
            </w:r>
          </w:p>
        </w:tc>
        <w:tc>
          <w:tcPr>
            <w:tcW w:w="997"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65BD9B45">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固定资产</w:t>
            </w:r>
          </w:p>
        </w:tc>
        <w:tc>
          <w:tcPr>
            <w:tcW w:w="992" w:type="pct"/>
            <w:tcBorders>
              <w:top w:val="nil"/>
              <w:left w:val="nil"/>
              <w:bottom w:val="single" w:color="auto" w:sz="4" w:space="0"/>
              <w:right w:val="single" w:color="auto" w:sz="12" w:space="0"/>
            </w:tcBorders>
            <w:tcMar>
              <w:top w:w="15" w:type="dxa"/>
              <w:left w:w="15" w:type="dxa"/>
              <w:bottom w:w="0" w:type="dxa"/>
              <w:right w:w="15" w:type="dxa"/>
            </w:tcMar>
            <w:vAlign w:val="center"/>
          </w:tcPr>
          <w:p w14:paraId="794FC13D">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流动资产</w:t>
            </w:r>
          </w:p>
        </w:tc>
      </w:tr>
      <w:tr w14:paraId="4B795BA5">
        <w:tblPrEx>
          <w:tblCellMar>
            <w:top w:w="0" w:type="dxa"/>
            <w:left w:w="0" w:type="dxa"/>
            <w:bottom w:w="0" w:type="dxa"/>
            <w:right w:w="0" w:type="dxa"/>
          </w:tblCellMar>
        </w:tblPrEx>
        <w:trPr>
          <w:cantSplit/>
          <w:trHeight w:val="388" w:hRule="atLeast"/>
          <w:jc w:val="center"/>
        </w:trPr>
        <w:tc>
          <w:tcPr>
            <w:tcW w:w="851" w:type="pct"/>
            <w:tcBorders>
              <w:top w:val="nil"/>
              <w:left w:val="single" w:color="auto" w:sz="12" w:space="0"/>
              <w:bottom w:val="single" w:color="auto" w:sz="4" w:space="0"/>
              <w:right w:val="single" w:color="auto" w:sz="4" w:space="0"/>
            </w:tcBorders>
            <w:vAlign w:val="center"/>
          </w:tcPr>
          <w:p w14:paraId="376FC129">
            <w:pPr>
              <w:rPr>
                <w:rFonts w:hint="eastAsia" w:ascii="仿宋" w:hAnsi="仿宋" w:eastAsia="仿宋" w:cs="仿宋"/>
                <w:bCs/>
                <w:color w:val="auto"/>
                <w:szCs w:val="21"/>
                <w:highlight w:val="none"/>
              </w:rPr>
            </w:pPr>
          </w:p>
        </w:tc>
        <w:tc>
          <w:tcPr>
            <w:tcW w:w="936" w:type="pct"/>
            <w:tcBorders>
              <w:top w:val="nil"/>
              <w:left w:val="nil"/>
              <w:bottom w:val="single" w:color="auto" w:sz="4" w:space="0"/>
              <w:right w:val="single" w:color="auto" w:sz="4" w:space="0"/>
            </w:tcBorders>
            <w:tcMar>
              <w:top w:w="15" w:type="dxa"/>
              <w:left w:w="15" w:type="dxa"/>
              <w:bottom w:w="0" w:type="dxa"/>
              <w:right w:w="15" w:type="dxa"/>
            </w:tcMar>
            <w:vAlign w:val="center"/>
          </w:tcPr>
          <w:p w14:paraId="141C7FCB">
            <w:pPr>
              <w:jc w:val="center"/>
              <w:rPr>
                <w:rFonts w:hint="eastAsia" w:ascii="仿宋" w:hAnsi="仿宋" w:eastAsia="仿宋" w:cs="仿宋"/>
                <w:bCs/>
                <w:color w:val="auto"/>
                <w:szCs w:val="21"/>
                <w:highlight w:val="none"/>
              </w:rPr>
            </w:pPr>
          </w:p>
        </w:tc>
        <w:tc>
          <w:tcPr>
            <w:tcW w:w="1223" w:type="pct"/>
            <w:tcBorders>
              <w:top w:val="nil"/>
              <w:left w:val="nil"/>
              <w:bottom w:val="single" w:color="auto" w:sz="4" w:space="0"/>
              <w:right w:val="single" w:color="auto" w:sz="4" w:space="0"/>
            </w:tcBorders>
            <w:tcMar>
              <w:top w:w="15" w:type="dxa"/>
              <w:left w:w="15" w:type="dxa"/>
              <w:bottom w:w="0" w:type="dxa"/>
              <w:right w:w="15" w:type="dxa"/>
            </w:tcMar>
            <w:vAlign w:val="center"/>
          </w:tcPr>
          <w:p w14:paraId="395B21DE">
            <w:pPr>
              <w:jc w:val="center"/>
              <w:rPr>
                <w:rFonts w:hint="eastAsia" w:ascii="仿宋" w:hAnsi="仿宋" w:eastAsia="仿宋" w:cs="仿宋"/>
                <w:bCs/>
                <w:color w:val="auto"/>
                <w:szCs w:val="21"/>
                <w:highlight w:val="none"/>
              </w:rPr>
            </w:pPr>
          </w:p>
        </w:tc>
        <w:tc>
          <w:tcPr>
            <w:tcW w:w="997" w:type="pct"/>
            <w:gridSpan w:val="2"/>
            <w:tcBorders>
              <w:top w:val="nil"/>
              <w:left w:val="nil"/>
              <w:bottom w:val="single" w:color="auto" w:sz="4" w:space="0"/>
              <w:right w:val="single" w:color="auto" w:sz="4" w:space="0"/>
            </w:tcBorders>
            <w:tcMar>
              <w:top w:w="15" w:type="dxa"/>
              <w:left w:w="15" w:type="dxa"/>
              <w:bottom w:w="0" w:type="dxa"/>
              <w:right w:w="15" w:type="dxa"/>
            </w:tcMar>
            <w:vAlign w:val="center"/>
          </w:tcPr>
          <w:p w14:paraId="7540E8B2">
            <w:pPr>
              <w:jc w:val="center"/>
              <w:rPr>
                <w:rFonts w:hint="eastAsia" w:ascii="仿宋" w:hAnsi="仿宋" w:eastAsia="仿宋" w:cs="仿宋"/>
                <w:bCs/>
                <w:color w:val="auto"/>
                <w:szCs w:val="21"/>
                <w:highlight w:val="none"/>
              </w:rPr>
            </w:pPr>
          </w:p>
        </w:tc>
        <w:tc>
          <w:tcPr>
            <w:tcW w:w="992" w:type="pct"/>
            <w:tcBorders>
              <w:top w:val="nil"/>
              <w:left w:val="nil"/>
              <w:bottom w:val="single" w:color="auto" w:sz="4" w:space="0"/>
              <w:right w:val="single" w:color="auto" w:sz="12" w:space="0"/>
            </w:tcBorders>
            <w:tcMar>
              <w:top w:w="15" w:type="dxa"/>
              <w:left w:w="15" w:type="dxa"/>
              <w:bottom w:w="0" w:type="dxa"/>
              <w:right w:w="15" w:type="dxa"/>
            </w:tcMar>
            <w:vAlign w:val="center"/>
          </w:tcPr>
          <w:p w14:paraId="37DFF69F">
            <w:pPr>
              <w:jc w:val="center"/>
              <w:rPr>
                <w:rFonts w:hint="eastAsia" w:ascii="仿宋" w:hAnsi="仿宋" w:eastAsia="仿宋" w:cs="仿宋"/>
                <w:bCs/>
                <w:color w:val="auto"/>
                <w:szCs w:val="21"/>
                <w:highlight w:val="none"/>
              </w:rPr>
            </w:pPr>
          </w:p>
        </w:tc>
      </w:tr>
      <w:tr w14:paraId="34034A60">
        <w:tblPrEx>
          <w:tblCellMar>
            <w:top w:w="0" w:type="dxa"/>
            <w:left w:w="0" w:type="dxa"/>
            <w:bottom w:w="0" w:type="dxa"/>
            <w:right w:w="0" w:type="dxa"/>
          </w:tblCellMar>
        </w:tblPrEx>
        <w:trPr>
          <w:cantSplit/>
          <w:trHeight w:val="470" w:hRule="atLeast"/>
          <w:jc w:val="center"/>
        </w:trPr>
        <w:tc>
          <w:tcPr>
            <w:tcW w:w="1787" w:type="pct"/>
            <w:gridSpan w:val="2"/>
            <w:tcBorders>
              <w:top w:val="single" w:color="auto" w:sz="8" w:space="0"/>
              <w:left w:val="single" w:color="auto" w:sz="12" w:space="0"/>
              <w:bottom w:val="single" w:color="auto" w:sz="8" w:space="0"/>
              <w:right w:val="single" w:color="auto" w:sz="6" w:space="0"/>
            </w:tcBorders>
            <w:tcMar>
              <w:top w:w="15" w:type="dxa"/>
              <w:left w:w="15" w:type="dxa"/>
              <w:bottom w:w="0" w:type="dxa"/>
              <w:right w:w="15" w:type="dxa"/>
            </w:tcMar>
            <w:vAlign w:val="center"/>
          </w:tcPr>
          <w:p w14:paraId="5965BF31">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投标人认为需要说明的其它情况</w:t>
            </w:r>
          </w:p>
        </w:tc>
        <w:tc>
          <w:tcPr>
            <w:tcW w:w="3212" w:type="pct"/>
            <w:gridSpan w:val="4"/>
            <w:tcBorders>
              <w:top w:val="single" w:color="auto" w:sz="8" w:space="0"/>
              <w:left w:val="single" w:color="auto" w:sz="6" w:space="0"/>
              <w:bottom w:val="single" w:color="auto" w:sz="8" w:space="0"/>
              <w:right w:val="single" w:color="auto" w:sz="12" w:space="0"/>
            </w:tcBorders>
            <w:vAlign w:val="center"/>
          </w:tcPr>
          <w:p w14:paraId="392DA42B">
            <w:pPr>
              <w:jc w:val="center"/>
              <w:rPr>
                <w:rFonts w:hint="eastAsia" w:ascii="仿宋" w:hAnsi="仿宋" w:eastAsia="仿宋" w:cs="仿宋"/>
                <w:bCs/>
                <w:color w:val="auto"/>
                <w:szCs w:val="21"/>
                <w:highlight w:val="none"/>
              </w:rPr>
            </w:pPr>
          </w:p>
        </w:tc>
      </w:tr>
      <w:tr w14:paraId="45175C5D">
        <w:tblPrEx>
          <w:tblCellMar>
            <w:top w:w="0" w:type="dxa"/>
            <w:left w:w="0" w:type="dxa"/>
            <w:bottom w:w="0" w:type="dxa"/>
            <w:right w:w="0" w:type="dxa"/>
          </w:tblCellMar>
        </w:tblPrEx>
        <w:trPr>
          <w:cantSplit/>
          <w:trHeight w:val="361" w:hRule="atLeast"/>
          <w:jc w:val="center"/>
        </w:trPr>
        <w:tc>
          <w:tcPr>
            <w:tcW w:w="5000" w:type="pct"/>
            <w:gridSpan w:val="6"/>
            <w:tcBorders>
              <w:top w:val="single" w:color="auto" w:sz="8" w:space="0"/>
              <w:left w:val="single" w:color="auto" w:sz="12" w:space="0"/>
              <w:bottom w:val="single" w:color="auto" w:sz="4" w:space="0"/>
              <w:right w:val="single" w:color="auto" w:sz="12" w:space="0"/>
            </w:tcBorders>
            <w:tcMar>
              <w:top w:w="15" w:type="dxa"/>
              <w:left w:w="15" w:type="dxa"/>
              <w:bottom w:w="0" w:type="dxa"/>
              <w:right w:w="15" w:type="dxa"/>
            </w:tcMar>
            <w:vAlign w:val="center"/>
          </w:tcPr>
          <w:p w14:paraId="43F2744B">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主要业绩</w:t>
            </w:r>
          </w:p>
        </w:tc>
      </w:tr>
      <w:tr w14:paraId="26EABB3C">
        <w:tblPrEx>
          <w:tblCellMar>
            <w:top w:w="0" w:type="dxa"/>
            <w:left w:w="0" w:type="dxa"/>
            <w:bottom w:w="0" w:type="dxa"/>
            <w:right w:w="0" w:type="dxa"/>
          </w:tblCellMar>
        </w:tblPrEx>
        <w:trPr>
          <w:cantSplit/>
          <w:trHeight w:val="470" w:hRule="atLeast"/>
          <w:jc w:val="center"/>
        </w:trPr>
        <w:tc>
          <w:tcPr>
            <w:tcW w:w="5000" w:type="pct"/>
            <w:gridSpan w:val="6"/>
            <w:tcBorders>
              <w:top w:val="single" w:color="auto" w:sz="8" w:space="0"/>
              <w:left w:val="single" w:color="auto" w:sz="12" w:space="0"/>
              <w:bottom w:val="single" w:color="auto" w:sz="4" w:space="0"/>
              <w:right w:val="single" w:color="auto" w:sz="12" w:space="0"/>
            </w:tcBorders>
            <w:tcMar>
              <w:top w:w="15" w:type="dxa"/>
              <w:left w:w="15" w:type="dxa"/>
              <w:bottom w:w="0" w:type="dxa"/>
              <w:right w:w="15" w:type="dxa"/>
            </w:tcMar>
            <w:vAlign w:val="center"/>
          </w:tcPr>
          <w:p w14:paraId="6595F9AD">
            <w:pPr>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投标人经营状况及履约历史</w:t>
            </w:r>
          </w:p>
        </w:tc>
      </w:tr>
      <w:tr w14:paraId="694FAA7D">
        <w:tblPrEx>
          <w:tblCellMar>
            <w:top w:w="0" w:type="dxa"/>
            <w:left w:w="0" w:type="dxa"/>
            <w:bottom w:w="0" w:type="dxa"/>
            <w:right w:w="0" w:type="dxa"/>
          </w:tblCellMar>
        </w:tblPrEx>
        <w:trPr>
          <w:cantSplit/>
          <w:trHeight w:val="489" w:hRule="atLeast"/>
          <w:jc w:val="center"/>
        </w:trPr>
        <w:tc>
          <w:tcPr>
            <w:tcW w:w="5000" w:type="pct"/>
            <w:gridSpan w:val="6"/>
            <w:tcBorders>
              <w:top w:val="nil"/>
              <w:left w:val="single" w:color="auto" w:sz="12" w:space="0"/>
              <w:bottom w:val="single" w:color="auto" w:sz="12" w:space="0"/>
              <w:right w:val="single" w:color="auto" w:sz="12" w:space="0"/>
            </w:tcBorders>
            <w:tcMar>
              <w:top w:w="15" w:type="dxa"/>
              <w:left w:w="15" w:type="dxa"/>
              <w:bottom w:w="0" w:type="dxa"/>
              <w:right w:w="15" w:type="dxa"/>
            </w:tcMar>
            <w:vAlign w:val="center"/>
          </w:tcPr>
          <w:p w14:paraId="02CDE619">
            <w:pPr>
              <w:ind w:firstLine="210" w:firstLineChars="10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（可附表补充）</w:t>
            </w:r>
          </w:p>
        </w:tc>
      </w:tr>
    </w:tbl>
    <w:p w14:paraId="46A5A99F">
      <w:pPr>
        <w:pStyle w:val="11"/>
        <w:tabs>
          <w:tab w:val="left" w:pos="5580"/>
        </w:tabs>
        <w:spacing w:line="360" w:lineRule="auto"/>
        <w:ind w:firstLine="3684" w:firstLineChars="153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r>
        <w:rPr>
          <w:rFonts w:hint="eastAsia" w:ascii="仿宋" w:hAnsi="仿宋" w:eastAsia="仿宋" w:cs="仿宋"/>
          <w:color w:val="auto"/>
          <w:sz w:val="24"/>
          <w:szCs w:val="24"/>
          <w:highlight w:val="none"/>
          <w:u w:val="single"/>
        </w:rPr>
        <w:t xml:space="preserve">                    </w:t>
      </w:r>
    </w:p>
    <w:p w14:paraId="6FC1ACC6">
      <w:pPr>
        <w:pStyle w:val="11"/>
        <w:tabs>
          <w:tab w:val="left" w:pos="6390"/>
        </w:tabs>
        <w:spacing w:line="360" w:lineRule="auto"/>
        <w:ind w:firstLine="3684" w:firstLineChars="1535"/>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投标人法定代表人或其授权代表签字:</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51B69CA7">
      <w:pPr>
        <w:pStyle w:val="11"/>
        <w:tabs>
          <w:tab w:val="left" w:pos="5580"/>
        </w:tabs>
        <w:spacing w:line="360" w:lineRule="auto"/>
        <w:ind w:firstLine="3684" w:firstLineChars="1535"/>
        <w:rPr>
          <w:rFonts w:hint="eastAsia" w:ascii="仿宋" w:hAnsi="仿宋" w:eastAsia="仿宋" w:cs="仿宋"/>
          <w:color w:val="auto"/>
          <w:szCs w:val="21"/>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14:paraId="35BE7D3A">
      <w:pPr>
        <w:pStyle w:val="13"/>
        <w:ind w:left="0" w:leftChars="0" w:firstLine="0" w:firstLineChars="0"/>
        <w:outlineLvl w:val="2"/>
        <w:rPr>
          <w:rFonts w:hint="eastAsia" w:ascii="仿宋" w:hAnsi="仿宋" w:eastAsia="仿宋" w:cs="仿宋"/>
          <w:b/>
          <w:bCs/>
          <w:color w:val="auto"/>
          <w:sz w:val="24"/>
          <w:szCs w:val="24"/>
          <w:highlight w:val="none"/>
        </w:rPr>
      </w:pPr>
      <w:bookmarkStart w:id="226" w:name="_Toc140239974"/>
      <w:r>
        <w:rPr>
          <w:rFonts w:hint="eastAsia" w:ascii="仿宋" w:hAnsi="仿宋" w:eastAsia="仿宋" w:cs="仿宋"/>
          <w:b/>
          <w:bCs/>
          <w:color w:val="auto"/>
          <w:sz w:val="24"/>
          <w:szCs w:val="24"/>
          <w:highlight w:val="none"/>
        </w:rPr>
        <w:t>附件3-4：业绩</w:t>
      </w:r>
      <w:bookmarkEnd w:id="226"/>
    </w:p>
    <w:p w14:paraId="5273F008">
      <w:pPr>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说明：需提供合同或中标通知书等证明材料，复印件加盖单位公章，如所提供的合同或中标通知书无法体现以上内容，需提供用户证明文件证明以上内容并加盖用户公章，招标人保留核实证明文件原件及真实性的权利（复印件加盖投标人公章）。</w:t>
      </w:r>
    </w:p>
    <w:p w14:paraId="60CC47EC">
      <w:pPr>
        <w:rPr>
          <w:rFonts w:hint="eastAsia" w:ascii="仿宋" w:hAnsi="仿宋" w:eastAsia="仿宋" w:cs="仿宋"/>
          <w:color w:val="auto"/>
          <w:highlight w:val="none"/>
        </w:rPr>
      </w:pPr>
      <w:bookmarkStart w:id="227" w:name="_Toc140239975"/>
    </w:p>
    <w:p w14:paraId="52C92F1E">
      <w:pPr>
        <w:rPr>
          <w:rFonts w:hint="eastAsia" w:ascii="仿宋" w:hAnsi="仿宋" w:eastAsia="仿宋" w:cs="仿宋"/>
          <w:color w:val="auto"/>
          <w:highlight w:val="none"/>
        </w:rPr>
      </w:pPr>
    </w:p>
    <w:p w14:paraId="7B29860B">
      <w:pPr>
        <w:rPr>
          <w:rFonts w:hint="eastAsia" w:ascii="仿宋" w:hAnsi="仿宋" w:eastAsia="仿宋" w:cs="仿宋"/>
          <w:color w:val="auto"/>
          <w:highlight w:val="none"/>
        </w:rPr>
      </w:pPr>
    </w:p>
    <w:p w14:paraId="0CB9D0CD">
      <w:pPr>
        <w:rPr>
          <w:rFonts w:hint="eastAsia" w:ascii="仿宋" w:hAnsi="仿宋" w:eastAsia="仿宋" w:cs="仿宋"/>
          <w:color w:val="auto"/>
          <w:highlight w:val="none"/>
        </w:rPr>
      </w:pPr>
    </w:p>
    <w:p w14:paraId="51448D8A">
      <w:pPr>
        <w:rPr>
          <w:rFonts w:hint="eastAsia" w:ascii="仿宋" w:hAnsi="仿宋" w:eastAsia="仿宋" w:cs="仿宋"/>
          <w:color w:val="auto"/>
          <w:highlight w:val="none"/>
        </w:rPr>
      </w:pPr>
    </w:p>
    <w:p w14:paraId="5D76AD68">
      <w:pPr>
        <w:rPr>
          <w:rFonts w:hint="eastAsia" w:ascii="仿宋" w:hAnsi="仿宋" w:eastAsia="仿宋" w:cs="仿宋"/>
          <w:color w:val="auto"/>
          <w:highlight w:val="none"/>
        </w:rPr>
      </w:pPr>
    </w:p>
    <w:p w14:paraId="4715B6A6">
      <w:pPr>
        <w:rPr>
          <w:rFonts w:hint="eastAsia" w:ascii="仿宋" w:hAnsi="仿宋" w:eastAsia="仿宋" w:cs="仿宋"/>
          <w:color w:val="auto"/>
          <w:highlight w:val="none"/>
        </w:rPr>
      </w:pPr>
    </w:p>
    <w:p w14:paraId="21F56B48">
      <w:pPr>
        <w:pStyle w:val="13"/>
        <w:ind w:left="0" w:leftChars="0" w:firstLine="0" w:firstLineChars="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附件3-5：审计报告或资信证明</w:t>
      </w:r>
      <w:bookmarkEnd w:id="227"/>
    </w:p>
    <w:p w14:paraId="440CCCC7">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说明：投标人应提供2023年度(本项目投标截止日前一年)经会计事务所审计的完整年度审计报告(复印件加盖投标人公章)或投标截止日前三个月内银行开具的资信证明原件或复印件(复印件加盖投标人公章)</w:t>
      </w:r>
      <w:r>
        <w:rPr>
          <w:rFonts w:hint="eastAsia" w:ascii="仿宋" w:hAnsi="仿宋" w:eastAsia="仿宋" w:cs="仿宋"/>
          <w:color w:val="auto"/>
          <w:sz w:val="24"/>
          <w:szCs w:val="24"/>
          <w:highlight w:val="none"/>
        </w:rPr>
        <w:t>。</w:t>
      </w:r>
    </w:p>
    <w:p w14:paraId="0FCFF0AE">
      <w:pPr>
        <w:rPr>
          <w:rFonts w:hint="eastAsia" w:ascii="仿宋" w:hAnsi="仿宋" w:eastAsia="仿宋" w:cs="仿宋"/>
          <w:color w:val="auto"/>
          <w:highlight w:val="none"/>
        </w:rPr>
      </w:pPr>
      <w:bookmarkStart w:id="228" w:name="_Toc140239976"/>
    </w:p>
    <w:p w14:paraId="1DA0B976">
      <w:pPr>
        <w:rPr>
          <w:rFonts w:hint="eastAsia" w:ascii="仿宋" w:hAnsi="仿宋" w:eastAsia="仿宋" w:cs="仿宋"/>
          <w:color w:val="auto"/>
          <w:highlight w:val="none"/>
        </w:rPr>
      </w:pPr>
    </w:p>
    <w:p w14:paraId="675384D7">
      <w:pPr>
        <w:rPr>
          <w:rFonts w:hint="eastAsia" w:ascii="仿宋" w:hAnsi="仿宋" w:eastAsia="仿宋" w:cs="仿宋"/>
          <w:color w:val="auto"/>
          <w:highlight w:val="none"/>
        </w:rPr>
      </w:pPr>
    </w:p>
    <w:p w14:paraId="39CE4704">
      <w:pPr>
        <w:rPr>
          <w:rFonts w:hint="eastAsia" w:ascii="仿宋" w:hAnsi="仿宋" w:eastAsia="仿宋" w:cs="仿宋"/>
          <w:color w:val="auto"/>
          <w:highlight w:val="none"/>
        </w:rPr>
      </w:pPr>
    </w:p>
    <w:p w14:paraId="2912AFE6">
      <w:pPr>
        <w:rPr>
          <w:rFonts w:hint="eastAsia" w:ascii="仿宋" w:hAnsi="仿宋" w:eastAsia="仿宋" w:cs="仿宋"/>
          <w:color w:val="auto"/>
          <w:highlight w:val="none"/>
        </w:rPr>
      </w:pPr>
    </w:p>
    <w:p w14:paraId="142ED8BB">
      <w:pPr>
        <w:rPr>
          <w:rFonts w:hint="eastAsia" w:ascii="仿宋" w:hAnsi="仿宋" w:eastAsia="仿宋" w:cs="仿宋"/>
          <w:color w:val="auto"/>
          <w:highlight w:val="none"/>
        </w:rPr>
      </w:pPr>
    </w:p>
    <w:p w14:paraId="2335F481">
      <w:pPr>
        <w:rPr>
          <w:rFonts w:hint="eastAsia" w:ascii="仿宋" w:hAnsi="仿宋" w:eastAsia="仿宋" w:cs="仿宋"/>
          <w:color w:val="auto"/>
          <w:highlight w:val="none"/>
        </w:rPr>
      </w:pPr>
    </w:p>
    <w:p w14:paraId="492357A8">
      <w:pPr>
        <w:rPr>
          <w:rFonts w:hint="eastAsia" w:ascii="仿宋" w:hAnsi="仿宋" w:eastAsia="仿宋" w:cs="仿宋"/>
          <w:color w:val="auto"/>
          <w:highlight w:val="none"/>
        </w:rPr>
      </w:pPr>
    </w:p>
    <w:p w14:paraId="056AAD73">
      <w:pPr>
        <w:rPr>
          <w:rFonts w:hint="eastAsia" w:ascii="仿宋" w:hAnsi="仿宋" w:eastAsia="仿宋" w:cs="仿宋"/>
          <w:color w:val="auto"/>
          <w:highlight w:val="none"/>
        </w:rPr>
      </w:pPr>
    </w:p>
    <w:p w14:paraId="35CE388B">
      <w:pPr>
        <w:pStyle w:val="13"/>
        <w:ind w:left="0" w:leftChars="0" w:firstLine="0" w:firstLineChars="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附件3-6：企业完税证明及社会保障资金缴纳记录</w:t>
      </w:r>
      <w:bookmarkEnd w:id="228"/>
    </w:p>
    <w:p w14:paraId="429A5DBE">
      <w:pPr>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说明：投标人应提供税款所属时间为20</w:t>
      </w:r>
      <w:r>
        <w:rPr>
          <w:rFonts w:hint="eastAsia" w:ascii="仿宋" w:hAnsi="仿宋" w:eastAsia="仿宋" w:cs="仿宋"/>
          <w:color w:val="auto"/>
          <w:sz w:val="24"/>
          <w:szCs w:val="24"/>
          <w:highlight w:val="none"/>
          <w:lang w:val="en-US"/>
        </w:rPr>
        <w:t>23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rPr>
        <w:t>12</w:t>
      </w:r>
      <w:r>
        <w:rPr>
          <w:rFonts w:hint="eastAsia" w:ascii="仿宋" w:hAnsi="仿宋" w:eastAsia="仿宋" w:cs="仿宋"/>
          <w:color w:val="auto"/>
          <w:sz w:val="24"/>
          <w:szCs w:val="24"/>
          <w:highlight w:val="none"/>
        </w:rPr>
        <w:t>月至20</w:t>
      </w:r>
      <w:r>
        <w:rPr>
          <w:rFonts w:hint="eastAsia" w:ascii="仿宋" w:hAnsi="仿宋" w:eastAsia="仿宋" w:cs="仿宋"/>
          <w:color w:val="auto"/>
          <w:sz w:val="24"/>
          <w:szCs w:val="24"/>
          <w:highlight w:val="none"/>
          <w:lang w:val="en-US"/>
        </w:rPr>
        <w:t>24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rPr>
        <w:t>11</w:t>
      </w:r>
      <w:r>
        <w:rPr>
          <w:rFonts w:hint="eastAsia" w:ascii="仿宋" w:hAnsi="仿宋" w:eastAsia="仿宋" w:cs="仿宋"/>
          <w:color w:val="auto"/>
          <w:sz w:val="24"/>
          <w:szCs w:val="24"/>
          <w:highlight w:val="none"/>
        </w:rPr>
        <w:t>月(起止时间应为本项目投标截止日的前一年至投标截止日)期间任意连续三个月的相关机构出具的企业完税证明(企业代缴的个人所得税除外，如在其中某月无经营业务则应提供税务部门出具的相关证明）及社会保障资金缴纳记录（复印件加盖投标人公章）。</w:t>
      </w:r>
    </w:p>
    <w:p w14:paraId="691CA2E8">
      <w:pPr>
        <w:spacing w:line="360" w:lineRule="auto"/>
        <w:jc w:val="center"/>
        <w:rPr>
          <w:rFonts w:hint="eastAsia" w:ascii="仿宋" w:hAnsi="仿宋" w:eastAsia="仿宋" w:cs="仿宋"/>
          <w:color w:val="auto"/>
          <w:sz w:val="24"/>
          <w:szCs w:val="24"/>
          <w:highlight w:val="none"/>
        </w:rPr>
      </w:pPr>
    </w:p>
    <w:p w14:paraId="1E61010D">
      <w:pPr>
        <w:widowControl/>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B485F63">
      <w:pPr>
        <w:pStyle w:val="13"/>
        <w:spacing w:after="0"/>
        <w:ind w:left="0" w:leftChars="0" w:firstLine="0" w:firstLineChars="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附件3-7：承诺书</w:t>
      </w:r>
    </w:p>
    <w:p w14:paraId="3A3738CB">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承 诺 书</w:t>
      </w:r>
    </w:p>
    <w:p w14:paraId="5936D793">
      <w:pPr>
        <w:keepNext w:val="0"/>
        <w:keepLines w:val="0"/>
        <w:pageBreakBefore w:val="0"/>
        <w:widowControl w:val="0"/>
        <w:numPr>
          <w:ilvl w:val="0"/>
          <w:numId w:val="23"/>
        </w:numP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我公司</w:t>
      </w:r>
      <w:r>
        <w:rPr>
          <w:rFonts w:hint="eastAsia" w:ascii="仿宋" w:hAnsi="仿宋" w:eastAsia="仿宋" w:cs="仿宋"/>
          <w:color w:val="auto"/>
          <w:kern w:val="0"/>
          <w:sz w:val="22"/>
          <w:szCs w:val="22"/>
          <w:highlight w:val="none"/>
          <w:lang w:val="zh-CN"/>
        </w:rPr>
        <w:t>参加采购活动前三年内</w:t>
      </w:r>
      <w:r>
        <w:rPr>
          <w:rFonts w:hint="eastAsia" w:ascii="仿宋" w:hAnsi="仿宋" w:eastAsia="仿宋" w:cs="仿宋"/>
          <w:color w:val="auto"/>
          <w:sz w:val="22"/>
          <w:szCs w:val="22"/>
          <w:highlight w:val="none"/>
        </w:rPr>
        <w:t>，在经营活动中没有重大违法记录及行政处罚记录；</w:t>
      </w:r>
    </w:p>
    <w:p w14:paraId="096F88C3">
      <w:pPr>
        <w:keepNext w:val="0"/>
        <w:keepLines w:val="0"/>
        <w:pageBreakBefore w:val="0"/>
        <w:widowControl w:val="0"/>
        <w:numPr>
          <w:ilvl w:val="0"/>
          <w:numId w:val="23"/>
        </w:numP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我公司未发生在北京首新航空地面服务有限公司项目中标、中选后，存在因中标、中选人责任而未签订或未履行合同等行为,并给北京首新航空地面服务有限公司造成损失的情况；</w:t>
      </w:r>
    </w:p>
    <w:p w14:paraId="5839E969">
      <w:pPr>
        <w:keepNext w:val="0"/>
        <w:keepLines w:val="0"/>
        <w:pageBreakBefore w:val="0"/>
        <w:widowControl w:val="0"/>
        <w:numPr>
          <w:ilvl w:val="0"/>
          <w:numId w:val="23"/>
        </w:numPr>
        <w:kinsoku/>
        <w:wordWrap/>
        <w:overflowPunct/>
        <w:topLinePunct w:val="0"/>
        <w:autoSpaceDE/>
        <w:autoSpaceDN/>
        <w:bidi w:val="0"/>
        <w:adjustRightInd/>
        <w:snapToGrid/>
        <w:spacing w:line="312" w:lineRule="auto"/>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我公司在过去三年内未出现以下任一情况：</w:t>
      </w:r>
    </w:p>
    <w:p w14:paraId="39BA918F">
      <w:pPr>
        <w:keepNext w:val="0"/>
        <w:keepLines w:val="0"/>
        <w:pageBreakBefore w:val="0"/>
        <w:widowControl w:val="0"/>
        <w:numPr>
          <w:ilvl w:val="0"/>
          <w:numId w:val="24"/>
        </w:numPr>
        <w:kinsoku/>
        <w:wordWrap/>
        <w:overflowPunct/>
        <w:topLinePunct w:val="0"/>
        <w:autoSpaceDE/>
        <w:autoSpaceDN/>
        <w:bidi w:val="0"/>
        <w:adjustRightInd/>
        <w:snapToGrid/>
        <w:spacing w:line="312" w:lineRule="auto"/>
        <w:textAlignment w:val="auto"/>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因产品/服务质量导致安全生产责任事故受到行政处罚的；</w:t>
      </w:r>
    </w:p>
    <w:p w14:paraId="12C478AF">
      <w:pPr>
        <w:keepNext w:val="0"/>
        <w:keepLines w:val="0"/>
        <w:pageBreakBefore w:val="0"/>
        <w:widowControl w:val="0"/>
        <w:numPr>
          <w:ilvl w:val="0"/>
          <w:numId w:val="24"/>
        </w:numP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被信用中国网站（www.creditchina.gov.cn）列入失信被执行人、重大税收违法失信主体、经营异常名录、严重失信主体名单等。</w:t>
      </w:r>
    </w:p>
    <w:p w14:paraId="368ECAD4">
      <w:pPr>
        <w:keepNext w:val="0"/>
        <w:keepLines w:val="0"/>
        <w:pageBreakBefore w:val="0"/>
        <w:widowControl w:val="0"/>
        <w:kinsoku/>
        <w:wordWrap/>
        <w:overflowPunct/>
        <w:topLinePunct w:val="0"/>
        <w:autoSpaceDE/>
        <w:autoSpaceDN/>
        <w:bidi w:val="0"/>
        <w:adjustRightInd/>
        <w:snapToGrid/>
        <w:spacing w:line="312" w:lineRule="auto"/>
        <w:ind w:left="42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四、我公司非联合体形式参与投标，并承诺中标后不进行转包、分包。</w:t>
      </w:r>
    </w:p>
    <w:p w14:paraId="56FEE312">
      <w:pPr>
        <w:keepNext w:val="0"/>
        <w:keepLines w:val="0"/>
        <w:pageBreakBefore w:val="0"/>
        <w:widowControl w:val="0"/>
        <w:kinsoku/>
        <w:wordWrap/>
        <w:overflowPunct/>
        <w:topLinePunct w:val="0"/>
        <w:autoSpaceDE/>
        <w:autoSpaceDN/>
        <w:bidi w:val="0"/>
        <w:adjustRightInd/>
        <w:snapToGrid/>
        <w:spacing w:line="312" w:lineRule="auto"/>
        <w:ind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我公司承诺不存在与其他投标人相互串通投标等违法行为，并熟知如发现我公司存在下述情形，将被列入北京首新航空地面服务有限公司不合格供应商目录，三年内不得参与北京首新航空地面服务有限公司的招标项目。</w:t>
      </w:r>
    </w:p>
    <w:p w14:paraId="17A6F9A0">
      <w:pPr>
        <w:keepNext w:val="0"/>
        <w:keepLines w:val="0"/>
        <w:pageBreakBefore w:val="0"/>
        <w:widowControl w:val="0"/>
        <w:numPr>
          <w:ilvl w:val="0"/>
          <w:numId w:val="25"/>
        </w:numP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《中华人民共和国招标投标法实施条例》第三十九条内容：投标人有下列情形之一的，属于投标人相互串通投标：</w:t>
      </w:r>
    </w:p>
    <w:p w14:paraId="7EA8096A">
      <w:pPr>
        <w:keepNext w:val="0"/>
        <w:keepLines w:val="0"/>
        <w:pageBreakBefore w:val="0"/>
        <w:widowControl w:val="0"/>
        <w:numPr>
          <w:ilvl w:val="0"/>
          <w:numId w:val="26"/>
        </w:numPr>
        <w:kinsoku/>
        <w:wordWrap/>
        <w:overflowPunct/>
        <w:topLinePunct w:val="0"/>
        <w:autoSpaceDE/>
        <w:autoSpaceDN/>
        <w:bidi w:val="0"/>
        <w:adjustRightInd/>
        <w:snapToGrid/>
        <w:spacing w:line="312" w:lineRule="auto"/>
        <w:ind w:lef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投标人之间协商投标报价等投标文件的实质性内容；</w:t>
      </w:r>
    </w:p>
    <w:p w14:paraId="3A60797A">
      <w:pPr>
        <w:keepNext w:val="0"/>
        <w:keepLines w:val="0"/>
        <w:pageBreakBefore w:val="0"/>
        <w:widowControl w:val="0"/>
        <w:numPr>
          <w:ilvl w:val="0"/>
          <w:numId w:val="26"/>
        </w:numPr>
        <w:kinsoku/>
        <w:wordWrap/>
        <w:overflowPunct/>
        <w:topLinePunct w:val="0"/>
        <w:autoSpaceDE/>
        <w:autoSpaceDN/>
        <w:bidi w:val="0"/>
        <w:adjustRightInd/>
        <w:snapToGrid/>
        <w:spacing w:line="312" w:lineRule="auto"/>
        <w:ind w:lef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投标人之间约定中标人；</w:t>
      </w:r>
    </w:p>
    <w:p w14:paraId="0482A220">
      <w:pPr>
        <w:keepNext w:val="0"/>
        <w:keepLines w:val="0"/>
        <w:pageBreakBefore w:val="0"/>
        <w:widowControl w:val="0"/>
        <w:numPr>
          <w:ilvl w:val="0"/>
          <w:numId w:val="26"/>
        </w:numPr>
        <w:kinsoku/>
        <w:wordWrap/>
        <w:overflowPunct/>
        <w:topLinePunct w:val="0"/>
        <w:autoSpaceDE/>
        <w:autoSpaceDN/>
        <w:bidi w:val="0"/>
        <w:adjustRightInd/>
        <w:snapToGrid/>
        <w:spacing w:line="312" w:lineRule="auto"/>
        <w:ind w:left="0"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投标人之间约定部分投标人放弃投标或者中标；</w:t>
      </w:r>
    </w:p>
    <w:p w14:paraId="6AB327D5">
      <w:pPr>
        <w:keepNext w:val="0"/>
        <w:keepLines w:val="0"/>
        <w:pageBreakBefore w:val="0"/>
        <w:widowControl w:val="0"/>
        <w:numPr>
          <w:ilvl w:val="0"/>
          <w:numId w:val="26"/>
        </w:numPr>
        <w:kinsoku/>
        <w:wordWrap/>
        <w:overflowPunct/>
        <w:topLinePunct w:val="0"/>
        <w:autoSpaceDE/>
        <w:autoSpaceDN/>
        <w:bidi w:val="0"/>
        <w:adjustRightInd/>
        <w:snapToGrid/>
        <w:spacing w:line="312" w:lineRule="auto"/>
        <w:ind w:lef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属于同一集团、协会、商会等组织成员的投标人按照该组织要求协同投标；</w:t>
      </w:r>
    </w:p>
    <w:p w14:paraId="38E567F1">
      <w:pPr>
        <w:keepNext w:val="0"/>
        <w:keepLines w:val="0"/>
        <w:pageBreakBefore w:val="0"/>
        <w:widowControl w:val="0"/>
        <w:numPr>
          <w:ilvl w:val="0"/>
          <w:numId w:val="25"/>
        </w:numPr>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《中华人民共和国招标投标法实施条例》第四十条内容：投标人有下列情形之一的，视为投标人相互串通投标：</w:t>
      </w:r>
    </w:p>
    <w:p w14:paraId="15D345B0">
      <w:pPr>
        <w:keepNext w:val="0"/>
        <w:keepLines w:val="0"/>
        <w:pageBreakBefore w:val="0"/>
        <w:widowControl w:val="0"/>
        <w:numPr>
          <w:ilvl w:val="0"/>
          <w:numId w:val="27"/>
        </w:numPr>
        <w:kinsoku/>
        <w:wordWrap/>
        <w:overflowPunct/>
        <w:topLinePunct w:val="0"/>
        <w:autoSpaceDE/>
        <w:autoSpaceDN/>
        <w:bidi w:val="0"/>
        <w:adjustRightInd/>
        <w:snapToGrid/>
        <w:spacing w:line="312" w:lineRule="auto"/>
        <w:ind w:lef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不同投标人的投标文件由同一单位或者个人编制；</w:t>
      </w:r>
    </w:p>
    <w:p w14:paraId="14AD81C2">
      <w:pPr>
        <w:keepNext w:val="0"/>
        <w:keepLines w:val="0"/>
        <w:pageBreakBefore w:val="0"/>
        <w:widowControl w:val="0"/>
        <w:numPr>
          <w:ilvl w:val="0"/>
          <w:numId w:val="27"/>
        </w:numPr>
        <w:kinsoku/>
        <w:wordWrap/>
        <w:overflowPunct/>
        <w:topLinePunct w:val="0"/>
        <w:autoSpaceDE/>
        <w:autoSpaceDN/>
        <w:bidi w:val="0"/>
        <w:adjustRightInd/>
        <w:snapToGrid/>
        <w:spacing w:line="312" w:lineRule="auto"/>
        <w:ind w:lef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不同投标人委托同一单位或者个人办理投标事宜；</w:t>
      </w:r>
    </w:p>
    <w:p w14:paraId="28FD58D8">
      <w:pPr>
        <w:keepNext w:val="0"/>
        <w:keepLines w:val="0"/>
        <w:pageBreakBefore w:val="0"/>
        <w:widowControl w:val="0"/>
        <w:numPr>
          <w:ilvl w:val="0"/>
          <w:numId w:val="27"/>
        </w:numPr>
        <w:kinsoku/>
        <w:wordWrap/>
        <w:overflowPunct/>
        <w:topLinePunct w:val="0"/>
        <w:autoSpaceDE/>
        <w:autoSpaceDN/>
        <w:bidi w:val="0"/>
        <w:adjustRightInd/>
        <w:snapToGrid/>
        <w:spacing w:line="312" w:lineRule="auto"/>
        <w:ind w:lef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不同投标人的投标文件载明的项目管理成员为同一人；</w:t>
      </w:r>
    </w:p>
    <w:p w14:paraId="064C7892">
      <w:pPr>
        <w:keepNext w:val="0"/>
        <w:keepLines w:val="0"/>
        <w:pageBreakBefore w:val="0"/>
        <w:widowControl w:val="0"/>
        <w:numPr>
          <w:ilvl w:val="0"/>
          <w:numId w:val="27"/>
        </w:numPr>
        <w:kinsoku/>
        <w:wordWrap/>
        <w:overflowPunct/>
        <w:topLinePunct w:val="0"/>
        <w:autoSpaceDE/>
        <w:autoSpaceDN/>
        <w:bidi w:val="0"/>
        <w:adjustRightInd/>
        <w:snapToGrid/>
        <w:spacing w:line="312" w:lineRule="auto"/>
        <w:ind w:lef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不同投标人的投标文件异常一致或者投标报价呈规律性差异；</w:t>
      </w:r>
    </w:p>
    <w:p w14:paraId="4CC2AB5B">
      <w:pPr>
        <w:keepNext w:val="0"/>
        <w:keepLines w:val="0"/>
        <w:pageBreakBefore w:val="0"/>
        <w:widowControl w:val="0"/>
        <w:numPr>
          <w:ilvl w:val="0"/>
          <w:numId w:val="27"/>
        </w:numPr>
        <w:kinsoku/>
        <w:wordWrap/>
        <w:overflowPunct/>
        <w:topLinePunct w:val="0"/>
        <w:autoSpaceDE/>
        <w:autoSpaceDN/>
        <w:bidi w:val="0"/>
        <w:adjustRightInd/>
        <w:snapToGrid/>
        <w:spacing w:line="312" w:lineRule="auto"/>
        <w:ind w:lef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不同投标人的投标文件相互混装；</w:t>
      </w:r>
    </w:p>
    <w:p w14:paraId="672114D6">
      <w:pPr>
        <w:keepNext w:val="0"/>
        <w:keepLines w:val="0"/>
        <w:pageBreakBefore w:val="0"/>
        <w:widowControl w:val="0"/>
        <w:numPr>
          <w:ilvl w:val="0"/>
          <w:numId w:val="27"/>
        </w:numPr>
        <w:kinsoku/>
        <w:wordWrap/>
        <w:overflowPunct/>
        <w:topLinePunct w:val="0"/>
        <w:autoSpaceDE/>
        <w:autoSpaceDN/>
        <w:bidi w:val="0"/>
        <w:adjustRightInd/>
        <w:snapToGrid/>
        <w:spacing w:line="312" w:lineRule="auto"/>
        <w:ind w:left="0" w:firstLine="440" w:firstLineChars="20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不同投标人的投标保证金从同一单位或者个人的账户转出。</w:t>
      </w:r>
    </w:p>
    <w:p w14:paraId="1C623A3B">
      <w:pPr>
        <w:pStyle w:val="11"/>
        <w:tabs>
          <w:tab w:val="left" w:pos="5580"/>
        </w:tabs>
        <w:spacing w:line="300" w:lineRule="auto"/>
        <w:ind w:firstLine="440" w:firstLineChars="200"/>
        <w:rPr>
          <w:rFonts w:hint="eastAsia" w:ascii="仿宋" w:hAnsi="仿宋" w:eastAsia="仿宋" w:cs="仿宋"/>
          <w:color w:val="auto"/>
          <w:sz w:val="22"/>
          <w:szCs w:val="22"/>
          <w:highlight w:val="none"/>
        </w:rPr>
      </w:pPr>
    </w:p>
    <w:p w14:paraId="5CEF3921">
      <w:pPr>
        <w:pStyle w:val="11"/>
        <w:tabs>
          <w:tab w:val="left" w:pos="5580"/>
        </w:tabs>
        <w:spacing w:line="30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特此声明。</w:t>
      </w:r>
    </w:p>
    <w:p w14:paraId="2C230271">
      <w:pPr>
        <w:pStyle w:val="11"/>
        <w:tabs>
          <w:tab w:val="left" w:pos="5580"/>
        </w:tabs>
        <w:spacing w:line="360" w:lineRule="auto"/>
        <w:ind w:firstLine="2880" w:firstLineChars="1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投标人名称（盖章）：</w:t>
      </w:r>
      <w:r>
        <w:rPr>
          <w:rFonts w:hint="eastAsia" w:ascii="仿宋" w:hAnsi="仿宋" w:eastAsia="仿宋" w:cs="仿宋"/>
          <w:color w:val="auto"/>
          <w:sz w:val="24"/>
          <w:highlight w:val="none"/>
          <w:u w:val="single"/>
        </w:rPr>
        <w:t xml:space="preserve">                         </w:t>
      </w:r>
    </w:p>
    <w:p w14:paraId="27F3DCEC">
      <w:pPr>
        <w:pStyle w:val="11"/>
        <w:tabs>
          <w:tab w:val="left" w:pos="5460"/>
        </w:tabs>
        <w:spacing w:line="360" w:lineRule="auto"/>
        <w:ind w:firstLine="2880" w:firstLineChars="1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投标人法定代表人或其授权代表签字:</w:t>
      </w:r>
      <w:r>
        <w:rPr>
          <w:rFonts w:hint="eastAsia" w:ascii="仿宋" w:hAnsi="仿宋" w:eastAsia="仿宋" w:cs="仿宋"/>
          <w:color w:val="auto"/>
          <w:sz w:val="24"/>
          <w:highlight w:val="none"/>
          <w:u w:val="single"/>
        </w:rPr>
        <w:t xml:space="preserve">           </w:t>
      </w:r>
    </w:p>
    <w:p w14:paraId="24F7D483">
      <w:pPr>
        <w:spacing w:line="360" w:lineRule="auto"/>
        <w:ind w:firstLine="2880" w:firstLineChars="1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2471020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说明：1、投标人应当根据自身存在的情形，如实披露与本单位负责人为同一人或者存在直接控股、管理关系的供应商情况。</w:t>
      </w:r>
    </w:p>
    <w:p w14:paraId="4BDFEF7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2、单位负责人为同一人或者存在直接控股、管理关系的不同供应商，参加同一合同项下的采购活动，相关投标均无效。</w:t>
      </w:r>
    </w:p>
    <w:p w14:paraId="2C8D754E">
      <w:pPr>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rPr>
        <w:t>（如不存在上述情况，请提供如下声明）</w:t>
      </w:r>
    </w:p>
    <w:p w14:paraId="4EB4F8E1">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声 明 函</w:t>
      </w:r>
    </w:p>
    <w:p w14:paraId="1C2950FF">
      <w:pPr>
        <w:spacing w:line="360" w:lineRule="auto"/>
        <w:rPr>
          <w:rFonts w:hint="eastAsia" w:ascii="仿宋" w:hAnsi="仿宋" w:eastAsia="仿宋" w:cs="仿宋"/>
          <w:color w:val="auto"/>
          <w:sz w:val="24"/>
          <w:szCs w:val="24"/>
          <w:highlight w:val="none"/>
        </w:rPr>
      </w:pPr>
    </w:p>
    <w:p w14:paraId="4297CC05">
      <w:pPr>
        <w:spacing w:line="48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招标代理公司名称：</w:t>
      </w:r>
    </w:p>
    <w:p w14:paraId="1B6FB95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我单位负责人</w:t>
      </w:r>
      <w:r>
        <w:rPr>
          <w:rFonts w:hint="eastAsia" w:ascii="仿宋" w:hAnsi="仿宋" w:eastAsia="仿宋" w:cs="仿宋"/>
          <w:color w:val="auto"/>
          <w:sz w:val="24"/>
          <w:szCs w:val="24"/>
          <w:highlight w:val="none"/>
          <w:u w:val="single"/>
        </w:rPr>
        <w:t>（负责人姓名、身份证号）</w:t>
      </w:r>
      <w:r>
        <w:rPr>
          <w:rFonts w:hint="eastAsia" w:ascii="仿宋" w:hAnsi="仿宋" w:eastAsia="仿宋" w:cs="仿宋"/>
          <w:color w:val="auto"/>
          <w:sz w:val="24"/>
          <w:szCs w:val="24"/>
          <w:highlight w:val="none"/>
        </w:rPr>
        <w:t>，不存在与我单位负责人为同一人的不同供应商参加同一合同项下的招标采购活动的情形。</w:t>
      </w:r>
    </w:p>
    <w:p w14:paraId="733F8A6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与我单位存在直接控股、管理关系的单位</w:t>
      </w:r>
      <w:r>
        <w:rPr>
          <w:rFonts w:hint="eastAsia" w:ascii="仿宋" w:hAnsi="仿宋" w:eastAsia="仿宋" w:cs="仿宋"/>
          <w:color w:val="auto"/>
          <w:sz w:val="24"/>
          <w:szCs w:val="24"/>
          <w:highlight w:val="none"/>
          <w:u w:val="single"/>
        </w:rPr>
        <w:t>（单位名称，如没有填“无”）</w:t>
      </w:r>
      <w:r>
        <w:rPr>
          <w:rFonts w:hint="eastAsia" w:ascii="仿宋" w:hAnsi="仿宋" w:eastAsia="仿宋" w:cs="仿宋"/>
          <w:color w:val="auto"/>
          <w:sz w:val="24"/>
          <w:szCs w:val="24"/>
          <w:highlight w:val="none"/>
        </w:rPr>
        <w:t>，不存在与我单位存在直接控股、管理管理的不同供应商参加同一合同项下的招标采购活动的情形。</w:t>
      </w:r>
    </w:p>
    <w:p w14:paraId="2CDEC8E8">
      <w:pPr>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我单位确认本声明是真实的、正确的，如有虚假，相应后果和法律责任均由我单位承担。</w:t>
      </w:r>
    </w:p>
    <w:p w14:paraId="407F8B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6C71CD42">
      <w:pPr>
        <w:rPr>
          <w:rFonts w:hint="eastAsia" w:ascii="仿宋" w:hAnsi="仿宋" w:eastAsia="仿宋" w:cs="仿宋"/>
          <w:color w:val="auto"/>
          <w:sz w:val="24"/>
          <w:szCs w:val="24"/>
          <w:highlight w:val="none"/>
        </w:rPr>
      </w:pPr>
    </w:p>
    <w:p w14:paraId="01878BD7">
      <w:pPr>
        <w:rPr>
          <w:rFonts w:hint="eastAsia" w:ascii="仿宋" w:hAnsi="仿宋" w:eastAsia="仿宋" w:cs="仿宋"/>
          <w:color w:val="auto"/>
          <w:sz w:val="24"/>
          <w:szCs w:val="24"/>
          <w:highlight w:val="none"/>
        </w:rPr>
      </w:pPr>
    </w:p>
    <w:p w14:paraId="5FE25DBF">
      <w:pPr>
        <w:ind w:firstLine="480" w:firstLineChars="200"/>
        <w:rPr>
          <w:rFonts w:hint="eastAsia" w:ascii="仿宋" w:hAnsi="仿宋" w:eastAsia="仿宋" w:cs="仿宋"/>
          <w:color w:val="auto"/>
          <w:sz w:val="24"/>
          <w:szCs w:val="24"/>
          <w:highlight w:val="none"/>
        </w:rPr>
      </w:pPr>
    </w:p>
    <w:p w14:paraId="0CD320F5">
      <w:pPr>
        <w:ind w:firstLine="480" w:firstLineChars="200"/>
        <w:rPr>
          <w:rFonts w:hint="eastAsia" w:ascii="仿宋" w:hAnsi="仿宋" w:eastAsia="仿宋" w:cs="仿宋"/>
          <w:color w:val="auto"/>
          <w:sz w:val="24"/>
          <w:szCs w:val="24"/>
          <w:highlight w:val="none"/>
        </w:rPr>
      </w:pPr>
    </w:p>
    <w:p w14:paraId="11ED4A40">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color w:val="auto"/>
          <w:sz w:val="24"/>
          <w:szCs w:val="24"/>
          <w:highlight w:val="none"/>
          <w:u w:val="single"/>
        </w:rPr>
        <w:t xml:space="preserve">                      </w:t>
      </w:r>
    </w:p>
    <w:p w14:paraId="4C5F1CF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157CD98">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投标人名称（公章）：</w:t>
      </w:r>
      <w:r>
        <w:rPr>
          <w:rFonts w:hint="eastAsia" w:ascii="仿宋" w:hAnsi="仿宋" w:eastAsia="仿宋" w:cs="仿宋"/>
          <w:color w:val="auto"/>
          <w:sz w:val="24"/>
          <w:szCs w:val="24"/>
          <w:highlight w:val="none"/>
          <w:u w:val="single"/>
        </w:rPr>
        <w:t xml:space="preserve">                         </w:t>
      </w:r>
    </w:p>
    <w:p w14:paraId="273D125A">
      <w:pPr>
        <w:spacing w:line="360" w:lineRule="auto"/>
        <w:rPr>
          <w:rFonts w:hint="eastAsia" w:ascii="仿宋" w:hAnsi="仿宋" w:eastAsia="仿宋" w:cs="仿宋"/>
          <w:color w:val="auto"/>
          <w:sz w:val="24"/>
          <w:szCs w:val="24"/>
          <w:highlight w:val="none"/>
        </w:rPr>
      </w:pPr>
    </w:p>
    <w:p w14:paraId="1CD5D6C6">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14:paraId="238A489D">
      <w:pPr>
        <w:tabs>
          <w:tab w:val="left" w:pos="1117"/>
        </w:tabs>
        <w:rPr>
          <w:rFonts w:hint="eastAsia" w:ascii="仿宋" w:hAnsi="仿宋" w:eastAsia="仿宋" w:cs="仿宋"/>
          <w:bCs/>
          <w:color w:val="auto"/>
          <w:sz w:val="24"/>
          <w:szCs w:val="24"/>
          <w:highlight w:val="none"/>
        </w:rPr>
      </w:pPr>
    </w:p>
    <w:p w14:paraId="62D59477">
      <w:pPr>
        <w:tabs>
          <w:tab w:val="left" w:pos="1117"/>
        </w:tabs>
        <w:rPr>
          <w:rFonts w:hint="eastAsia" w:ascii="仿宋" w:hAnsi="仿宋" w:eastAsia="仿宋" w:cs="仿宋"/>
          <w:bCs/>
          <w:color w:val="auto"/>
          <w:sz w:val="24"/>
          <w:szCs w:val="24"/>
          <w:highlight w:val="none"/>
        </w:rPr>
      </w:pPr>
    </w:p>
    <w:p w14:paraId="3128C634">
      <w:pPr>
        <w:tabs>
          <w:tab w:val="left" w:pos="1117"/>
        </w:tabs>
        <w:rPr>
          <w:rFonts w:hint="eastAsia" w:ascii="仿宋" w:hAnsi="仿宋" w:eastAsia="仿宋" w:cs="仿宋"/>
          <w:bCs/>
          <w:color w:val="auto"/>
          <w:sz w:val="24"/>
          <w:szCs w:val="24"/>
          <w:highlight w:val="none"/>
        </w:rPr>
      </w:pPr>
    </w:p>
    <w:p w14:paraId="0AABCE38">
      <w:pPr>
        <w:tabs>
          <w:tab w:val="left" w:pos="1117"/>
        </w:tabs>
        <w:rPr>
          <w:rFonts w:hint="eastAsia" w:ascii="仿宋" w:hAnsi="仿宋" w:eastAsia="仿宋" w:cs="仿宋"/>
          <w:bCs/>
          <w:color w:val="auto"/>
          <w:sz w:val="24"/>
          <w:szCs w:val="24"/>
          <w:highlight w:val="none"/>
        </w:rPr>
      </w:pPr>
    </w:p>
    <w:p w14:paraId="2F654936">
      <w:pPr>
        <w:tabs>
          <w:tab w:val="left" w:pos="1117"/>
        </w:tabs>
        <w:rPr>
          <w:rFonts w:hint="eastAsia" w:ascii="仿宋" w:hAnsi="仿宋" w:eastAsia="仿宋" w:cs="仿宋"/>
          <w:bCs/>
          <w:color w:val="auto"/>
          <w:sz w:val="24"/>
          <w:szCs w:val="24"/>
          <w:highlight w:val="none"/>
        </w:rPr>
      </w:pPr>
    </w:p>
    <w:p w14:paraId="3E0247CE">
      <w:pPr>
        <w:tabs>
          <w:tab w:val="left" w:pos="1117"/>
        </w:tabs>
        <w:rPr>
          <w:rFonts w:hint="eastAsia" w:ascii="仿宋" w:hAnsi="仿宋" w:eastAsia="仿宋" w:cs="仿宋"/>
          <w:bCs/>
          <w:color w:val="auto"/>
          <w:sz w:val="24"/>
          <w:szCs w:val="24"/>
          <w:highlight w:val="none"/>
        </w:rPr>
      </w:pPr>
    </w:p>
    <w:p w14:paraId="582C10F9">
      <w:pPr>
        <w:tabs>
          <w:tab w:val="left" w:pos="1117"/>
        </w:tabs>
        <w:rPr>
          <w:rFonts w:hint="eastAsia" w:ascii="仿宋" w:hAnsi="仿宋" w:eastAsia="仿宋" w:cs="仿宋"/>
          <w:bCs/>
          <w:color w:val="auto"/>
          <w:sz w:val="24"/>
          <w:szCs w:val="24"/>
          <w:highlight w:val="none"/>
        </w:rPr>
      </w:pPr>
    </w:p>
    <w:p w14:paraId="571157B1">
      <w:pPr>
        <w:tabs>
          <w:tab w:val="left" w:pos="1117"/>
        </w:tabs>
        <w:rPr>
          <w:rFonts w:hint="eastAsia" w:ascii="仿宋" w:hAnsi="仿宋" w:eastAsia="仿宋" w:cs="仿宋"/>
          <w:bCs/>
          <w:color w:val="auto"/>
          <w:sz w:val="24"/>
          <w:szCs w:val="24"/>
          <w:highlight w:val="none"/>
        </w:rPr>
      </w:pPr>
    </w:p>
    <w:p w14:paraId="56F021CA">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廉洁诚信承诺书</w:t>
      </w:r>
    </w:p>
    <w:p w14:paraId="3110BC22">
      <w:pPr>
        <w:spacing w:line="440" w:lineRule="exac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北京首新航空地面服务有限公司：</w:t>
      </w:r>
    </w:p>
    <w:p w14:paraId="76EA4829">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为充分体现公平竞争、诚实信用原则，防止不正当竞争和商业贿赂等违法违纪行为的发生，维护各方在业务往来中的合法权益，我公司郑重作出以下承诺：</w:t>
      </w:r>
    </w:p>
    <w:p w14:paraId="0E9BE651">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一、遵守公平竞争、诚实信用的商业准则以及国家反腐败、反贿赂等相关法律法规，不存在违反诚信经营原则以及通过提供服务、送礼或其他好处的方式影响贵公司员工的行为，这些行为包括但不限于：</w:t>
      </w:r>
    </w:p>
    <w:p w14:paraId="36D715D4">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（一）向贵公司员工及其利害关系人赠送礼金、礼品、礼券、有价证券、购物卡、提货单、娱乐场所会员卡、打折卡、代币券、各种动产及不动产、贵重物品和回扣、好处费、感谢费等物质利益；</w:t>
      </w:r>
    </w:p>
    <w:p w14:paraId="7632D326">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以低于国家规定价格、市场价或者象征性收费的方式向贵公司员工及其利害关系人出售、租赁各种物品和服务；或者以高于国家规定价格、市场价的方式买入、租赁贵公司员工及其利害关系人的物品和服务；</w:t>
      </w:r>
    </w:p>
    <w:p w14:paraId="59D9CE03">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（三）为贵公司员工及其利害关系人报销费用，以及无偿提供装修、保洁、绿化等服务;接受或邀请贵公司员工及其利害关系人投资入股或享受企业薪酬待遇等；</w:t>
      </w:r>
    </w:p>
    <w:p w14:paraId="0CA65F5F">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（四）借购置（装修）住房、婚丧嫁娶、节日庆祝、升学出国等事宜之名向贵公司员工及其利害关系人输送利益；</w:t>
      </w:r>
    </w:p>
    <w:p w14:paraId="1A577164">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（五）安排贵公司员工及其利害关系人参加有可能影响公平、公正的宴请、健身、娱乐、抽奖活动、旅游、国内外考察等活动；</w:t>
      </w:r>
    </w:p>
    <w:p w14:paraId="5F7BFAF2">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（六）提供与协议或合同不符的假冒伪劣产品，或在服务中出现违反行业或国家政策、法律、法规的行为；</w:t>
      </w:r>
    </w:p>
    <w:p w14:paraId="153AA66A">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（七）不当披露或者泄露双方约定的应该保密的内容，比如合同价格、购买数量、技术图纸、专利、客户信息等重大敏感信息的行为；</w:t>
      </w:r>
    </w:p>
    <w:p w14:paraId="39E79043">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（八）提供虚假文件或者提供虚假信息或使用他人名义参与贵公司采购项目的行为。</w:t>
      </w:r>
    </w:p>
    <w:p w14:paraId="5223E713">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如违反以上承诺，我公司自愿接受贵公司任何处罚，包括但不限于取消入围供应商资格、终止合同以及纳入企业采购黑名单等处理决定，并赔偿贵公司由此产生的全部损失；任何第三方因我公司违反以上承诺而向贵公司索赔或主张权利的，所有责任及后果均由我公司独自承担，并且不再享有贵公司日后所有采购项目的参与权利。</w:t>
      </w:r>
    </w:p>
    <w:p w14:paraId="47323BD5">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三、如贵公司员工及其利害关系人发生不廉洁、不诚信行为，我司有义务向贵公司纪检监督部门举报或投诉。</w:t>
      </w:r>
    </w:p>
    <w:p w14:paraId="67C186E1">
      <w:pPr>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四、本廉洁诚信承诺书作为我单位与贵公司签署协议的附件，经我公司法定代表人或其授权代表签署并加盖公章后生效。</w:t>
      </w:r>
    </w:p>
    <w:p w14:paraId="4A5878AC">
      <w:pPr>
        <w:snapToGrid w:val="0"/>
        <w:spacing w:line="440" w:lineRule="exact"/>
        <w:ind w:firstLine="440" w:firstLineChars="200"/>
        <w:rPr>
          <w:rFonts w:hint="eastAsia" w:ascii="仿宋" w:hAnsi="仿宋" w:eastAsia="仿宋" w:cs="仿宋"/>
          <w:color w:val="auto"/>
          <w:sz w:val="22"/>
          <w:szCs w:val="22"/>
          <w:highlight w:val="none"/>
        </w:rPr>
      </w:pPr>
    </w:p>
    <w:p w14:paraId="0C370C80">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纪检监督部门举报渠道：</w:t>
      </w:r>
    </w:p>
    <w:p w14:paraId="0D7C9FAD">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电子信箱：</w:t>
      </w:r>
      <w:r>
        <w:rPr>
          <w:rFonts w:hint="eastAsia" w:ascii="仿宋" w:hAnsi="仿宋" w:eastAsia="仿宋" w:cs="仿宋"/>
          <w:color w:val="auto"/>
          <w:sz w:val="20"/>
          <w:szCs w:val="18"/>
          <w:highlight w:val="none"/>
        </w:rPr>
        <w:fldChar w:fldCharType="begin"/>
      </w:r>
      <w:r>
        <w:rPr>
          <w:rFonts w:hint="eastAsia" w:ascii="仿宋" w:hAnsi="仿宋" w:eastAsia="仿宋" w:cs="仿宋"/>
          <w:color w:val="auto"/>
          <w:sz w:val="20"/>
          <w:szCs w:val="18"/>
          <w:highlight w:val="none"/>
        </w:rPr>
        <w:instrText xml:space="preserve"> HYPERLINK "mailto:bcsjj@cahs.com.cn" </w:instrText>
      </w:r>
      <w:r>
        <w:rPr>
          <w:rFonts w:hint="eastAsia" w:ascii="仿宋" w:hAnsi="仿宋" w:eastAsia="仿宋" w:cs="仿宋"/>
          <w:color w:val="auto"/>
          <w:sz w:val="20"/>
          <w:szCs w:val="18"/>
          <w:highlight w:val="none"/>
        </w:rPr>
        <w:fldChar w:fldCharType="separate"/>
      </w:r>
      <w:r>
        <w:rPr>
          <w:rStyle w:val="17"/>
          <w:rFonts w:hint="eastAsia" w:ascii="仿宋" w:hAnsi="仿宋" w:eastAsia="仿宋" w:cs="仿宋"/>
          <w:color w:val="auto"/>
          <w:sz w:val="22"/>
          <w:szCs w:val="22"/>
          <w:highlight w:val="none"/>
        </w:rPr>
        <w:t>bcsjj@cahs.com.cn</w:t>
      </w:r>
      <w:r>
        <w:rPr>
          <w:rStyle w:val="17"/>
          <w:rFonts w:hint="eastAsia" w:ascii="仿宋" w:hAnsi="仿宋" w:eastAsia="仿宋" w:cs="仿宋"/>
          <w:color w:val="auto"/>
          <w:sz w:val="22"/>
          <w:szCs w:val="22"/>
          <w:highlight w:val="none"/>
        </w:rPr>
        <w:fldChar w:fldCharType="end"/>
      </w:r>
    </w:p>
    <w:p w14:paraId="37AD6DEF">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举报电话：010-81699802</w:t>
      </w:r>
    </w:p>
    <w:p w14:paraId="59B1BCCC">
      <w:pPr>
        <w:snapToGrid w:val="0"/>
        <w:spacing w:line="44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邮寄地址：北京市大兴区海关货运综合大楼6楼（审计法务部）</w:t>
      </w:r>
    </w:p>
    <w:p w14:paraId="77769E11">
      <w:pPr>
        <w:snapToGrid w:val="0"/>
        <w:spacing w:line="440" w:lineRule="exact"/>
        <w:rPr>
          <w:rFonts w:hint="eastAsia" w:ascii="仿宋" w:hAnsi="仿宋" w:eastAsia="仿宋" w:cs="仿宋"/>
          <w:color w:val="auto"/>
          <w:sz w:val="22"/>
          <w:szCs w:val="22"/>
          <w:highlight w:val="none"/>
        </w:rPr>
      </w:pPr>
    </w:p>
    <w:p w14:paraId="387054F9">
      <w:pPr>
        <w:tabs>
          <w:tab w:val="left" w:pos="5580"/>
        </w:tabs>
        <w:spacing w:before="120" w:line="360" w:lineRule="auto"/>
        <w:ind w:firstLine="3247" w:firstLineChars="1476"/>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4BDEEFE4">
      <w:pPr>
        <w:tabs>
          <w:tab w:val="left" w:pos="5940"/>
        </w:tabs>
        <w:spacing w:before="120" w:line="360" w:lineRule="auto"/>
        <w:ind w:firstLine="3247" w:firstLineChars="1476"/>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投标人法定代表人或其授权代表签字:</w:t>
      </w:r>
      <w:r>
        <w:rPr>
          <w:rFonts w:hint="eastAsia" w:ascii="仿宋" w:hAnsi="仿宋" w:eastAsia="仿宋" w:cs="仿宋"/>
          <w:color w:val="auto"/>
          <w:sz w:val="22"/>
          <w:szCs w:val="22"/>
          <w:highlight w:val="none"/>
          <w:u w:val="single"/>
        </w:rPr>
        <w:tab/>
      </w:r>
      <w:r>
        <w:rPr>
          <w:rFonts w:hint="eastAsia" w:ascii="仿宋" w:hAnsi="仿宋" w:eastAsia="仿宋" w:cs="仿宋"/>
          <w:color w:val="auto"/>
          <w:sz w:val="22"/>
          <w:szCs w:val="22"/>
          <w:highlight w:val="none"/>
          <w:u w:val="single"/>
        </w:rPr>
        <w:t xml:space="preserve">      </w:t>
      </w:r>
    </w:p>
    <w:p w14:paraId="237631CC">
      <w:pPr>
        <w:snapToGrid w:val="0"/>
        <w:spacing w:line="360" w:lineRule="auto"/>
        <w:ind w:firstLine="3245" w:firstLineChars="147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p>
    <w:p w14:paraId="36FDD226">
      <w:pPr>
        <w:snapToGrid w:val="0"/>
        <w:spacing w:line="360" w:lineRule="auto"/>
        <w:ind w:firstLine="3540" w:firstLineChars="1475"/>
        <w:rPr>
          <w:rFonts w:hint="eastAsia" w:ascii="仿宋" w:hAnsi="仿宋" w:eastAsia="仿宋" w:cs="仿宋"/>
          <w:color w:val="auto"/>
          <w:sz w:val="24"/>
          <w:szCs w:val="24"/>
          <w:highlight w:val="none"/>
        </w:rPr>
      </w:pPr>
    </w:p>
    <w:p w14:paraId="1BC05AC5">
      <w:pPr>
        <w:ind w:firstLine="314"/>
        <w:rPr>
          <w:rFonts w:hint="eastAsia" w:ascii="仿宋" w:hAnsi="仿宋" w:eastAsia="仿宋" w:cs="仿宋"/>
          <w:bCs/>
          <w:color w:val="auto"/>
          <w:sz w:val="24"/>
          <w:szCs w:val="24"/>
          <w:highlight w:val="none"/>
        </w:rPr>
      </w:pPr>
    </w:p>
    <w:p w14:paraId="3AD503C8">
      <w:pPr>
        <w:ind w:firstLine="314"/>
        <w:rPr>
          <w:rFonts w:hint="eastAsia" w:ascii="仿宋" w:hAnsi="仿宋" w:eastAsia="仿宋" w:cs="仿宋"/>
          <w:bCs/>
          <w:color w:val="auto"/>
          <w:sz w:val="24"/>
          <w:szCs w:val="24"/>
          <w:highlight w:val="none"/>
        </w:rPr>
      </w:pPr>
    </w:p>
    <w:p w14:paraId="039DEF0E">
      <w:pPr>
        <w:pStyle w:val="11"/>
        <w:tabs>
          <w:tab w:val="left" w:pos="5580"/>
        </w:tabs>
        <w:spacing w:line="440" w:lineRule="exact"/>
        <w:jc w:val="left"/>
        <w:rPr>
          <w:rFonts w:hint="eastAsia" w:ascii="仿宋" w:hAnsi="仿宋" w:eastAsia="仿宋" w:cs="仿宋"/>
          <w:color w:val="auto"/>
          <w:sz w:val="24"/>
          <w:highlight w:val="none"/>
        </w:rPr>
      </w:pPr>
    </w:p>
    <w:p w14:paraId="73F936B1">
      <w:pPr>
        <w:pStyle w:val="11"/>
        <w:tabs>
          <w:tab w:val="left" w:pos="5580"/>
        </w:tabs>
        <w:spacing w:line="440" w:lineRule="exact"/>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18"/>
          <w:highlight w:val="none"/>
        </w:rPr>
        <w:t>非联合体投标，</w:t>
      </w:r>
      <w:r>
        <w:rPr>
          <w:rFonts w:hint="eastAsia" w:ascii="仿宋" w:hAnsi="仿宋" w:eastAsia="仿宋" w:cs="仿宋"/>
          <w:color w:val="auto"/>
          <w:sz w:val="22"/>
          <w:szCs w:val="22"/>
          <w:highlight w:val="none"/>
        </w:rPr>
        <w:t>未经招标人同意，投标人不允许转包、分包承诺书。</w:t>
      </w:r>
      <w:r>
        <w:rPr>
          <w:rFonts w:hint="eastAsia" w:ascii="仿宋" w:hAnsi="仿宋" w:eastAsia="仿宋" w:cs="仿宋"/>
          <w:color w:val="auto"/>
          <w:sz w:val="22"/>
          <w:szCs w:val="18"/>
          <w:highlight w:val="none"/>
          <w:lang w:val="zh-CN"/>
        </w:rPr>
        <w:t>（按文件要求格式自拟）</w:t>
      </w:r>
    </w:p>
    <w:p w14:paraId="4D24C507">
      <w:pPr>
        <w:pStyle w:val="11"/>
        <w:tabs>
          <w:tab w:val="left" w:pos="5580"/>
        </w:tabs>
        <w:spacing w:line="440" w:lineRule="exact"/>
        <w:ind w:firstLine="4" w:firstLineChars="2"/>
        <w:jc w:val="left"/>
        <w:rPr>
          <w:rFonts w:hint="eastAsia" w:ascii="仿宋" w:hAnsi="仿宋" w:eastAsia="仿宋" w:cs="仿宋"/>
          <w:color w:val="auto"/>
          <w:sz w:val="22"/>
          <w:szCs w:val="18"/>
          <w:highlight w:val="none"/>
        </w:rPr>
      </w:pPr>
    </w:p>
    <w:p w14:paraId="365F53F5">
      <w:pPr>
        <w:pStyle w:val="11"/>
        <w:tabs>
          <w:tab w:val="left" w:pos="5580"/>
        </w:tabs>
        <w:spacing w:line="440" w:lineRule="exact"/>
        <w:ind w:left="420" w:firstLine="3509" w:firstLineChars="1595"/>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投标人名称（盖章）：</w:t>
      </w:r>
      <w:r>
        <w:rPr>
          <w:rFonts w:hint="eastAsia" w:ascii="仿宋" w:hAnsi="仿宋" w:eastAsia="仿宋" w:cs="仿宋"/>
          <w:color w:val="auto"/>
          <w:sz w:val="22"/>
          <w:szCs w:val="18"/>
          <w:highlight w:val="none"/>
          <w:u w:val="single"/>
        </w:rPr>
        <w:t xml:space="preserve">                         </w:t>
      </w:r>
    </w:p>
    <w:p w14:paraId="461BB093">
      <w:pPr>
        <w:pStyle w:val="11"/>
        <w:tabs>
          <w:tab w:val="left" w:pos="5460"/>
        </w:tabs>
        <w:spacing w:line="440" w:lineRule="exact"/>
        <w:ind w:left="420" w:firstLine="3509" w:firstLineChars="1595"/>
        <w:rPr>
          <w:rFonts w:hint="eastAsia" w:ascii="仿宋" w:hAnsi="仿宋" w:eastAsia="仿宋" w:cs="仿宋"/>
          <w:color w:val="auto"/>
          <w:sz w:val="22"/>
          <w:szCs w:val="18"/>
          <w:highlight w:val="none"/>
          <w:u w:val="single"/>
        </w:rPr>
      </w:pPr>
      <w:r>
        <w:rPr>
          <w:rFonts w:hint="eastAsia" w:ascii="仿宋" w:hAnsi="仿宋" w:eastAsia="仿宋" w:cs="仿宋"/>
          <w:color w:val="auto"/>
          <w:sz w:val="22"/>
          <w:szCs w:val="18"/>
          <w:highlight w:val="none"/>
        </w:rPr>
        <w:t>投标人法定代表人或其授权代表签字:</w:t>
      </w:r>
      <w:r>
        <w:rPr>
          <w:rFonts w:hint="eastAsia" w:ascii="仿宋" w:hAnsi="仿宋" w:eastAsia="仿宋" w:cs="仿宋"/>
          <w:color w:val="auto"/>
          <w:sz w:val="22"/>
          <w:szCs w:val="18"/>
          <w:highlight w:val="none"/>
          <w:u w:val="single"/>
        </w:rPr>
        <w:t xml:space="preserve">           </w:t>
      </w:r>
    </w:p>
    <w:p w14:paraId="07A6355F">
      <w:pPr>
        <w:pStyle w:val="11"/>
        <w:tabs>
          <w:tab w:val="left" w:pos="5580"/>
        </w:tabs>
        <w:spacing w:line="440" w:lineRule="exact"/>
        <w:ind w:left="420" w:firstLine="3509" w:firstLineChars="1595"/>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日期：</w:t>
      </w:r>
      <w:r>
        <w:rPr>
          <w:rFonts w:hint="eastAsia" w:ascii="仿宋" w:hAnsi="仿宋" w:eastAsia="仿宋" w:cs="仿宋"/>
          <w:color w:val="auto"/>
          <w:sz w:val="22"/>
          <w:szCs w:val="18"/>
          <w:highlight w:val="none"/>
          <w:u w:val="single"/>
        </w:rPr>
        <w:t xml:space="preserve">                            </w:t>
      </w:r>
      <w:r>
        <w:rPr>
          <w:rFonts w:hint="eastAsia" w:ascii="仿宋" w:hAnsi="仿宋" w:eastAsia="仿宋" w:cs="仿宋"/>
          <w:color w:val="auto"/>
          <w:sz w:val="22"/>
          <w:szCs w:val="18"/>
          <w:highlight w:val="none"/>
        </w:rPr>
        <w:t xml:space="preserve">    </w:t>
      </w:r>
    </w:p>
    <w:p w14:paraId="1A245726">
      <w:pPr>
        <w:pStyle w:val="11"/>
        <w:tabs>
          <w:tab w:val="left" w:pos="5580"/>
        </w:tabs>
        <w:spacing w:line="440" w:lineRule="exact"/>
        <w:jc w:val="left"/>
        <w:rPr>
          <w:rFonts w:hint="eastAsia" w:ascii="仿宋" w:hAnsi="仿宋" w:eastAsia="仿宋" w:cs="仿宋"/>
          <w:color w:val="auto"/>
          <w:sz w:val="22"/>
          <w:szCs w:val="22"/>
          <w:highlight w:val="none"/>
        </w:rPr>
      </w:pPr>
    </w:p>
    <w:p w14:paraId="66855E52">
      <w:pPr>
        <w:rPr>
          <w:rFonts w:hint="eastAsia" w:ascii="仿宋" w:hAnsi="仿宋" w:eastAsia="仿宋" w:cs="仿宋"/>
          <w:bCs/>
          <w:color w:val="auto"/>
          <w:sz w:val="22"/>
          <w:szCs w:val="22"/>
          <w:highlight w:val="none"/>
        </w:rPr>
      </w:pPr>
    </w:p>
    <w:p w14:paraId="585FA272">
      <w:pPr>
        <w:rPr>
          <w:rFonts w:hint="eastAsia" w:ascii="仿宋" w:hAnsi="仿宋" w:eastAsia="仿宋" w:cs="仿宋"/>
          <w:bCs/>
          <w:color w:val="auto"/>
          <w:sz w:val="24"/>
          <w:szCs w:val="24"/>
          <w:highlight w:val="none"/>
        </w:rPr>
      </w:pPr>
    </w:p>
    <w:p w14:paraId="1BA4CE24">
      <w:pPr>
        <w:rPr>
          <w:rFonts w:hint="eastAsia" w:ascii="仿宋" w:hAnsi="仿宋" w:eastAsia="仿宋" w:cs="仿宋"/>
          <w:bCs/>
          <w:color w:val="auto"/>
          <w:sz w:val="24"/>
          <w:szCs w:val="24"/>
          <w:highlight w:val="none"/>
        </w:rPr>
      </w:pPr>
    </w:p>
    <w:p w14:paraId="7FF62E92">
      <w:pPr>
        <w:rPr>
          <w:rFonts w:hint="eastAsia" w:ascii="仿宋" w:hAnsi="仿宋" w:eastAsia="仿宋" w:cs="仿宋"/>
          <w:bCs/>
          <w:color w:val="auto"/>
          <w:sz w:val="24"/>
          <w:szCs w:val="24"/>
          <w:highlight w:val="none"/>
        </w:rPr>
      </w:pPr>
    </w:p>
    <w:p w14:paraId="423A4052">
      <w:pPr>
        <w:rPr>
          <w:rFonts w:hint="eastAsia" w:ascii="仿宋" w:hAnsi="仿宋" w:eastAsia="仿宋" w:cs="仿宋"/>
          <w:bCs/>
          <w:color w:val="auto"/>
          <w:sz w:val="24"/>
          <w:szCs w:val="24"/>
          <w:highlight w:val="none"/>
        </w:rPr>
      </w:pPr>
    </w:p>
    <w:p w14:paraId="1507CB4E">
      <w:pPr>
        <w:rPr>
          <w:rFonts w:hint="eastAsia" w:ascii="仿宋" w:hAnsi="仿宋" w:eastAsia="仿宋" w:cs="仿宋"/>
          <w:bCs/>
          <w:color w:val="auto"/>
          <w:sz w:val="24"/>
          <w:szCs w:val="24"/>
          <w:highlight w:val="none"/>
        </w:rPr>
      </w:pPr>
    </w:p>
    <w:p w14:paraId="698E7E69">
      <w:pPr>
        <w:rPr>
          <w:rFonts w:hint="eastAsia" w:ascii="仿宋" w:hAnsi="仿宋" w:eastAsia="仿宋" w:cs="仿宋"/>
          <w:bCs/>
          <w:color w:val="auto"/>
          <w:sz w:val="24"/>
          <w:szCs w:val="24"/>
          <w:highlight w:val="none"/>
        </w:rPr>
      </w:pPr>
    </w:p>
    <w:p w14:paraId="3475762C">
      <w:pPr>
        <w:rPr>
          <w:rFonts w:hint="eastAsia" w:ascii="仿宋" w:hAnsi="仿宋" w:eastAsia="仿宋" w:cs="仿宋"/>
          <w:bCs/>
          <w:color w:val="auto"/>
          <w:sz w:val="24"/>
          <w:szCs w:val="24"/>
          <w:highlight w:val="none"/>
        </w:rPr>
      </w:pPr>
    </w:p>
    <w:p w14:paraId="6A4DC27B">
      <w:pPr>
        <w:rPr>
          <w:rFonts w:hint="eastAsia" w:ascii="仿宋" w:hAnsi="仿宋" w:eastAsia="仿宋" w:cs="仿宋"/>
          <w:bCs/>
          <w:color w:val="auto"/>
          <w:sz w:val="24"/>
          <w:szCs w:val="24"/>
          <w:highlight w:val="none"/>
        </w:rPr>
      </w:pPr>
    </w:p>
    <w:p w14:paraId="5D9C5DB5">
      <w:pPr>
        <w:rPr>
          <w:rFonts w:hint="eastAsia" w:ascii="仿宋" w:hAnsi="仿宋" w:eastAsia="仿宋" w:cs="仿宋"/>
          <w:bCs/>
          <w:color w:val="auto"/>
          <w:sz w:val="24"/>
          <w:szCs w:val="24"/>
          <w:highlight w:val="none"/>
        </w:rPr>
      </w:pPr>
    </w:p>
    <w:p w14:paraId="4FA50ECB">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30653A88">
      <w:pPr>
        <w:pStyle w:val="13"/>
        <w:spacing w:after="0"/>
        <w:ind w:left="0" w:leftChars="0" w:firstLine="0" w:firstLineChars="0"/>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附件3-8：招标文件要求的其它文件及投标人认为有必要提供的其它文件。</w:t>
      </w:r>
    </w:p>
    <w:p w14:paraId="231009F8">
      <w:pPr>
        <w:spacing w:line="360" w:lineRule="auto"/>
        <w:rPr>
          <w:rFonts w:hint="eastAsia" w:ascii="仿宋" w:hAnsi="仿宋" w:eastAsia="仿宋" w:cs="仿宋"/>
          <w:bCs/>
          <w:color w:val="auto"/>
          <w:sz w:val="24"/>
          <w:szCs w:val="24"/>
          <w:highlight w:val="none"/>
        </w:rPr>
      </w:pPr>
    </w:p>
    <w:p w14:paraId="06518F7A">
      <w:p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说明：投标人应认真阅读招标文件的所有内容，按招标文件的要求提供投标文件，并保证所提供的全部资料的真实性，以使其投标对招标文件做出完整的实质性响应。</w:t>
      </w:r>
    </w:p>
    <w:p w14:paraId="113B0EE4">
      <w:p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1.投标人须具有有效期内的CMMI软件成熟度三级及以上认证证书(提供复印件并加盖单位公章；</w:t>
      </w:r>
    </w:p>
    <w:p w14:paraId="5433C0AD">
      <w:pPr>
        <w:spacing w:line="360" w:lineRule="auto"/>
        <w:ind w:firstLine="440" w:firstLineChars="200"/>
        <w:outlineLvl w:val="9"/>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2. 投标人认为有必要提供的其它文件。</w:t>
      </w:r>
    </w:p>
    <w:p w14:paraId="335D1086">
      <w:pPr>
        <w:spacing w:line="360" w:lineRule="auto"/>
        <w:ind w:firstLine="480" w:firstLineChars="200"/>
        <w:rPr>
          <w:rFonts w:hint="eastAsia" w:ascii="仿宋" w:hAnsi="仿宋" w:eastAsia="仿宋" w:cs="仿宋"/>
          <w:bCs/>
          <w:color w:val="auto"/>
          <w:sz w:val="24"/>
          <w:szCs w:val="24"/>
          <w:highlight w:val="none"/>
        </w:rPr>
      </w:pPr>
    </w:p>
    <w:p w14:paraId="2DB2E850">
      <w:pPr>
        <w:spacing w:line="360" w:lineRule="auto"/>
        <w:rPr>
          <w:rFonts w:hint="eastAsia" w:ascii="仿宋" w:hAnsi="仿宋" w:eastAsia="仿宋" w:cs="仿宋"/>
          <w:bCs/>
          <w:color w:val="auto"/>
          <w:sz w:val="24"/>
          <w:szCs w:val="24"/>
          <w:highlight w:val="none"/>
        </w:rPr>
      </w:pPr>
    </w:p>
    <w:p w14:paraId="6950426F">
      <w:pPr>
        <w:spacing w:line="360" w:lineRule="auto"/>
        <w:rPr>
          <w:rFonts w:hint="eastAsia" w:ascii="仿宋" w:hAnsi="仿宋" w:eastAsia="仿宋" w:cs="仿宋"/>
          <w:bCs/>
          <w:color w:val="auto"/>
          <w:sz w:val="24"/>
          <w:szCs w:val="24"/>
          <w:highlight w:val="none"/>
        </w:rPr>
      </w:pPr>
    </w:p>
    <w:p w14:paraId="5E7B7567">
      <w:pPr>
        <w:widowControl/>
        <w:numPr>
          <w:ilvl w:val="255"/>
          <w:numId w:val="0"/>
        </w:numPr>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D4AD8F5">
      <w:pPr>
        <w:pStyle w:val="13"/>
        <w:spacing w:after="0"/>
        <w:ind w:left="0" w:leftChars="0" w:firstLine="0" w:firstLineChars="0"/>
        <w:outlineLvl w:val="1"/>
        <w:rPr>
          <w:rFonts w:hint="eastAsia" w:ascii="仿宋" w:hAnsi="仿宋" w:eastAsia="仿宋" w:cs="仿宋"/>
          <w:b/>
          <w:color w:val="auto"/>
          <w:sz w:val="24"/>
          <w:szCs w:val="28"/>
          <w:highlight w:val="none"/>
        </w:rPr>
      </w:pPr>
      <w:r>
        <w:rPr>
          <w:rFonts w:hint="eastAsia" w:ascii="仿宋" w:hAnsi="仿宋" w:eastAsia="仿宋" w:cs="仿宋"/>
          <w:b/>
          <w:color w:val="auto"/>
          <w:sz w:val="24"/>
          <w:szCs w:val="28"/>
          <w:highlight w:val="none"/>
        </w:rPr>
        <w:t>附件4：企业实力</w:t>
      </w:r>
    </w:p>
    <w:p w14:paraId="031467D0">
      <w:pPr>
        <w:spacing w:line="360" w:lineRule="auto"/>
        <w:rPr>
          <w:rFonts w:hint="eastAsia" w:ascii="仿宋" w:hAnsi="仿宋" w:eastAsia="仿宋" w:cs="仿宋"/>
          <w:color w:val="auto"/>
          <w:sz w:val="22"/>
          <w:szCs w:val="22"/>
          <w:highlight w:val="none"/>
        </w:rPr>
      </w:pPr>
      <w:r>
        <w:rPr>
          <w:rFonts w:hint="eastAsia" w:ascii="仿宋" w:hAnsi="仿宋" w:eastAsia="仿宋" w:cs="仿宋"/>
          <w:snapToGrid w:val="0"/>
          <w:color w:val="auto"/>
          <w:sz w:val="22"/>
          <w:szCs w:val="22"/>
          <w:highlight w:val="none"/>
        </w:rPr>
        <w:t>投标人须提供证书复印件并加盖公章。</w:t>
      </w:r>
    </w:p>
    <w:p w14:paraId="010BCDBC">
      <w:pPr>
        <w:spacing w:line="360" w:lineRule="auto"/>
        <w:rPr>
          <w:rFonts w:hint="eastAsia" w:ascii="仿宋" w:hAnsi="仿宋" w:eastAsia="仿宋" w:cs="仿宋"/>
          <w:b/>
          <w:color w:val="auto"/>
          <w:sz w:val="24"/>
          <w:szCs w:val="24"/>
          <w:highlight w:val="none"/>
        </w:rPr>
      </w:pPr>
    </w:p>
    <w:p w14:paraId="40F795B2">
      <w:pPr>
        <w:spacing w:line="360" w:lineRule="auto"/>
        <w:rPr>
          <w:rFonts w:hint="eastAsia" w:ascii="仿宋" w:hAnsi="仿宋" w:eastAsia="仿宋" w:cs="仿宋"/>
          <w:b/>
          <w:color w:val="auto"/>
          <w:sz w:val="24"/>
          <w:szCs w:val="24"/>
          <w:highlight w:val="none"/>
        </w:rPr>
      </w:pPr>
    </w:p>
    <w:p w14:paraId="128D1136">
      <w:pPr>
        <w:rPr>
          <w:rFonts w:hint="eastAsia"/>
          <w:color w:val="auto"/>
          <w:highlight w:val="none"/>
        </w:rPr>
      </w:pPr>
    </w:p>
    <w:p w14:paraId="4CD66DE4">
      <w:pPr>
        <w:outlineLvl w:val="9"/>
        <w:rPr>
          <w:rFonts w:hint="eastAsia"/>
          <w:color w:val="auto"/>
          <w:highlight w:val="none"/>
        </w:rPr>
      </w:pPr>
      <w:r>
        <w:rPr>
          <w:rFonts w:hint="eastAsia"/>
          <w:color w:val="auto"/>
          <w:highlight w:val="none"/>
        </w:rPr>
        <w:br w:type="page"/>
      </w:r>
    </w:p>
    <w:p w14:paraId="2E8D8FF4">
      <w:pPr>
        <w:pStyle w:val="13"/>
        <w:spacing w:after="0" w:line="360" w:lineRule="auto"/>
        <w:ind w:left="0" w:leftChars="0" w:firstLine="0" w:firstLineChars="0"/>
        <w:outlineLvl w:val="1"/>
        <w:rPr>
          <w:rFonts w:hint="eastAsia" w:ascii="仿宋" w:hAnsi="仿宋" w:eastAsia="仿宋" w:cs="仿宋"/>
          <w:b/>
          <w:bCs w:val="0"/>
          <w:color w:val="auto"/>
          <w:sz w:val="24"/>
          <w:szCs w:val="28"/>
          <w:highlight w:val="none"/>
        </w:rPr>
      </w:pPr>
      <w:r>
        <w:rPr>
          <w:rFonts w:hint="eastAsia" w:ascii="仿宋" w:hAnsi="仿宋" w:eastAsia="仿宋" w:cs="仿宋"/>
          <w:b/>
          <w:bCs w:val="0"/>
          <w:color w:val="auto"/>
          <w:sz w:val="24"/>
          <w:szCs w:val="28"/>
          <w:highlight w:val="none"/>
        </w:rPr>
        <w:t>附件5：售后服务</w:t>
      </w:r>
    </w:p>
    <w:p w14:paraId="12D56988">
      <w:pPr>
        <w:pStyle w:val="2"/>
        <w:rPr>
          <w:rFonts w:hint="eastAsia" w:ascii="仿宋" w:hAnsi="仿宋" w:eastAsia="仿宋" w:cs="仿宋"/>
          <w:b/>
          <w:bCs/>
          <w:color w:val="auto"/>
          <w:sz w:val="24"/>
          <w:szCs w:val="24"/>
          <w:highlight w:val="none"/>
        </w:rPr>
      </w:pPr>
    </w:p>
    <w:p w14:paraId="4A6362BD">
      <w:pPr>
        <w:pStyle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（投标人自行编制，格式自拟）</w:t>
      </w:r>
    </w:p>
    <w:p w14:paraId="3B5636D2">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52B0D8B3">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38F527CA">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2057A002">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r>
        <w:rPr>
          <w:rFonts w:hint="eastAsia" w:ascii="仿宋" w:hAnsi="仿宋" w:eastAsia="仿宋" w:cs="仿宋"/>
          <w:color w:val="auto"/>
          <w:sz w:val="22"/>
          <w:szCs w:val="22"/>
          <w:highlight w:val="none"/>
          <w:u w:val="single"/>
        </w:rPr>
        <w:t xml:space="preserve">                     </w:t>
      </w:r>
    </w:p>
    <w:p w14:paraId="2AEFCB98">
      <w:pPr>
        <w:pStyle w:val="11"/>
        <w:tabs>
          <w:tab w:val="left" w:pos="6390"/>
        </w:tabs>
        <w:spacing w:line="22" w:lineRule="atLeast"/>
        <w:ind w:firstLine="3377" w:firstLineChars="1535"/>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投标人法定代表人或其授权代表签字:</w:t>
      </w:r>
      <w:r>
        <w:rPr>
          <w:rFonts w:hint="eastAsia" w:ascii="仿宋" w:hAnsi="仿宋" w:eastAsia="仿宋" w:cs="仿宋"/>
          <w:color w:val="auto"/>
          <w:sz w:val="22"/>
          <w:szCs w:val="22"/>
          <w:highlight w:val="none"/>
          <w:u w:val="single"/>
        </w:rPr>
        <w:tab/>
      </w:r>
      <w:r>
        <w:rPr>
          <w:rFonts w:hint="eastAsia" w:ascii="仿宋" w:hAnsi="仿宋" w:eastAsia="仿宋" w:cs="仿宋"/>
          <w:color w:val="auto"/>
          <w:sz w:val="22"/>
          <w:szCs w:val="22"/>
          <w:highlight w:val="none"/>
          <w:u w:val="single"/>
        </w:rPr>
        <w:t xml:space="preserve">    </w:t>
      </w:r>
    </w:p>
    <w:p w14:paraId="5FC9E9D4">
      <w:pPr>
        <w:spacing w:line="440" w:lineRule="exact"/>
        <w:ind w:firstLine="3374" w:firstLineChars="1534"/>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p>
    <w:p w14:paraId="6D03A456">
      <w:pPr>
        <w:pStyle w:val="2"/>
        <w:rPr>
          <w:rFonts w:hint="eastAsia" w:ascii="仿宋" w:hAnsi="仿宋" w:eastAsia="仿宋" w:cs="仿宋"/>
          <w:color w:val="auto"/>
          <w:sz w:val="22"/>
          <w:szCs w:val="22"/>
          <w:highlight w:val="none"/>
          <w:u w:val="single"/>
        </w:rPr>
      </w:pPr>
    </w:p>
    <w:p w14:paraId="2A22F33B">
      <w:pPr>
        <w:pStyle w:val="2"/>
        <w:rPr>
          <w:rFonts w:hint="eastAsia" w:ascii="仿宋" w:hAnsi="仿宋" w:eastAsia="仿宋" w:cs="仿宋"/>
          <w:color w:val="auto"/>
          <w:sz w:val="22"/>
          <w:szCs w:val="22"/>
          <w:highlight w:val="none"/>
          <w:u w:val="single"/>
        </w:rPr>
      </w:pPr>
    </w:p>
    <w:p w14:paraId="02D7E183">
      <w:pPr>
        <w:outlineLvl w:val="9"/>
        <w:rPr>
          <w:rFonts w:hint="eastAsia"/>
          <w:color w:val="auto"/>
          <w:highlight w:val="none"/>
        </w:rPr>
      </w:pPr>
      <w:r>
        <w:rPr>
          <w:rFonts w:hint="eastAsia"/>
          <w:color w:val="auto"/>
          <w:highlight w:val="none"/>
        </w:rPr>
        <w:br w:type="page"/>
      </w:r>
    </w:p>
    <w:p w14:paraId="50FAFA16">
      <w:pPr>
        <w:pStyle w:val="13"/>
        <w:spacing w:after="0" w:line="360" w:lineRule="auto"/>
        <w:ind w:left="0" w:leftChars="0" w:firstLine="0" w:firstLineChars="0"/>
        <w:outlineLvl w:val="1"/>
        <w:rPr>
          <w:rFonts w:hint="eastAsia" w:ascii="仿宋" w:hAnsi="仿宋" w:eastAsia="仿宋" w:cs="仿宋"/>
          <w:b/>
          <w:bCs w:val="0"/>
          <w:color w:val="auto"/>
          <w:sz w:val="24"/>
          <w:szCs w:val="28"/>
          <w:highlight w:val="none"/>
        </w:rPr>
      </w:pPr>
      <w:r>
        <w:rPr>
          <w:rFonts w:hint="eastAsia" w:ascii="仿宋" w:hAnsi="仿宋" w:eastAsia="仿宋" w:cs="仿宋"/>
          <w:b/>
          <w:bCs w:val="0"/>
          <w:color w:val="auto"/>
          <w:sz w:val="24"/>
          <w:szCs w:val="28"/>
          <w:highlight w:val="none"/>
        </w:rPr>
        <w:t>附件6：培训方案</w:t>
      </w:r>
    </w:p>
    <w:p w14:paraId="749FFB30">
      <w:pPr>
        <w:pStyle w:val="2"/>
        <w:rPr>
          <w:rFonts w:hint="eastAsia" w:ascii="仿宋" w:hAnsi="仿宋" w:eastAsia="仿宋" w:cs="仿宋"/>
          <w:b/>
          <w:bCs/>
          <w:color w:val="auto"/>
          <w:sz w:val="24"/>
          <w:szCs w:val="24"/>
          <w:highlight w:val="none"/>
        </w:rPr>
      </w:pPr>
    </w:p>
    <w:p w14:paraId="419012C5">
      <w:pPr>
        <w:pStyle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（投标人自行编制，格式自拟）</w:t>
      </w:r>
    </w:p>
    <w:p w14:paraId="01C7F9BA">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0573AD13">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6AB6FC07">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5AE64888">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4DF2EA8C">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223B39C5">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r>
        <w:rPr>
          <w:rFonts w:hint="eastAsia" w:ascii="仿宋" w:hAnsi="仿宋" w:eastAsia="仿宋" w:cs="仿宋"/>
          <w:color w:val="auto"/>
          <w:sz w:val="22"/>
          <w:szCs w:val="22"/>
          <w:highlight w:val="none"/>
          <w:u w:val="single"/>
        </w:rPr>
        <w:t xml:space="preserve">                     </w:t>
      </w:r>
    </w:p>
    <w:p w14:paraId="4F13A481">
      <w:pPr>
        <w:pStyle w:val="11"/>
        <w:tabs>
          <w:tab w:val="left" w:pos="6390"/>
        </w:tabs>
        <w:spacing w:line="22" w:lineRule="atLeast"/>
        <w:ind w:firstLine="3377" w:firstLineChars="1535"/>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投标人法定代表人或其授权代表签字:</w:t>
      </w:r>
      <w:r>
        <w:rPr>
          <w:rFonts w:hint="eastAsia" w:ascii="仿宋" w:hAnsi="仿宋" w:eastAsia="仿宋" w:cs="仿宋"/>
          <w:color w:val="auto"/>
          <w:sz w:val="22"/>
          <w:szCs w:val="22"/>
          <w:highlight w:val="none"/>
          <w:u w:val="single"/>
        </w:rPr>
        <w:tab/>
      </w:r>
      <w:r>
        <w:rPr>
          <w:rFonts w:hint="eastAsia" w:ascii="仿宋" w:hAnsi="仿宋" w:eastAsia="仿宋" w:cs="仿宋"/>
          <w:color w:val="auto"/>
          <w:sz w:val="22"/>
          <w:szCs w:val="22"/>
          <w:highlight w:val="none"/>
          <w:u w:val="single"/>
        </w:rPr>
        <w:t xml:space="preserve">    </w:t>
      </w:r>
    </w:p>
    <w:p w14:paraId="3D7E4C66">
      <w:pPr>
        <w:spacing w:line="440" w:lineRule="exact"/>
        <w:ind w:firstLine="3374" w:firstLineChars="15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p>
    <w:p w14:paraId="535F2F78">
      <w:pPr>
        <w:pStyle w:val="2"/>
        <w:rPr>
          <w:rFonts w:hint="eastAsia" w:ascii="仿宋" w:hAnsi="仿宋" w:eastAsia="仿宋" w:cs="仿宋"/>
          <w:b/>
          <w:bCs/>
          <w:color w:val="auto"/>
          <w:sz w:val="22"/>
          <w:szCs w:val="22"/>
          <w:highlight w:val="none"/>
        </w:rPr>
      </w:pPr>
    </w:p>
    <w:p w14:paraId="03C4D000">
      <w:pPr>
        <w:pStyle w:val="2"/>
        <w:rPr>
          <w:rFonts w:hint="eastAsia" w:ascii="仿宋" w:hAnsi="仿宋" w:eastAsia="仿宋" w:cs="仿宋"/>
          <w:b/>
          <w:bCs/>
          <w:color w:val="auto"/>
          <w:sz w:val="24"/>
          <w:szCs w:val="24"/>
          <w:highlight w:val="none"/>
        </w:rPr>
      </w:pPr>
    </w:p>
    <w:p w14:paraId="556F73DB">
      <w:pPr>
        <w:outlineLvl w:val="9"/>
        <w:rPr>
          <w:rFonts w:hint="eastAsia"/>
          <w:color w:val="auto"/>
          <w:highlight w:val="none"/>
        </w:rPr>
      </w:pPr>
      <w:r>
        <w:rPr>
          <w:rFonts w:hint="eastAsia"/>
          <w:color w:val="auto"/>
          <w:highlight w:val="none"/>
        </w:rPr>
        <w:br w:type="page"/>
      </w:r>
    </w:p>
    <w:p w14:paraId="2262DBD4">
      <w:pPr>
        <w:pStyle w:val="13"/>
        <w:spacing w:after="0" w:line="360" w:lineRule="auto"/>
        <w:ind w:left="0" w:leftChars="0" w:firstLine="0" w:firstLineChars="0"/>
        <w:outlineLvl w:val="1"/>
        <w:rPr>
          <w:rFonts w:hint="eastAsia" w:ascii="仿宋" w:hAnsi="仿宋" w:eastAsia="仿宋" w:cs="仿宋"/>
          <w:b/>
          <w:bCs w:val="0"/>
          <w:color w:val="auto"/>
          <w:sz w:val="24"/>
          <w:szCs w:val="28"/>
          <w:highlight w:val="none"/>
        </w:rPr>
      </w:pPr>
      <w:r>
        <w:rPr>
          <w:rFonts w:hint="eastAsia" w:ascii="仿宋" w:hAnsi="仿宋" w:eastAsia="仿宋" w:cs="仿宋"/>
          <w:b/>
          <w:bCs w:val="0"/>
          <w:color w:val="auto"/>
          <w:sz w:val="24"/>
          <w:szCs w:val="28"/>
          <w:highlight w:val="none"/>
        </w:rPr>
        <w:t>附件7：实施方案及服务承诺</w:t>
      </w:r>
    </w:p>
    <w:p w14:paraId="4A7CD87E">
      <w:pPr>
        <w:pStyle w:val="2"/>
        <w:rPr>
          <w:rFonts w:hint="eastAsia" w:ascii="仿宋" w:hAnsi="仿宋" w:eastAsia="仿宋" w:cs="仿宋"/>
          <w:b/>
          <w:bCs/>
          <w:color w:val="auto"/>
          <w:sz w:val="24"/>
          <w:szCs w:val="24"/>
          <w:highlight w:val="none"/>
        </w:rPr>
      </w:pPr>
    </w:p>
    <w:p w14:paraId="1238B576">
      <w:pPr>
        <w:pStyle w:val="11"/>
        <w:tabs>
          <w:tab w:val="left" w:pos="5580"/>
        </w:tabs>
        <w:spacing w:line="22" w:lineRule="atLeast"/>
        <w:ind w:firstLine="3684" w:firstLineChars="1535"/>
        <w:rPr>
          <w:rFonts w:hint="eastAsia" w:ascii="仿宋" w:hAnsi="仿宋" w:eastAsia="仿宋" w:cs="仿宋"/>
          <w:color w:val="auto"/>
          <w:sz w:val="24"/>
          <w:szCs w:val="24"/>
          <w:highlight w:val="none"/>
        </w:rPr>
      </w:pPr>
    </w:p>
    <w:p w14:paraId="65BD9E1B">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0F95AF07">
      <w:pPr>
        <w:pStyle w:val="11"/>
        <w:tabs>
          <w:tab w:val="left" w:pos="5580"/>
        </w:tabs>
        <w:spacing w:line="22" w:lineRule="atLeas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投标人根据采购需求和评标细则自行制定实施方案及相关服务承诺,包括但不仅限于以下内容:</w:t>
      </w:r>
    </w:p>
    <w:p w14:paraId="2AD163E2">
      <w:pPr>
        <w:pStyle w:val="11"/>
        <w:tabs>
          <w:tab w:val="left" w:pos="5580"/>
        </w:tabs>
        <w:spacing w:line="22" w:lineRule="atLeast"/>
        <w:rPr>
          <w:rFonts w:hint="eastAsia" w:ascii="仿宋" w:hAnsi="仿宋" w:eastAsia="仿宋" w:cs="仿宋"/>
          <w:color w:val="auto"/>
          <w:sz w:val="22"/>
          <w:szCs w:val="22"/>
          <w:highlight w:val="none"/>
        </w:rPr>
      </w:pPr>
    </w:p>
    <w:p w14:paraId="19AD3352">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项目分析</w:t>
      </w:r>
    </w:p>
    <w:p w14:paraId="74DE40D1">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智慧出行服务平台软件项目运维及定制开发</w:t>
      </w:r>
    </w:p>
    <w:p w14:paraId="2D270B7D">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新能源车辆智能管理系统运维及定制开发</w:t>
      </w:r>
    </w:p>
    <w:p w14:paraId="7A4B5B2C">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融合通讯平台项目运维及定制开发</w:t>
      </w:r>
    </w:p>
    <w:p w14:paraId="10684185">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员工综合服务平台项目运维及定制开发</w:t>
      </w:r>
    </w:p>
    <w:p w14:paraId="489336A8">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行李查询系统项目运维及定制开发</w:t>
      </w:r>
    </w:p>
    <w:p w14:paraId="7C111FE2">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软件定制开发服务</w:t>
      </w:r>
    </w:p>
    <w:p w14:paraId="029FEE0C">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项目管理方案</w:t>
      </w:r>
    </w:p>
    <w:p w14:paraId="582A80DC">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项目团队介绍（不仅限于成员名单、岗位分工、主要人员简历等内容）</w:t>
      </w:r>
    </w:p>
    <w:p w14:paraId="4122B908">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培训计划与要求</w:t>
      </w:r>
    </w:p>
    <w:p w14:paraId="73858991">
      <w:pPr>
        <w:pStyle w:val="11"/>
        <w:numPr>
          <w:ilvl w:val="0"/>
          <w:numId w:val="28"/>
        </w:numPr>
        <w:tabs>
          <w:tab w:val="left" w:pos="5580"/>
        </w:tabs>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p w14:paraId="35F4CDC9">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7276BB88">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183199ED">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r>
        <w:rPr>
          <w:rFonts w:hint="eastAsia" w:ascii="仿宋" w:hAnsi="仿宋" w:eastAsia="仿宋" w:cs="仿宋"/>
          <w:color w:val="auto"/>
          <w:sz w:val="22"/>
          <w:szCs w:val="22"/>
          <w:highlight w:val="none"/>
          <w:u w:val="single"/>
        </w:rPr>
        <w:t xml:space="preserve">                     </w:t>
      </w:r>
    </w:p>
    <w:p w14:paraId="0AF051B3">
      <w:pPr>
        <w:pStyle w:val="11"/>
        <w:tabs>
          <w:tab w:val="left" w:pos="6390"/>
        </w:tabs>
        <w:spacing w:line="22" w:lineRule="atLeast"/>
        <w:ind w:firstLine="3377" w:firstLineChars="1535"/>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投标人法定代表人或其授权代表签字:</w:t>
      </w:r>
      <w:r>
        <w:rPr>
          <w:rFonts w:hint="eastAsia" w:ascii="仿宋" w:hAnsi="仿宋" w:eastAsia="仿宋" w:cs="仿宋"/>
          <w:color w:val="auto"/>
          <w:sz w:val="22"/>
          <w:szCs w:val="22"/>
          <w:highlight w:val="none"/>
          <w:u w:val="single"/>
        </w:rPr>
        <w:tab/>
      </w:r>
      <w:r>
        <w:rPr>
          <w:rFonts w:hint="eastAsia" w:ascii="仿宋" w:hAnsi="仿宋" w:eastAsia="仿宋" w:cs="仿宋"/>
          <w:color w:val="auto"/>
          <w:sz w:val="22"/>
          <w:szCs w:val="22"/>
          <w:highlight w:val="none"/>
          <w:u w:val="single"/>
        </w:rPr>
        <w:t xml:space="preserve">    </w:t>
      </w:r>
    </w:p>
    <w:p w14:paraId="7E144DC6">
      <w:pPr>
        <w:spacing w:line="440" w:lineRule="exact"/>
        <w:ind w:firstLine="3374" w:firstLineChars="15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p>
    <w:p w14:paraId="10C41A40">
      <w:pPr>
        <w:pStyle w:val="2"/>
        <w:rPr>
          <w:rFonts w:hint="eastAsia" w:ascii="仿宋" w:hAnsi="仿宋" w:eastAsia="仿宋" w:cs="仿宋"/>
          <w:b/>
          <w:bCs/>
          <w:color w:val="auto"/>
          <w:sz w:val="22"/>
          <w:szCs w:val="22"/>
          <w:highlight w:val="none"/>
        </w:rPr>
      </w:pPr>
    </w:p>
    <w:p w14:paraId="5041227D">
      <w:pPr>
        <w:pStyle w:val="2"/>
        <w:rPr>
          <w:rFonts w:hint="eastAsia" w:ascii="仿宋" w:hAnsi="仿宋" w:eastAsia="仿宋" w:cs="仿宋"/>
          <w:b/>
          <w:bCs/>
          <w:color w:val="auto"/>
          <w:sz w:val="22"/>
          <w:szCs w:val="22"/>
          <w:highlight w:val="none"/>
        </w:rPr>
      </w:pPr>
    </w:p>
    <w:p w14:paraId="0160E37C">
      <w:pPr>
        <w:outlineLvl w:val="9"/>
        <w:rPr>
          <w:rFonts w:hint="eastAsia"/>
          <w:color w:val="auto"/>
          <w:highlight w:val="none"/>
        </w:rPr>
      </w:pPr>
      <w:r>
        <w:rPr>
          <w:rFonts w:hint="eastAsia"/>
          <w:color w:val="auto"/>
          <w:highlight w:val="none"/>
        </w:rPr>
        <w:br w:type="page"/>
      </w:r>
    </w:p>
    <w:p w14:paraId="28F1288D">
      <w:pPr>
        <w:pStyle w:val="13"/>
        <w:spacing w:after="0" w:line="360" w:lineRule="auto"/>
        <w:ind w:left="0" w:leftChars="0" w:firstLine="0" w:firstLineChars="0"/>
        <w:outlineLvl w:val="1"/>
        <w:rPr>
          <w:rFonts w:hint="eastAsia" w:ascii="仿宋" w:hAnsi="仿宋" w:eastAsia="仿宋" w:cs="仿宋"/>
          <w:b/>
          <w:bCs w:val="0"/>
          <w:color w:val="auto"/>
          <w:sz w:val="24"/>
          <w:szCs w:val="28"/>
          <w:highlight w:val="none"/>
        </w:rPr>
      </w:pPr>
      <w:r>
        <w:rPr>
          <w:rFonts w:hint="eastAsia" w:ascii="仿宋" w:hAnsi="仿宋" w:eastAsia="仿宋" w:cs="仿宋"/>
          <w:b/>
          <w:bCs w:val="0"/>
          <w:color w:val="auto"/>
          <w:sz w:val="24"/>
          <w:szCs w:val="28"/>
          <w:highlight w:val="none"/>
        </w:rPr>
        <w:t>附件8：项目团队</w:t>
      </w:r>
    </w:p>
    <w:p w14:paraId="32F1B6DE">
      <w:pPr>
        <w:pStyle w:val="2"/>
        <w:rPr>
          <w:rFonts w:hint="eastAsia" w:ascii="仿宋" w:hAnsi="仿宋" w:eastAsia="仿宋" w:cs="仿宋"/>
          <w:b/>
          <w:bCs/>
          <w:color w:val="auto"/>
          <w:sz w:val="24"/>
          <w:szCs w:val="24"/>
          <w:highlight w:val="none"/>
        </w:rPr>
      </w:pPr>
    </w:p>
    <w:p w14:paraId="5A9598D3">
      <w:pPr>
        <w:pStyle w:val="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（投标人自行编制，格式自拟）</w:t>
      </w:r>
    </w:p>
    <w:p w14:paraId="1A3AEB98">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260EC8E9">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7D6DA1A9">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3A45A250">
      <w:pPr>
        <w:pStyle w:val="11"/>
        <w:tabs>
          <w:tab w:val="left" w:pos="5580"/>
        </w:tabs>
        <w:spacing w:line="22" w:lineRule="atLeast"/>
        <w:ind w:firstLine="3377" w:firstLineChars="1535"/>
        <w:rPr>
          <w:rFonts w:hint="eastAsia" w:ascii="仿宋" w:hAnsi="仿宋" w:eastAsia="仿宋" w:cs="仿宋"/>
          <w:color w:val="auto"/>
          <w:sz w:val="22"/>
          <w:szCs w:val="22"/>
          <w:highlight w:val="none"/>
        </w:rPr>
      </w:pPr>
    </w:p>
    <w:p w14:paraId="5A504C21">
      <w:pPr>
        <w:pStyle w:val="11"/>
        <w:tabs>
          <w:tab w:val="left" w:pos="5580"/>
        </w:tabs>
        <w:spacing w:line="480" w:lineRule="auto"/>
        <w:ind w:firstLine="3377" w:firstLineChars="153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r>
        <w:rPr>
          <w:rFonts w:hint="eastAsia" w:ascii="仿宋" w:hAnsi="仿宋" w:eastAsia="仿宋" w:cs="仿宋"/>
          <w:color w:val="auto"/>
          <w:sz w:val="22"/>
          <w:szCs w:val="22"/>
          <w:highlight w:val="none"/>
          <w:u w:val="single"/>
        </w:rPr>
        <w:t xml:space="preserve">                     </w:t>
      </w:r>
    </w:p>
    <w:p w14:paraId="5D55130E">
      <w:pPr>
        <w:pStyle w:val="11"/>
        <w:tabs>
          <w:tab w:val="left" w:pos="6390"/>
        </w:tabs>
        <w:spacing w:line="480" w:lineRule="auto"/>
        <w:ind w:firstLine="3377" w:firstLineChars="1535"/>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投标人法定代表人或其授权代表签字:</w:t>
      </w:r>
      <w:r>
        <w:rPr>
          <w:rFonts w:hint="eastAsia" w:ascii="仿宋" w:hAnsi="仿宋" w:eastAsia="仿宋" w:cs="仿宋"/>
          <w:color w:val="auto"/>
          <w:sz w:val="22"/>
          <w:szCs w:val="22"/>
          <w:highlight w:val="none"/>
          <w:u w:val="single"/>
        </w:rPr>
        <w:tab/>
      </w:r>
      <w:r>
        <w:rPr>
          <w:rFonts w:hint="eastAsia" w:ascii="仿宋" w:hAnsi="仿宋" w:eastAsia="仿宋" w:cs="仿宋"/>
          <w:color w:val="auto"/>
          <w:sz w:val="22"/>
          <w:szCs w:val="22"/>
          <w:highlight w:val="none"/>
          <w:u w:val="single"/>
        </w:rPr>
        <w:t xml:space="preserve">    </w:t>
      </w:r>
    </w:p>
    <w:p w14:paraId="6C4B6C92">
      <w:pPr>
        <w:spacing w:line="480" w:lineRule="auto"/>
        <w:ind w:firstLine="3374" w:firstLineChars="15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p>
    <w:p w14:paraId="7422DE00">
      <w:pPr>
        <w:pStyle w:val="2"/>
        <w:spacing w:line="480" w:lineRule="auto"/>
        <w:rPr>
          <w:rFonts w:hint="eastAsia" w:ascii="仿宋" w:hAnsi="仿宋" w:eastAsia="仿宋" w:cs="仿宋"/>
          <w:b/>
          <w:bCs/>
          <w:color w:val="auto"/>
          <w:sz w:val="22"/>
          <w:szCs w:val="22"/>
          <w:highlight w:val="none"/>
        </w:rPr>
      </w:pPr>
    </w:p>
    <w:p w14:paraId="06061DA3">
      <w:pPr>
        <w:spacing w:line="240" w:lineRule="auto"/>
        <w:jc w:val="left"/>
        <w:outlineLvl w:val="9"/>
        <w:rPr>
          <w:rFonts w:hint="eastAsia"/>
          <w:color w:val="auto"/>
          <w:sz w:val="20"/>
          <w:szCs w:val="18"/>
          <w:highlight w:val="none"/>
        </w:rPr>
      </w:pPr>
    </w:p>
    <w:p w14:paraId="61FE5C6E">
      <w:pPr>
        <w:pStyle w:val="2"/>
        <w:rPr>
          <w:rFonts w:hint="eastAsia" w:ascii="仿宋" w:hAnsi="仿宋" w:eastAsia="仿宋" w:cs="仿宋"/>
          <w:b/>
          <w:bCs/>
          <w:color w:val="auto"/>
          <w:sz w:val="22"/>
          <w:szCs w:val="22"/>
          <w:highlight w:val="none"/>
        </w:rPr>
      </w:pPr>
    </w:p>
    <w:p w14:paraId="3AC5413F">
      <w:pPr>
        <w:outlineLvl w:val="1"/>
        <w:rPr>
          <w:rFonts w:hint="eastAsia" w:ascii="仿宋" w:hAnsi="仿宋" w:eastAsia="仿宋" w:cs="仿宋"/>
          <w:b/>
          <w:bCs w:val="0"/>
          <w:color w:val="auto"/>
          <w:sz w:val="24"/>
          <w:szCs w:val="28"/>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val="0"/>
          <w:color w:val="auto"/>
          <w:sz w:val="24"/>
          <w:szCs w:val="28"/>
          <w:highlight w:val="none"/>
        </w:rPr>
        <w:t>附件9：应急响应方案</w:t>
      </w:r>
    </w:p>
    <w:p w14:paraId="6D71E224">
      <w:pPr>
        <w:pStyle w:val="2"/>
        <w:rPr>
          <w:rFonts w:hint="eastAsia" w:ascii="仿宋" w:hAnsi="仿宋" w:eastAsia="仿宋" w:cs="仿宋"/>
          <w:b/>
          <w:bCs/>
          <w:color w:val="auto"/>
          <w:sz w:val="24"/>
          <w:szCs w:val="24"/>
          <w:highlight w:val="none"/>
        </w:rPr>
      </w:pPr>
    </w:p>
    <w:p w14:paraId="1A6221ED">
      <w:pPr>
        <w:pStyle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（投标人自行编制，格式自拟）</w:t>
      </w:r>
    </w:p>
    <w:p w14:paraId="1B1C5384">
      <w:pPr>
        <w:pStyle w:val="2"/>
        <w:rPr>
          <w:rFonts w:hint="eastAsia" w:ascii="仿宋" w:hAnsi="仿宋" w:eastAsia="仿宋" w:cs="仿宋"/>
          <w:b/>
          <w:bCs/>
          <w:color w:val="auto"/>
          <w:sz w:val="22"/>
          <w:szCs w:val="22"/>
          <w:highlight w:val="none"/>
        </w:rPr>
      </w:pPr>
    </w:p>
    <w:p w14:paraId="11426E6D">
      <w:pPr>
        <w:pStyle w:val="2"/>
        <w:rPr>
          <w:rFonts w:hint="eastAsia" w:ascii="仿宋" w:hAnsi="仿宋" w:eastAsia="仿宋" w:cs="仿宋"/>
          <w:b/>
          <w:bCs/>
          <w:color w:val="auto"/>
          <w:sz w:val="22"/>
          <w:szCs w:val="22"/>
          <w:highlight w:val="none"/>
        </w:rPr>
      </w:pPr>
    </w:p>
    <w:p w14:paraId="7EA6A836">
      <w:pPr>
        <w:pStyle w:val="11"/>
        <w:tabs>
          <w:tab w:val="left" w:pos="5580"/>
        </w:tabs>
        <w:spacing w:line="480" w:lineRule="auto"/>
        <w:ind w:firstLine="3377" w:firstLineChars="153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r>
        <w:rPr>
          <w:rFonts w:hint="eastAsia" w:ascii="仿宋" w:hAnsi="仿宋" w:eastAsia="仿宋" w:cs="仿宋"/>
          <w:color w:val="auto"/>
          <w:sz w:val="22"/>
          <w:szCs w:val="22"/>
          <w:highlight w:val="none"/>
          <w:u w:val="single"/>
        </w:rPr>
        <w:t xml:space="preserve">                     </w:t>
      </w:r>
    </w:p>
    <w:p w14:paraId="7EA7400D">
      <w:pPr>
        <w:pStyle w:val="11"/>
        <w:tabs>
          <w:tab w:val="left" w:pos="6390"/>
        </w:tabs>
        <w:spacing w:line="480" w:lineRule="auto"/>
        <w:ind w:firstLine="3377" w:firstLineChars="1535"/>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投标人法定代表人或其授权代表签字:</w:t>
      </w:r>
      <w:r>
        <w:rPr>
          <w:rFonts w:hint="eastAsia" w:ascii="仿宋" w:hAnsi="仿宋" w:eastAsia="仿宋" w:cs="仿宋"/>
          <w:color w:val="auto"/>
          <w:sz w:val="22"/>
          <w:szCs w:val="22"/>
          <w:highlight w:val="none"/>
          <w:u w:val="single"/>
        </w:rPr>
        <w:tab/>
      </w:r>
      <w:r>
        <w:rPr>
          <w:rFonts w:hint="eastAsia" w:ascii="仿宋" w:hAnsi="仿宋" w:eastAsia="仿宋" w:cs="仿宋"/>
          <w:color w:val="auto"/>
          <w:sz w:val="22"/>
          <w:szCs w:val="22"/>
          <w:highlight w:val="none"/>
          <w:u w:val="single"/>
        </w:rPr>
        <w:t xml:space="preserve">    </w:t>
      </w:r>
    </w:p>
    <w:p w14:paraId="6FA50A19">
      <w:pPr>
        <w:spacing w:line="480" w:lineRule="auto"/>
        <w:ind w:firstLine="3374" w:firstLineChars="153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p>
    <w:p w14:paraId="05DE209C">
      <w:pPr>
        <w:pStyle w:val="2"/>
        <w:spacing w:line="480" w:lineRule="auto"/>
        <w:rPr>
          <w:rFonts w:hint="eastAsia" w:ascii="仿宋" w:hAnsi="仿宋" w:eastAsia="仿宋" w:cs="仿宋"/>
          <w:b/>
          <w:bCs/>
          <w:color w:val="auto"/>
          <w:sz w:val="22"/>
          <w:szCs w:val="22"/>
          <w:highlight w:val="none"/>
        </w:rPr>
      </w:pPr>
    </w:p>
    <w:p w14:paraId="2C97388A">
      <w:pPr>
        <w:pStyle w:val="2"/>
        <w:spacing w:line="480" w:lineRule="auto"/>
        <w:rPr>
          <w:rFonts w:hint="eastAsia" w:ascii="仿宋" w:hAnsi="仿宋" w:eastAsia="仿宋" w:cs="仿宋"/>
          <w:b/>
          <w:bCs/>
          <w:color w:val="auto"/>
          <w:sz w:val="22"/>
          <w:szCs w:val="22"/>
          <w:highlight w:val="none"/>
        </w:rPr>
      </w:pPr>
    </w:p>
    <w:p w14:paraId="481CFD6A">
      <w:pPr>
        <w:outlineLvl w:val="9"/>
        <w:rPr>
          <w:rFonts w:hint="eastAsia"/>
          <w:color w:val="auto"/>
          <w:sz w:val="20"/>
          <w:szCs w:val="18"/>
          <w:highlight w:val="none"/>
        </w:rPr>
      </w:pPr>
      <w:r>
        <w:rPr>
          <w:rFonts w:hint="eastAsia"/>
          <w:color w:val="auto"/>
          <w:sz w:val="20"/>
          <w:szCs w:val="18"/>
          <w:highlight w:val="none"/>
        </w:rPr>
        <w:br w:type="page"/>
      </w:r>
    </w:p>
    <w:p w14:paraId="725CCC09">
      <w:pPr>
        <w:pStyle w:val="2"/>
        <w:outlineLvl w:val="1"/>
        <w:rPr>
          <w:rFonts w:hint="eastAsia" w:ascii="仿宋" w:hAnsi="仿宋" w:eastAsia="仿宋" w:cs="仿宋"/>
          <w:b/>
          <w:bCs w:val="0"/>
          <w:color w:val="auto"/>
          <w:kern w:val="2"/>
          <w:sz w:val="24"/>
          <w:szCs w:val="28"/>
          <w:highlight w:val="none"/>
        </w:rPr>
      </w:pPr>
      <w:r>
        <w:rPr>
          <w:rFonts w:hint="eastAsia" w:ascii="仿宋" w:hAnsi="仿宋" w:eastAsia="仿宋" w:cs="仿宋"/>
          <w:b/>
          <w:bCs w:val="0"/>
          <w:color w:val="auto"/>
          <w:kern w:val="2"/>
          <w:sz w:val="24"/>
          <w:szCs w:val="28"/>
          <w:highlight w:val="none"/>
        </w:rPr>
        <w:t>附件10：商务条款偏离表</w:t>
      </w:r>
    </w:p>
    <w:p w14:paraId="7440D287">
      <w:pPr>
        <w:pStyle w:val="2"/>
        <w:rPr>
          <w:rFonts w:hint="eastAsia" w:ascii="仿宋" w:hAnsi="仿宋" w:eastAsia="仿宋" w:cs="仿宋"/>
          <w:b/>
          <w:bCs/>
          <w:color w:val="auto"/>
          <w:sz w:val="24"/>
          <w:szCs w:val="24"/>
          <w:highlight w:val="none"/>
        </w:rPr>
      </w:pPr>
    </w:p>
    <w:p w14:paraId="40AFC1FA">
      <w:pPr>
        <w:pStyle w:val="2"/>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商务条款偏离表</w:t>
      </w:r>
    </w:p>
    <w:p w14:paraId="1CAB744A">
      <w:pPr>
        <w:pStyle w:val="2"/>
        <w:jc w:val="center"/>
        <w:rPr>
          <w:rFonts w:hint="eastAsia" w:ascii="仿宋" w:hAnsi="仿宋" w:eastAsia="仿宋" w:cs="仿宋"/>
          <w:b/>
          <w:bCs/>
          <w:color w:val="auto"/>
          <w:sz w:val="32"/>
          <w:szCs w:val="32"/>
          <w:highlight w:val="none"/>
        </w:rPr>
      </w:pPr>
    </w:p>
    <w:p w14:paraId="31823AD6">
      <w:pPr>
        <w:spacing w:line="360" w:lineRule="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 xml:space="preserve"> 项目名称：                              项目编号：</w:t>
      </w:r>
    </w:p>
    <w:tbl>
      <w:tblPr>
        <w:tblStyle w:val="14"/>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725"/>
        <w:gridCol w:w="2267"/>
        <w:gridCol w:w="2267"/>
        <w:gridCol w:w="995"/>
      </w:tblGrid>
      <w:tr w14:paraId="13564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1099878C">
            <w:pPr>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序号</w:t>
            </w:r>
          </w:p>
        </w:tc>
        <w:tc>
          <w:tcPr>
            <w:tcW w:w="1725" w:type="dxa"/>
            <w:vAlign w:val="center"/>
          </w:tcPr>
          <w:p w14:paraId="45A948A6">
            <w:pPr>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招标文件条款号</w:t>
            </w:r>
          </w:p>
        </w:tc>
        <w:tc>
          <w:tcPr>
            <w:tcW w:w="2267" w:type="dxa"/>
            <w:vAlign w:val="center"/>
          </w:tcPr>
          <w:p w14:paraId="44BF3D9F">
            <w:pPr>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招标文件的商务条款</w:t>
            </w:r>
          </w:p>
        </w:tc>
        <w:tc>
          <w:tcPr>
            <w:tcW w:w="2267" w:type="dxa"/>
            <w:vAlign w:val="center"/>
          </w:tcPr>
          <w:p w14:paraId="02D42956">
            <w:pPr>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招标文件的商务条款</w:t>
            </w:r>
          </w:p>
        </w:tc>
        <w:tc>
          <w:tcPr>
            <w:tcW w:w="995" w:type="dxa"/>
            <w:vAlign w:val="center"/>
          </w:tcPr>
          <w:p w14:paraId="3EBF1F78">
            <w:pPr>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说明</w:t>
            </w:r>
          </w:p>
        </w:tc>
      </w:tr>
      <w:tr w14:paraId="3816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678F467D">
            <w:pPr>
              <w:spacing w:line="440" w:lineRule="exact"/>
              <w:jc w:val="center"/>
              <w:rPr>
                <w:rFonts w:hint="eastAsia" w:ascii="仿宋" w:hAnsi="仿宋" w:eastAsia="仿宋" w:cs="仿宋"/>
                <w:color w:val="auto"/>
                <w:highlight w:val="none"/>
              </w:rPr>
            </w:pPr>
          </w:p>
        </w:tc>
        <w:tc>
          <w:tcPr>
            <w:tcW w:w="1725" w:type="dxa"/>
            <w:vAlign w:val="center"/>
          </w:tcPr>
          <w:p w14:paraId="6E68FC02">
            <w:pPr>
              <w:spacing w:line="440" w:lineRule="exact"/>
              <w:jc w:val="center"/>
              <w:rPr>
                <w:rFonts w:hint="eastAsia" w:ascii="仿宋" w:hAnsi="仿宋" w:eastAsia="仿宋" w:cs="仿宋"/>
                <w:color w:val="auto"/>
                <w:highlight w:val="none"/>
              </w:rPr>
            </w:pPr>
          </w:p>
        </w:tc>
        <w:tc>
          <w:tcPr>
            <w:tcW w:w="2267" w:type="dxa"/>
            <w:vAlign w:val="center"/>
          </w:tcPr>
          <w:p w14:paraId="6820E1C4">
            <w:pPr>
              <w:spacing w:line="440" w:lineRule="exact"/>
              <w:jc w:val="center"/>
              <w:rPr>
                <w:rFonts w:hint="eastAsia" w:ascii="仿宋" w:hAnsi="仿宋" w:eastAsia="仿宋" w:cs="仿宋"/>
                <w:color w:val="auto"/>
                <w:highlight w:val="none"/>
              </w:rPr>
            </w:pPr>
          </w:p>
        </w:tc>
        <w:tc>
          <w:tcPr>
            <w:tcW w:w="2267" w:type="dxa"/>
            <w:vAlign w:val="center"/>
          </w:tcPr>
          <w:p w14:paraId="2892EE98">
            <w:pPr>
              <w:spacing w:line="440" w:lineRule="exact"/>
              <w:jc w:val="center"/>
              <w:rPr>
                <w:rFonts w:hint="eastAsia" w:ascii="仿宋" w:hAnsi="仿宋" w:eastAsia="仿宋" w:cs="仿宋"/>
                <w:color w:val="auto"/>
                <w:highlight w:val="none"/>
              </w:rPr>
            </w:pPr>
          </w:p>
        </w:tc>
        <w:tc>
          <w:tcPr>
            <w:tcW w:w="995" w:type="dxa"/>
            <w:vAlign w:val="center"/>
          </w:tcPr>
          <w:p w14:paraId="6D89C11B">
            <w:pPr>
              <w:spacing w:line="440" w:lineRule="exact"/>
              <w:jc w:val="center"/>
              <w:rPr>
                <w:rFonts w:hint="eastAsia" w:ascii="仿宋" w:hAnsi="仿宋" w:eastAsia="仿宋" w:cs="仿宋"/>
                <w:color w:val="auto"/>
                <w:highlight w:val="none"/>
              </w:rPr>
            </w:pPr>
          </w:p>
        </w:tc>
      </w:tr>
      <w:tr w14:paraId="136D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7354DBA1">
            <w:pPr>
              <w:spacing w:line="440" w:lineRule="exact"/>
              <w:jc w:val="center"/>
              <w:rPr>
                <w:rFonts w:hint="eastAsia" w:ascii="仿宋" w:hAnsi="仿宋" w:eastAsia="仿宋" w:cs="仿宋"/>
                <w:color w:val="auto"/>
                <w:highlight w:val="none"/>
              </w:rPr>
            </w:pPr>
          </w:p>
        </w:tc>
        <w:tc>
          <w:tcPr>
            <w:tcW w:w="1725" w:type="dxa"/>
            <w:vAlign w:val="center"/>
          </w:tcPr>
          <w:p w14:paraId="44139899">
            <w:pPr>
              <w:spacing w:line="440" w:lineRule="exact"/>
              <w:jc w:val="center"/>
              <w:rPr>
                <w:rFonts w:hint="eastAsia" w:ascii="仿宋" w:hAnsi="仿宋" w:eastAsia="仿宋" w:cs="仿宋"/>
                <w:color w:val="auto"/>
                <w:highlight w:val="none"/>
              </w:rPr>
            </w:pPr>
          </w:p>
        </w:tc>
        <w:tc>
          <w:tcPr>
            <w:tcW w:w="2267" w:type="dxa"/>
            <w:vAlign w:val="center"/>
          </w:tcPr>
          <w:p w14:paraId="2295E901">
            <w:pPr>
              <w:spacing w:line="440" w:lineRule="exact"/>
              <w:jc w:val="center"/>
              <w:rPr>
                <w:rFonts w:hint="eastAsia" w:ascii="仿宋" w:hAnsi="仿宋" w:eastAsia="仿宋" w:cs="仿宋"/>
                <w:color w:val="auto"/>
                <w:highlight w:val="none"/>
              </w:rPr>
            </w:pPr>
          </w:p>
        </w:tc>
        <w:tc>
          <w:tcPr>
            <w:tcW w:w="2267" w:type="dxa"/>
            <w:vAlign w:val="center"/>
          </w:tcPr>
          <w:p w14:paraId="5AB4AB60">
            <w:pPr>
              <w:spacing w:line="440" w:lineRule="exact"/>
              <w:jc w:val="center"/>
              <w:rPr>
                <w:rFonts w:hint="eastAsia" w:ascii="仿宋" w:hAnsi="仿宋" w:eastAsia="仿宋" w:cs="仿宋"/>
                <w:color w:val="auto"/>
                <w:highlight w:val="none"/>
              </w:rPr>
            </w:pPr>
          </w:p>
        </w:tc>
        <w:tc>
          <w:tcPr>
            <w:tcW w:w="995" w:type="dxa"/>
            <w:vAlign w:val="center"/>
          </w:tcPr>
          <w:p w14:paraId="34EDF448">
            <w:pPr>
              <w:spacing w:line="440" w:lineRule="exact"/>
              <w:jc w:val="center"/>
              <w:rPr>
                <w:rFonts w:hint="eastAsia" w:ascii="仿宋" w:hAnsi="仿宋" w:eastAsia="仿宋" w:cs="仿宋"/>
                <w:color w:val="auto"/>
                <w:highlight w:val="none"/>
              </w:rPr>
            </w:pPr>
          </w:p>
        </w:tc>
      </w:tr>
      <w:tr w14:paraId="791C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47DE2DD2">
            <w:pPr>
              <w:spacing w:line="440" w:lineRule="exact"/>
              <w:jc w:val="center"/>
              <w:rPr>
                <w:rFonts w:hint="eastAsia" w:ascii="仿宋" w:hAnsi="仿宋" w:eastAsia="仿宋" w:cs="仿宋"/>
                <w:color w:val="auto"/>
                <w:highlight w:val="none"/>
              </w:rPr>
            </w:pPr>
          </w:p>
        </w:tc>
        <w:tc>
          <w:tcPr>
            <w:tcW w:w="1725" w:type="dxa"/>
            <w:vAlign w:val="center"/>
          </w:tcPr>
          <w:p w14:paraId="131E3C94">
            <w:pPr>
              <w:spacing w:line="440" w:lineRule="exact"/>
              <w:jc w:val="center"/>
              <w:rPr>
                <w:rFonts w:hint="eastAsia" w:ascii="仿宋" w:hAnsi="仿宋" w:eastAsia="仿宋" w:cs="仿宋"/>
                <w:color w:val="auto"/>
                <w:highlight w:val="none"/>
              </w:rPr>
            </w:pPr>
          </w:p>
        </w:tc>
        <w:tc>
          <w:tcPr>
            <w:tcW w:w="2267" w:type="dxa"/>
            <w:vAlign w:val="center"/>
          </w:tcPr>
          <w:p w14:paraId="3FCA6261">
            <w:pPr>
              <w:spacing w:line="440" w:lineRule="exact"/>
              <w:jc w:val="center"/>
              <w:rPr>
                <w:rFonts w:hint="eastAsia" w:ascii="仿宋" w:hAnsi="仿宋" w:eastAsia="仿宋" w:cs="仿宋"/>
                <w:color w:val="auto"/>
                <w:highlight w:val="none"/>
              </w:rPr>
            </w:pPr>
          </w:p>
        </w:tc>
        <w:tc>
          <w:tcPr>
            <w:tcW w:w="2267" w:type="dxa"/>
            <w:vAlign w:val="center"/>
          </w:tcPr>
          <w:p w14:paraId="3B554AF5">
            <w:pPr>
              <w:spacing w:line="440" w:lineRule="exact"/>
              <w:jc w:val="center"/>
              <w:rPr>
                <w:rFonts w:hint="eastAsia" w:ascii="仿宋" w:hAnsi="仿宋" w:eastAsia="仿宋" w:cs="仿宋"/>
                <w:color w:val="auto"/>
                <w:highlight w:val="none"/>
              </w:rPr>
            </w:pPr>
          </w:p>
        </w:tc>
        <w:tc>
          <w:tcPr>
            <w:tcW w:w="995" w:type="dxa"/>
            <w:vAlign w:val="center"/>
          </w:tcPr>
          <w:p w14:paraId="5F187440">
            <w:pPr>
              <w:spacing w:line="440" w:lineRule="exact"/>
              <w:jc w:val="center"/>
              <w:rPr>
                <w:rFonts w:hint="eastAsia" w:ascii="仿宋" w:hAnsi="仿宋" w:eastAsia="仿宋" w:cs="仿宋"/>
                <w:color w:val="auto"/>
                <w:highlight w:val="none"/>
              </w:rPr>
            </w:pPr>
          </w:p>
        </w:tc>
      </w:tr>
      <w:tr w14:paraId="7F5F9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54D22966">
            <w:pPr>
              <w:spacing w:line="440" w:lineRule="exact"/>
              <w:jc w:val="center"/>
              <w:rPr>
                <w:rFonts w:hint="eastAsia" w:ascii="仿宋" w:hAnsi="仿宋" w:eastAsia="仿宋" w:cs="仿宋"/>
                <w:color w:val="auto"/>
                <w:highlight w:val="none"/>
              </w:rPr>
            </w:pPr>
          </w:p>
        </w:tc>
        <w:tc>
          <w:tcPr>
            <w:tcW w:w="1725" w:type="dxa"/>
            <w:vAlign w:val="center"/>
          </w:tcPr>
          <w:p w14:paraId="1643E335">
            <w:pPr>
              <w:spacing w:line="440" w:lineRule="exact"/>
              <w:jc w:val="center"/>
              <w:rPr>
                <w:rFonts w:hint="eastAsia" w:ascii="仿宋" w:hAnsi="仿宋" w:eastAsia="仿宋" w:cs="仿宋"/>
                <w:color w:val="auto"/>
                <w:highlight w:val="none"/>
              </w:rPr>
            </w:pPr>
          </w:p>
        </w:tc>
        <w:tc>
          <w:tcPr>
            <w:tcW w:w="2267" w:type="dxa"/>
            <w:vAlign w:val="center"/>
          </w:tcPr>
          <w:p w14:paraId="2E0B2EC2">
            <w:pPr>
              <w:spacing w:line="440" w:lineRule="exact"/>
              <w:jc w:val="center"/>
              <w:rPr>
                <w:rFonts w:hint="eastAsia" w:ascii="仿宋" w:hAnsi="仿宋" w:eastAsia="仿宋" w:cs="仿宋"/>
                <w:color w:val="auto"/>
                <w:highlight w:val="none"/>
              </w:rPr>
            </w:pPr>
          </w:p>
        </w:tc>
        <w:tc>
          <w:tcPr>
            <w:tcW w:w="2267" w:type="dxa"/>
            <w:vAlign w:val="center"/>
          </w:tcPr>
          <w:p w14:paraId="60DFCBCD">
            <w:pPr>
              <w:spacing w:line="440" w:lineRule="exact"/>
              <w:jc w:val="center"/>
              <w:rPr>
                <w:rFonts w:hint="eastAsia" w:ascii="仿宋" w:hAnsi="仿宋" w:eastAsia="仿宋" w:cs="仿宋"/>
                <w:color w:val="auto"/>
                <w:highlight w:val="none"/>
              </w:rPr>
            </w:pPr>
          </w:p>
        </w:tc>
        <w:tc>
          <w:tcPr>
            <w:tcW w:w="995" w:type="dxa"/>
            <w:vAlign w:val="center"/>
          </w:tcPr>
          <w:p w14:paraId="6D509227">
            <w:pPr>
              <w:spacing w:line="440" w:lineRule="exact"/>
              <w:jc w:val="center"/>
              <w:rPr>
                <w:rFonts w:hint="eastAsia" w:ascii="仿宋" w:hAnsi="仿宋" w:eastAsia="仿宋" w:cs="仿宋"/>
                <w:color w:val="auto"/>
                <w:highlight w:val="none"/>
              </w:rPr>
            </w:pPr>
          </w:p>
        </w:tc>
      </w:tr>
      <w:tr w14:paraId="5D10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3A47583D">
            <w:pPr>
              <w:spacing w:line="440" w:lineRule="exact"/>
              <w:jc w:val="center"/>
              <w:rPr>
                <w:rFonts w:hint="eastAsia" w:ascii="仿宋" w:hAnsi="仿宋" w:eastAsia="仿宋" w:cs="仿宋"/>
                <w:color w:val="auto"/>
                <w:highlight w:val="none"/>
              </w:rPr>
            </w:pPr>
          </w:p>
        </w:tc>
        <w:tc>
          <w:tcPr>
            <w:tcW w:w="1725" w:type="dxa"/>
            <w:vAlign w:val="center"/>
          </w:tcPr>
          <w:p w14:paraId="302FE1B8">
            <w:pPr>
              <w:spacing w:line="440" w:lineRule="exact"/>
              <w:jc w:val="center"/>
              <w:rPr>
                <w:rFonts w:hint="eastAsia" w:ascii="仿宋" w:hAnsi="仿宋" w:eastAsia="仿宋" w:cs="仿宋"/>
                <w:color w:val="auto"/>
                <w:highlight w:val="none"/>
              </w:rPr>
            </w:pPr>
          </w:p>
        </w:tc>
        <w:tc>
          <w:tcPr>
            <w:tcW w:w="2267" w:type="dxa"/>
            <w:vAlign w:val="center"/>
          </w:tcPr>
          <w:p w14:paraId="595BF450">
            <w:pPr>
              <w:spacing w:line="440" w:lineRule="exact"/>
              <w:jc w:val="center"/>
              <w:rPr>
                <w:rFonts w:hint="eastAsia" w:ascii="仿宋" w:hAnsi="仿宋" w:eastAsia="仿宋" w:cs="仿宋"/>
                <w:color w:val="auto"/>
                <w:highlight w:val="none"/>
              </w:rPr>
            </w:pPr>
          </w:p>
        </w:tc>
        <w:tc>
          <w:tcPr>
            <w:tcW w:w="2267" w:type="dxa"/>
            <w:vAlign w:val="center"/>
          </w:tcPr>
          <w:p w14:paraId="54E6C282">
            <w:pPr>
              <w:spacing w:line="440" w:lineRule="exact"/>
              <w:jc w:val="center"/>
              <w:rPr>
                <w:rFonts w:hint="eastAsia" w:ascii="仿宋" w:hAnsi="仿宋" w:eastAsia="仿宋" w:cs="仿宋"/>
                <w:color w:val="auto"/>
                <w:highlight w:val="none"/>
              </w:rPr>
            </w:pPr>
          </w:p>
        </w:tc>
        <w:tc>
          <w:tcPr>
            <w:tcW w:w="995" w:type="dxa"/>
            <w:vAlign w:val="center"/>
          </w:tcPr>
          <w:p w14:paraId="4CFA9638">
            <w:pPr>
              <w:spacing w:line="440" w:lineRule="exact"/>
              <w:jc w:val="center"/>
              <w:rPr>
                <w:rFonts w:hint="eastAsia" w:ascii="仿宋" w:hAnsi="仿宋" w:eastAsia="仿宋" w:cs="仿宋"/>
                <w:color w:val="auto"/>
                <w:highlight w:val="none"/>
              </w:rPr>
            </w:pPr>
          </w:p>
        </w:tc>
      </w:tr>
      <w:tr w14:paraId="7005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575D7E5A">
            <w:pPr>
              <w:spacing w:line="440" w:lineRule="exact"/>
              <w:jc w:val="center"/>
              <w:rPr>
                <w:rFonts w:hint="eastAsia" w:ascii="仿宋" w:hAnsi="仿宋" w:eastAsia="仿宋" w:cs="仿宋"/>
                <w:color w:val="auto"/>
                <w:highlight w:val="none"/>
              </w:rPr>
            </w:pPr>
          </w:p>
        </w:tc>
        <w:tc>
          <w:tcPr>
            <w:tcW w:w="1725" w:type="dxa"/>
            <w:vAlign w:val="center"/>
          </w:tcPr>
          <w:p w14:paraId="153960DE">
            <w:pPr>
              <w:spacing w:line="440" w:lineRule="exact"/>
              <w:jc w:val="center"/>
              <w:rPr>
                <w:rFonts w:hint="eastAsia" w:ascii="仿宋" w:hAnsi="仿宋" w:eastAsia="仿宋" w:cs="仿宋"/>
                <w:color w:val="auto"/>
                <w:highlight w:val="none"/>
              </w:rPr>
            </w:pPr>
          </w:p>
        </w:tc>
        <w:tc>
          <w:tcPr>
            <w:tcW w:w="2267" w:type="dxa"/>
            <w:vAlign w:val="center"/>
          </w:tcPr>
          <w:p w14:paraId="54F944FB">
            <w:pPr>
              <w:spacing w:line="440" w:lineRule="exact"/>
              <w:jc w:val="center"/>
              <w:rPr>
                <w:rFonts w:hint="eastAsia" w:ascii="仿宋" w:hAnsi="仿宋" w:eastAsia="仿宋" w:cs="仿宋"/>
                <w:color w:val="auto"/>
                <w:highlight w:val="none"/>
              </w:rPr>
            </w:pPr>
          </w:p>
        </w:tc>
        <w:tc>
          <w:tcPr>
            <w:tcW w:w="2267" w:type="dxa"/>
            <w:vAlign w:val="center"/>
          </w:tcPr>
          <w:p w14:paraId="52383CAD">
            <w:pPr>
              <w:spacing w:line="440" w:lineRule="exact"/>
              <w:jc w:val="center"/>
              <w:rPr>
                <w:rFonts w:hint="eastAsia" w:ascii="仿宋" w:hAnsi="仿宋" w:eastAsia="仿宋" w:cs="仿宋"/>
                <w:color w:val="auto"/>
                <w:highlight w:val="none"/>
              </w:rPr>
            </w:pPr>
          </w:p>
        </w:tc>
        <w:tc>
          <w:tcPr>
            <w:tcW w:w="995" w:type="dxa"/>
            <w:vAlign w:val="center"/>
          </w:tcPr>
          <w:p w14:paraId="3527C955">
            <w:pPr>
              <w:spacing w:line="440" w:lineRule="exact"/>
              <w:jc w:val="center"/>
              <w:rPr>
                <w:rFonts w:hint="eastAsia" w:ascii="仿宋" w:hAnsi="仿宋" w:eastAsia="仿宋" w:cs="仿宋"/>
                <w:color w:val="auto"/>
                <w:highlight w:val="none"/>
              </w:rPr>
            </w:pPr>
          </w:p>
        </w:tc>
      </w:tr>
      <w:tr w14:paraId="17AE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23C5926B">
            <w:pPr>
              <w:spacing w:line="440" w:lineRule="exact"/>
              <w:jc w:val="center"/>
              <w:rPr>
                <w:rFonts w:hint="eastAsia" w:ascii="仿宋" w:hAnsi="仿宋" w:eastAsia="仿宋" w:cs="仿宋"/>
                <w:color w:val="auto"/>
                <w:highlight w:val="none"/>
              </w:rPr>
            </w:pPr>
          </w:p>
        </w:tc>
        <w:tc>
          <w:tcPr>
            <w:tcW w:w="1725" w:type="dxa"/>
            <w:vAlign w:val="center"/>
          </w:tcPr>
          <w:p w14:paraId="182D9E78">
            <w:pPr>
              <w:spacing w:line="440" w:lineRule="exact"/>
              <w:jc w:val="center"/>
              <w:rPr>
                <w:rFonts w:hint="eastAsia" w:ascii="仿宋" w:hAnsi="仿宋" w:eastAsia="仿宋" w:cs="仿宋"/>
                <w:color w:val="auto"/>
                <w:highlight w:val="none"/>
              </w:rPr>
            </w:pPr>
          </w:p>
        </w:tc>
        <w:tc>
          <w:tcPr>
            <w:tcW w:w="2267" w:type="dxa"/>
            <w:vAlign w:val="center"/>
          </w:tcPr>
          <w:p w14:paraId="4287BF65">
            <w:pPr>
              <w:spacing w:line="440" w:lineRule="exact"/>
              <w:jc w:val="center"/>
              <w:rPr>
                <w:rFonts w:hint="eastAsia" w:ascii="仿宋" w:hAnsi="仿宋" w:eastAsia="仿宋" w:cs="仿宋"/>
                <w:color w:val="auto"/>
                <w:highlight w:val="none"/>
              </w:rPr>
            </w:pPr>
          </w:p>
        </w:tc>
        <w:tc>
          <w:tcPr>
            <w:tcW w:w="2267" w:type="dxa"/>
            <w:vAlign w:val="center"/>
          </w:tcPr>
          <w:p w14:paraId="261B0AD6">
            <w:pPr>
              <w:spacing w:line="440" w:lineRule="exact"/>
              <w:jc w:val="center"/>
              <w:rPr>
                <w:rFonts w:hint="eastAsia" w:ascii="仿宋" w:hAnsi="仿宋" w:eastAsia="仿宋" w:cs="仿宋"/>
                <w:color w:val="auto"/>
                <w:highlight w:val="none"/>
              </w:rPr>
            </w:pPr>
          </w:p>
        </w:tc>
        <w:tc>
          <w:tcPr>
            <w:tcW w:w="995" w:type="dxa"/>
            <w:vAlign w:val="center"/>
          </w:tcPr>
          <w:p w14:paraId="05A9861E">
            <w:pPr>
              <w:spacing w:line="440" w:lineRule="exact"/>
              <w:jc w:val="center"/>
              <w:rPr>
                <w:rFonts w:hint="eastAsia" w:ascii="仿宋" w:hAnsi="仿宋" w:eastAsia="仿宋" w:cs="仿宋"/>
                <w:color w:val="auto"/>
                <w:highlight w:val="none"/>
              </w:rPr>
            </w:pPr>
          </w:p>
        </w:tc>
      </w:tr>
      <w:tr w14:paraId="6E7CE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1615317E">
            <w:pPr>
              <w:spacing w:line="440" w:lineRule="exact"/>
              <w:jc w:val="center"/>
              <w:rPr>
                <w:rFonts w:hint="eastAsia" w:ascii="仿宋" w:hAnsi="仿宋" w:eastAsia="仿宋" w:cs="仿宋"/>
                <w:color w:val="auto"/>
                <w:highlight w:val="none"/>
              </w:rPr>
            </w:pPr>
          </w:p>
        </w:tc>
        <w:tc>
          <w:tcPr>
            <w:tcW w:w="1725" w:type="dxa"/>
            <w:vAlign w:val="center"/>
          </w:tcPr>
          <w:p w14:paraId="293576E3">
            <w:pPr>
              <w:spacing w:line="440" w:lineRule="exact"/>
              <w:jc w:val="center"/>
              <w:rPr>
                <w:rFonts w:hint="eastAsia" w:ascii="仿宋" w:hAnsi="仿宋" w:eastAsia="仿宋" w:cs="仿宋"/>
                <w:color w:val="auto"/>
                <w:highlight w:val="none"/>
              </w:rPr>
            </w:pPr>
          </w:p>
        </w:tc>
        <w:tc>
          <w:tcPr>
            <w:tcW w:w="2267" w:type="dxa"/>
            <w:vAlign w:val="center"/>
          </w:tcPr>
          <w:p w14:paraId="3C7ECBD5">
            <w:pPr>
              <w:spacing w:line="440" w:lineRule="exact"/>
              <w:jc w:val="center"/>
              <w:rPr>
                <w:rFonts w:hint="eastAsia" w:ascii="仿宋" w:hAnsi="仿宋" w:eastAsia="仿宋" w:cs="仿宋"/>
                <w:color w:val="auto"/>
                <w:highlight w:val="none"/>
              </w:rPr>
            </w:pPr>
          </w:p>
        </w:tc>
        <w:tc>
          <w:tcPr>
            <w:tcW w:w="2267" w:type="dxa"/>
            <w:vAlign w:val="center"/>
          </w:tcPr>
          <w:p w14:paraId="6E53DE3F">
            <w:pPr>
              <w:spacing w:line="440" w:lineRule="exact"/>
              <w:jc w:val="center"/>
              <w:rPr>
                <w:rFonts w:hint="eastAsia" w:ascii="仿宋" w:hAnsi="仿宋" w:eastAsia="仿宋" w:cs="仿宋"/>
                <w:color w:val="auto"/>
                <w:highlight w:val="none"/>
              </w:rPr>
            </w:pPr>
          </w:p>
        </w:tc>
        <w:tc>
          <w:tcPr>
            <w:tcW w:w="995" w:type="dxa"/>
            <w:vAlign w:val="center"/>
          </w:tcPr>
          <w:p w14:paraId="208E1C14">
            <w:pPr>
              <w:spacing w:line="440" w:lineRule="exact"/>
              <w:jc w:val="center"/>
              <w:rPr>
                <w:rFonts w:hint="eastAsia" w:ascii="仿宋" w:hAnsi="仿宋" w:eastAsia="仿宋" w:cs="仿宋"/>
                <w:color w:val="auto"/>
                <w:highlight w:val="none"/>
              </w:rPr>
            </w:pPr>
          </w:p>
        </w:tc>
      </w:tr>
      <w:tr w14:paraId="4430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4FDC9E6C">
            <w:pPr>
              <w:spacing w:line="440" w:lineRule="exact"/>
              <w:jc w:val="center"/>
              <w:rPr>
                <w:rFonts w:hint="eastAsia" w:ascii="仿宋" w:hAnsi="仿宋" w:eastAsia="仿宋" w:cs="仿宋"/>
                <w:color w:val="auto"/>
                <w:highlight w:val="none"/>
              </w:rPr>
            </w:pPr>
          </w:p>
        </w:tc>
        <w:tc>
          <w:tcPr>
            <w:tcW w:w="1725" w:type="dxa"/>
            <w:vAlign w:val="center"/>
          </w:tcPr>
          <w:p w14:paraId="54CF03F8">
            <w:pPr>
              <w:spacing w:line="440" w:lineRule="exact"/>
              <w:jc w:val="center"/>
              <w:rPr>
                <w:rFonts w:hint="eastAsia" w:ascii="仿宋" w:hAnsi="仿宋" w:eastAsia="仿宋" w:cs="仿宋"/>
                <w:color w:val="auto"/>
                <w:highlight w:val="none"/>
              </w:rPr>
            </w:pPr>
          </w:p>
        </w:tc>
        <w:tc>
          <w:tcPr>
            <w:tcW w:w="2267" w:type="dxa"/>
            <w:vAlign w:val="center"/>
          </w:tcPr>
          <w:p w14:paraId="0471139D">
            <w:pPr>
              <w:spacing w:line="440" w:lineRule="exact"/>
              <w:jc w:val="center"/>
              <w:rPr>
                <w:rFonts w:hint="eastAsia" w:ascii="仿宋" w:hAnsi="仿宋" w:eastAsia="仿宋" w:cs="仿宋"/>
                <w:color w:val="auto"/>
                <w:highlight w:val="none"/>
              </w:rPr>
            </w:pPr>
          </w:p>
        </w:tc>
        <w:tc>
          <w:tcPr>
            <w:tcW w:w="2267" w:type="dxa"/>
            <w:vAlign w:val="center"/>
          </w:tcPr>
          <w:p w14:paraId="44A1BC91">
            <w:pPr>
              <w:spacing w:line="440" w:lineRule="exact"/>
              <w:jc w:val="center"/>
              <w:rPr>
                <w:rFonts w:hint="eastAsia" w:ascii="仿宋" w:hAnsi="仿宋" w:eastAsia="仿宋" w:cs="仿宋"/>
                <w:color w:val="auto"/>
                <w:highlight w:val="none"/>
              </w:rPr>
            </w:pPr>
          </w:p>
        </w:tc>
        <w:tc>
          <w:tcPr>
            <w:tcW w:w="995" w:type="dxa"/>
            <w:vAlign w:val="center"/>
          </w:tcPr>
          <w:p w14:paraId="155B6D49">
            <w:pPr>
              <w:spacing w:line="440" w:lineRule="exact"/>
              <w:jc w:val="center"/>
              <w:rPr>
                <w:rFonts w:hint="eastAsia" w:ascii="仿宋" w:hAnsi="仿宋" w:eastAsia="仿宋" w:cs="仿宋"/>
                <w:color w:val="auto"/>
                <w:highlight w:val="none"/>
              </w:rPr>
            </w:pPr>
          </w:p>
        </w:tc>
      </w:tr>
      <w:tr w14:paraId="7393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1883C394">
            <w:pPr>
              <w:spacing w:line="440" w:lineRule="exact"/>
              <w:jc w:val="center"/>
              <w:rPr>
                <w:rFonts w:hint="eastAsia" w:ascii="仿宋" w:hAnsi="仿宋" w:eastAsia="仿宋" w:cs="仿宋"/>
                <w:color w:val="auto"/>
                <w:highlight w:val="none"/>
              </w:rPr>
            </w:pPr>
          </w:p>
        </w:tc>
        <w:tc>
          <w:tcPr>
            <w:tcW w:w="1725" w:type="dxa"/>
            <w:vAlign w:val="center"/>
          </w:tcPr>
          <w:p w14:paraId="61C78D65">
            <w:pPr>
              <w:spacing w:line="440" w:lineRule="exact"/>
              <w:jc w:val="center"/>
              <w:rPr>
                <w:rFonts w:hint="eastAsia" w:ascii="仿宋" w:hAnsi="仿宋" w:eastAsia="仿宋" w:cs="仿宋"/>
                <w:color w:val="auto"/>
                <w:highlight w:val="none"/>
              </w:rPr>
            </w:pPr>
          </w:p>
        </w:tc>
        <w:tc>
          <w:tcPr>
            <w:tcW w:w="2267" w:type="dxa"/>
            <w:vAlign w:val="center"/>
          </w:tcPr>
          <w:p w14:paraId="2EDCD1D8">
            <w:pPr>
              <w:spacing w:line="440" w:lineRule="exact"/>
              <w:jc w:val="center"/>
              <w:rPr>
                <w:rFonts w:hint="eastAsia" w:ascii="仿宋" w:hAnsi="仿宋" w:eastAsia="仿宋" w:cs="仿宋"/>
                <w:color w:val="auto"/>
                <w:highlight w:val="none"/>
              </w:rPr>
            </w:pPr>
          </w:p>
        </w:tc>
        <w:tc>
          <w:tcPr>
            <w:tcW w:w="2267" w:type="dxa"/>
            <w:vAlign w:val="center"/>
          </w:tcPr>
          <w:p w14:paraId="5E7E49D2">
            <w:pPr>
              <w:spacing w:line="440" w:lineRule="exact"/>
              <w:jc w:val="center"/>
              <w:rPr>
                <w:rFonts w:hint="eastAsia" w:ascii="仿宋" w:hAnsi="仿宋" w:eastAsia="仿宋" w:cs="仿宋"/>
                <w:color w:val="auto"/>
                <w:highlight w:val="none"/>
              </w:rPr>
            </w:pPr>
          </w:p>
        </w:tc>
        <w:tc>
          <w:tcPr>
            <w:tcW w:w="995" w:type="dxa"/>
            <w:vAlign w:val="center"/>
          </w:tcPr>
          <w:p w14:paraId="4FF22F9E">
            <w:pPr>
              <w:spacing w:line="440" w:lineRule="exact"/>
              <w:jc w:val="center"/>
              <w:rPr>
                <w:rFonts w:hint="eastAsia" w:ascii="仿宋" w:hAnsi="仿宋" w:eastAsia="仿宋" w:cs="仿宋"/>
                <w:color w:val="auto"/>
                <w:highlight w:val="none"/>
              </w:rPr>
            </w:pPr>
          </w:p>
        </w:tc>
      </w:tr>
      <w:tr w14:paraId="2DD2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1F26873A">
            <w:pPr>
              <w:spacing w:line="440" w:lineRule="exact"/>
              <w:jc w:val="center"/>
              <w:rPr>
                <w:rFonts w:hint="eastAsia" w:ascii="仿宋" w:hAnsi="仿宋" w:eastAsia="仿宋" w:cs="仿宋"/>
                <w:color w:val="auto"/>
                <w:highlight w:val="none"/>
              </w:rPr>
            </w:pPr>
          </w:p>
        </w:tc>
        <w:tc>
          <w:tcPr>
            <w:tcW w:w="1725" w:type="dxa"/>
            <w:vAlign w:val="center"/>
          </w:tcPr>
          <w:p w14:paraId="1D68821E">
            <w:pPr>
              <w:spacing w:line="440" w:lineRule="exact"/>
              <w:jc w:val="center"/>
              <w:rPr>
                <w:rFonts w:hint="eastAsia" w:ascii="仿宋" w:hAnsi="仿宋" w:eastAsia="仿宋" w:cs="仿宋"/>
                <w:color w:val="auto"/>
                <w:highlight w:val="none"/>
              </w:rPr>
            </w:pPr>
          </w:p>
        </w:tc>
        <w:tc>
          <w:tcPr>
            <w:tcW w:w="2267" w:type="dxa"/>
            <w:vAlign w:val="center"/>
          </w:tcPr>
          <w:p w14:paraId="57413D1D">
            <w:pPr>
              <w:spacing w:line="440" w:lineRule="exact"/>
              <w:jc w:val="center"/>
              <w:rPr>
                <w:rFonts w:hint="eastAsia" w:ascii="仿宋" w:hAnsi="仿宋" w:eastAsia="仿宋" w:cs="仿宋"/>
                <w:color w:val="auto"/>
                <w:highlight w:val="none"/>
              </w:rPr>
            </w:pPr>
          </w:p>
        </w:tc>
        <w:tc>
          <w:tcPr>
            <w:tcW w:w="2267" w:type="dxa"/>
            <w:vAlign w:val="center"/>
          </w:tcPr>
          <w:p w14:paraId="6E49E03C">
            <w:pPr>
              <w:spacing w:line="440" w:lineRule="exact"/>
              <w:jc w:val="center"/>
              <w:rPr>
                <w:rFonts w:hint="eastAsia" w:ascii="仿宋" w:hAnsi="仿宋" w:eastAsia="仿宋" w:cs="仿宋"/>
                <w:color w:val="auto"/>
                <w:highlight w:val="none"/>
              </w:rPr>
            </w:pPr>
          </w:p>
        </w:tc>
        <w:tc>
          <w:tcPr>
            <w:tcW w:w="995" w:type="dxa"/>
            <w:vAlign w:val="center"/>
          </w:tcPr>
          <w:p w14:paraId="1CF9F14A">
            <w:pPr>
              <w:spacing w:line="440" w:lineRule="exact"/>
              <w:jc w:val="center"/>
              <w:rPr>
                <w:rFonts w:hint="eastAsia" w:ascii="仿宋" w:hAnsi="仿宋" w:eastAsia="仿宋" w:cs="仿宋"/>
                <w:color w:val="auto"/>
                <w:highlight w:val="none"/>
              </w:rPr>
            </w:pPr>
          </w:p>
        </w:tc>
      </w:tr>
      <w:tr w14:paraId="75CD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370B0D98">
            <w:pPr>
              <w:spacing w:line="440" w:lineRule="exact"/>
              <w:jc w:val="center"/>
              <w:rPr>
                <w:rFonts w:hint="eastAsia" w:ascii="仿宋" w:hAnsi="仿宋" w:eastAsia="仿宋" w:cs="仿宋"/>
                <w:color w:val="auto"/>
                <w:highlight w:val="none"/>
              </w:rPr>
            </w:pPr>
          </w:p>
        </w:tc>
        <w:tc>
          <w:tcPr>
            <w:tcW w:w="1725" w:type="dxa"/>
            <w:vAlign w:val="center"/>
          </w:tcPr>
          <w:p w14:paraId="2A97664F">
            <w:pPr>
              <w:spacing w:line="440" w:lineRule="exact"/>
              <w:jc w:val="center"/>
              <w:rPr>
                <w:rFonts w:hint="eastAsia" w:ascii="仿宋" w:hAnsi="仿宋" w:eastAsia="仿宋" w:cs="仿宋"/>
                <w:color w:val="auto"/>
                <w:highlight w:val="none"/>
              </w:rPr>
            </w:pPr>
          </w:p>
        </w:tc>
        <w:tc>
          <w:tcPr>
            <w:tcW w:w="2267" w:type="dxa"/>
            <w:vAlign w:val="center"/>
          </w:tcPr>
          <w:p w14:paraId="77771859">
            <w:pPr>
              <w:spacing w:line="440" w:lineRule="exact"/>
              <w:jc w:val="center"/>
              <w:rPr>
                <w:rFonts w:hint="eastAsia" w:ascii="仿宋" w:hAnsi="仿宋" w:eastAsia="仿宋" w:cs="仿宋"/>
                <w:color w:val="auto"/>
                <w:highlight w:val="none"/>
              </w:rPr>
            </w:pPr>
          </w:p>
        </w:tc>
        <w:tc>
          <w:tcPr>
            <w:tcW w:w="2267" w:type="dxa"/>
            <w:vAlign w:val="center"/>
          </w:tcPr>
          <w:p w14:paraId="1B5A2262">
            <w:pPr>
              <w:spacing w:line="440" w:lineRule="exact"/>
              <w:jc w:val="center"/>
              <w:rPr>
                <w:rFonts w:hint="eastAsia" w:ascii="仿宋" w:hAnsi="仿宋" w:eastAsia="仿宋" w:cs="仿宋"/>
                <w:color w:val="auto"/>
                <w:highlight w:val="none"/>
              </w:rPr>
            </w:pPr>
          </w:p>
        </w:tc>
        <w:tc>
          <w:tcPr>
            <w:tcW w:w="995" w:type="dxa"/>
            <w:vAlign w:val="center"/>
          </w:tcPr>
          <w:p w14:paraId="67B0A1EA">
            <w:pPr>
              <w:spacing w:line="440" w:lineRule="exact"/>
              <w:jc w:val="center"/>
              <w:rPr>
                <w:rFonts w:hint="eastAsia" w:ascii="仿宋" w:hAnsi="仿宋" w:eastAsia="仿宋" w:cs="仿宋"/>
                <w:color w:val="auto"/>
                <w:highlight w:val="none"/>
              </w:rPr>
            </w:pPr>
          </w:p>
        </w:tc>
      </w:tr>
      <w:tr w14:paraId="7DC8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633955BE">
            <w:pPr>
              <w:spacing w:line="440" w:lineRule="exact"/>
              <w:jc w:val="center"/>
              <w:rPr>
                <w:rFonts w:hint="eastAsia" w:ascii="仿宋" w:hAnsi="仿宋" w:eastAsia="仿宋" w:cs="仿宋"/>
                <w:color w:val="auto"/>
                <w:highlight w:val="none"/>
              </w:rPr>
            </w:pPr>
          </w:p>
        </w:tc>
        <w:tc>
          <w:tcPr>
            <w:tcW w:w="1725" w:type="dxa"/>
            <w:vAlign w:val="center"/>
          </w:tcPr>
          <w:p w14:paraId="7B55286D">
            <w:pPr>
              <w:spacing w:line="440" w:lineRule="exact"/>
              <w:jc w:val="center"/>
              <w:rPr>
                <w:rFonts w:hint="eastAsia" w:ascii="仿宋" w:hAnsi="仿宋" w:eastAsia="仿宋" w:cs="仿宋"/>
                <w:color w:val="auto"/>
                <w:highlight w:val="none"/>
              </w:rPr>
            </w:pPr>
          </w:p>
        </w:tc>
        <w:tc>
          <w:tcPr>
            <w:tcW w:w="2267" w:type="dxa"/>
            <w:vAlign w:val="center"/>
          </w:tcPr>
          <w:p w14:paraId="31C7E5C8">
            <w:pPr>
              <w:spacing w:line="440" w:lineRule="exact"/>
              <w:jc w:val="center"/>
              <w:rPr>
                <w:rFonts w:hint="eastAsia" w:ascii="仿宋" w:hAnsi="仿宋" w:eastAsia="仿宋" w:cs="仿宋"/>
                <w:color w:val="auto"/>
                <w:highlight w:val="none"/>
              </w:rPr>
            </w:pPr>
          </w:p>
        </w:tc>
        <w:tc>
          <w:tcPr>
            <w:tcW w:w="2267" w:type="dxa"/>
            <w:vAlign w:val="center"/>
          </w:tcPr>
          <w:p w14:paraId="0679956C">
            <w:pPr>
              <w:spacing w:line="440" w:lineRule="exact"/>
              <w:jc w:val="center"/>
              <w:rPr>
                <w:rFonts w:hint="eastAsia" w:ascii="仿宋" w:hAnsi="仿宋" w:eastAsia="仿宋" w:cs="仿宋"/>
                <w:color w:val="auto"/>
                <w:highlight w:val="none"/>
              </w:rPr>
            </w:pPr>
          </w:p>
        </w:tc>
        <w:tc>
          <w:tcPr>
            <w:tcW w:w="995" w:type="dxa"/>
            <w:vAlign w:val="center"/>
          </w:tcPr>
          <w:p w14:paraId="5039E751">
            <w:pPr>
              <w:spacing w:line="440" w:lineRule="exact"/>
              <w:jc w:val="center"/>
              <w:rPr>
                <w:rFonts w:hint="eastAsia" w:ascii="仿宋" w:hAnsi="仿宋" w:eastAsia="仿宋" w:cs="仿宋"/>
                <w:color w:val="auto"/>
                <w:highlight w:val="none"/>
              </w:rPr>
            </w:pPr>
          </w:p>
        </w:tc>
      </w:tr>
      <w:tr w14:paraId="409E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152AA0FE">
            <w:pPr>
              <w:spacing w:line="440" w:lineRule="exact"/>
              <w:jc w:val="center"/>
              <w:rPr>
                <w:rFonts w:hint="eastAsia" w:ascii="仿宋" w:hAnsi="仿宋" w:eastAsia="仿宋" w:cs="仿宋"/>
                <w:color w:val="auto"/>
                <w:highlight w:val="none"/>
              </w:rPr>
            </w:pPr>
          </w:p>
        </w:tc>
        <w:tc>
          <w:tcPr>
            <w:tcW w:w="1725" w:type="dxa"/>
            <w:vAlign w:val="center"/>
          </w:tcPr>
          <w:p w14:paraId="2F3FF80C">
            <w:pPr>
              <w:spacing w:line="440" w:lineRule="exact"/>
              <w:jc w:val="center"/>
              <w:rPr>
                <w:rFonts w:hint="eastAsia" w:ascii="仿宋" w:hAnsi="仿宋" w:eastAsia="仿宋" w:cs="仿宋"/>
                <w:color w:val="auto"/>
                <w:highlight w:val="none"/>
              </w:rPr>
            </w:pPr>
          </w:p>
        </w:tc>
        <w:tc>
          <w:tcPr>
            <w:tcW w:w="2267" w:type="dxa"/>
            <w:vAlign w:val="center"/>
          </w:tcPr>
          <w:p w14:paraId="511DB067">
            <w:pPr>
              <w:spacing w:line="440" w:lineRule="exact"/>
              <w:jc w:val="center"/>
              <w:rPr>
                <w:rFonts w:hint="eastAsia" w:ascii="仿宋" w:hAnsi="仿宋" w:eastAsia="仿宋" w:cs="仿宋"/>
                <w:color w:val="auto"/>
                <w:highlight w:val="none"/>
              </w:rPr>
            </w:pPr>
          </w:p>
        </w:tc>
        <w:tc>
          <w:tcPr>
            <w:tcW w:w="2267" w:type="dxa"/>
            <w:vAlign w:val="center"/>
          </w:tcPr>
          <w:p w14:paraId="6FCC003D">
            <w:pPr>
              <w:spacing w:line="440" w:lineRule="exact"/>
              <w:jc w:val="center"/>
              <w:rPr>
                <w:rFonts w:hint="eastAsia" w:ascii="仿宋" w:hAnsi="仿宋" w:eastAsia="仿宋" w:cs="仿宋"/>
                <w:color w:val="auto"/>
                <w:highlight w:val="none"/>
              </w:rPr>
            </w:pPr>
          </w:p>
        </w:tc>
        <w:tc>
          <w:tcPr>
            <w:tcW w:w="995" w:type="dxa"/>
            <w:vAlign w:val="center"/>
          </w:tcPr>
          <w:p w14:paraId="7813793E">
            <w:pPr>
              <w:spacing w:line="440" w:lineRule="exact"/>
              <w:jc w:val="center"/>
              <w:rPr>
                <w:rFonts w:hint="eastAsia" w:ascii="仿宋" w:hAnsi="仿宋" w:eastAsia="仿宋" w:cs="仿宋"/>
                <w:color w:val="auto"/>
                <w:highlight w:val="none"/>
              </w:rPr>
            </w:pPr>
          </w:p>
        </w:tc>
      </w:tr>
    </w:tbl>
    <w:p w14:paraId="47A7AEB7">
      <w:pPr>
        <w:pStyle w:val="11"/>
        <w:tabs>
          <w:tab w:val="left" w:pos="558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18"/>
          <w:highlight w:val="none"/>
        </w:rPr>
        <w:t>投标人须在本表中对招标文件商务条款是否偏离逐项列明，此表中若无任何文字说明，内容为空白的</w:t>
      </w:r>
      <w:r>
        <w:rPr>
          <w:rFonts w:hint="eastAsia" w:ascii="仿宋" w:hAnsi="仿宋" w:eastAsia="仿宋" w:cs="仿宋"/>
          <w:b/>
          <w:color w:val="auto"/>
          <w:sz w:val="22"/>
          <w:szCs w:val="18"/>
          <w:highlight w:val="none"/>
        </w:rPr>
        <w:t>应答无效</w:t>
      </w:r>
      <w:r>
        <w:rPr>
          <w:rFonts w:hint="eastAsia" w:ascii="仿宋" w:hAnsi="仿宋" w:eastAsia="仿宋" w:cs="仿宋"/>
          <w:color w:val="auto"/>
          <w:sz w:val="22"/>
          <w:szCs w:val="18"/>
          <w:highlight w:val="none"/>
        </w:rPr>
        <w:t>。</w:t>
      </w:r>
    </w:p>
    <w:p w14:paraId="4D163B0F">
      <w:pPr>
        <w:pStyle w:val="11"/>
        <w:tabs>
          <w:tab w:val="left" w:pos="5580"/>
        </w:tabs>
        <w:spacing w:line="360" w:lineRule="auto"/>
        <w:ind w:firstLine="3300" w:firstLineChars="1500"/>
        <w:rPr>
          <w:rFonts w:hint="eastAsia" w:ascii="仿宋" w:hAnsi="仿宋" w:eastAsia="仿宋" w:cs="仿宋"/>
          <w:color w:val="auto"/>
          <w:sz w:val="22"/>
          <w:szCs w:val="22"/>
          <w:highlight w:val="none"/>
        </w:rPr>
      </w:pPr>
    </w:p>
    <w:p w14:paraId="5C64DF6E">
      <w:pPr>
        <w:pStyle w:val="11"/>
        <w:tabs>
          <w:tab w:val="left" w:pos="5580"/>
        </w:tabs>
        <w:spacing w:line="360" w:lineRule="auto"/>
        <w:ind w:firstLine="3300" w:firstLineChars="1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r>
        <w:rPr>
          <w:rFonts w:hint="eastAsia" w:ascii="仿宋" w:hAnsi="仿宋" w:eastAsia="仿宋" w:cs="仿宋"/>
          <w:color w:val="auto"/>
          <w:sz w:val="22"/>
          <w:szCs w:val="22"/>
          <w:highlight w:val="none"/>
          <w:u w:val="single"/>
        </w:rPr>
        <w:t xml:space="preserve">                     </w:t>
      </w:r>
    </w:p>
    <w:p w14:paraId="1B71EF6A">
      <w:pPr>
        <w:pStyle w:val="11"/>
        <w:tabs>
          <w:tab w:val="left" w:pos="6390"/>
        </w:tabs>
        <w:spacing w:line="360" w:lineRule="auto"/>
        <w:ind w:firstLine="3300" w:firstLineChars="15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投标人法定代表人或其授权代表签字:</w:t>
      </w:r>
      <w:r>
        <w:rPr>
          <w:rFonts w:hint="eastAsia" w:ascii="仿宋" w:hAnsi="仿宋" w:eastAsia="仿宋" w:cs="仿宋"/>
          <w:color w:val="auto"/>
          <w:sz w:val="22"/>
          <w:szCs w:val="22"/>
          <w:highlight w:val="none"/>
          <w:u w:val="single"/>
        </w:rPr>
        <w:tab/>
      </w:r>
      <w:r>
        <w:rPr>
          <w:rFonts w:hint="eastAsia" w:ascii="仿宋" w:hAnsi="仿宋" w:eastAsia="仿宋" w:cs="仿宋"/>
          <w:color w:val="auto"/>
          <w:sz w:val="22"/>
          <w:szCs w:val="22"/>
          <w:highlight w:val="none"/>
          <w:u w:val="single"/>
        </w:rPr>
        <w:t xml:space="preserve">    </w:t>
      </w:r>
    </w:p>
    <w:p w14:paraId="0CB21DE3">
      <w:pPr>
        <w:pStyle w:val="2"/>
        <w:spacing w:line="360" w:lineRule="auto"/>
        <w:ind w:firstLine="3300" w:firstLineChars="1500"/>
        <w:jc w:val="both"/>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p>
    <w:p w14:paraId="53D77B98">
      <w:pPr>
        <w:pStyle w:val="2"/>
        <w:spacing w:line="360" w:lineRule="auto"/>
        <w:jc w:val="both"/>
        <w:rPr>
          <w:rFonts w:hint="eastAsia" w:ascii="仿宋" w:hAnsi="仿宋" w:eastAsia="仿宋" w:cs="仿宋"/>
          <w:color w:val="auto"/>
          <w:sz w:val="22"/>
          <w:szCs w:val="22"/>
          <w:highlight w:val="none"/>
          <w:u w:val="single"/>
        </w:rPr>
      </w:pPr>
    </w:p>
    <w:p w14:paraId="26EC522F">
      <w:pPr>
        <w:pStyle w:val="2"/>
        <w:spacing w:line="360" w:lineRule="auto"/>
        <w:jc w:val="both"/>
        <w:rPr>
          <w:rFonts w:hint="eastAsia" w:ascii="仿宋" w:hAnsi="仿宋" w:eastAsia="仿宋" w:cs="仿宋"/>
          <w:color w:val="auto"/>
          <w:sz w:val="24"/>
          <w:szCs w:val="24"/>
          <w:highlight w:val="none"/>
          <w:u w:val="single"/>
        </w:rPr>
      </w:pPr>
    </w:p>
    <w:p w14:paraId="128BF77D">
      <w:pPr>
        <w:pStyle w:val="2"/>
        <w:spacing w:line="360" w:lineRule="auto"/>
        <w:jc w:val="both"/>
        <w:rPr>
          <w:rFonts w:hint="eastAsia" w:ascii="仿宋" w:hAnsi="仿宋" w:eastAsia="仿宋" w:cs="仿宋"/>
          <w:color w:val="auto"/>
          <w:sz w:val="24"/>
          <w:szCs w:val="24"/>
          <w:highlight w:val="none"/>
          <w:u w:val="single"/>
        </w:rPr>
      </w:pPr>
    </w:p>
    <w:p w14:paraId="1563EE09">
      <w:pPr>
        <w:pStyle w:val="2"/>
        <w:spacing w:line="360" w:lineRule="auto"/>
        <w:jc w:val="both"/>
        <w:rPr>
          <w:rFonts w:hint="eastAsia" w:ascii="仿宋" w:hAnsi="仿宋" w:eastAsia="仿宋" w:cs="仿宋"/>
          <w:color w:val="auto"/>
          <w:sz w:val="24"/>
          <w:szCs w:val="24"/>
          <w:highlight w:val="none"/>
          <w:u w:val="single"/>
        </w:rPr>
      </w:pPr>
    </w:p>
    <w:p w14:paraId="4CDC4E91">
      <w:pPr>
        <w:pStyle w:val="2"/>
        <w:spacing w:line="360" w:lineRule="auto"/>
        <w:jc w:val="both"/>
        <w:rPr>
          <w:rFonts w:hint="eastAsia" w:ascii="仿宋" w:hAnsi="仿宋" w:eastAsia="仿宋" w:cs="仿宋"/>
          <w:color w:val="auto"/>
          <w:sz w:val="24"/>
          <w:szCs w:val="24"/>
          <w:highlight w:val="none"/>
          <w:u w:val="single"/>
        </w:rPr>
      </w:pPr>
    </w:p>
    <w:p w14:paraId="4908F0ED">
      <w:pPr>
        <w:pStyle w:val="2"/>
        <w:jc w:val="both"/>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附件11：技术条款偏离表</w:t>
      </w:r>
    </w:p>
    <w:p w14:paraId="22AF844F">
      <w:pPr>
        <w:pStyle w:val="2"/>
        <w:jc w:val="both"/>
        <w:rPr>
          <w:rFonts w:hint="eastAsia" w:ascii="仿宋" w:hAnsi="仿宋" w:eastAsia="仿宋" w:cs="仿宋"/>
          <w:b/>
          <w:bCs/>
          <w:color w:val="auto"/>
          <w:sz w:val="24"/>
          <w:szCs w:val="24"/>
          <w:highlight w:val="none"/>
        </w:rPr>
      </w:pPr>
    </w:p>
    <w:p w14:paraId="18F43F2A">
      <w:pPr>
        <w:ind w:firstLine="0" w:firstLineChars="0"/>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技术条款或服务条款偏离表</w:t>
      </w:r>
    </w:p>
    <w:p w14:paraId="72BCE910">
      <w:pPr>
        <w:pStyle w:val="2"/>
        <w:jc w:val="center"/>
        <w:rPr>
          <w:rFonts w:hint="eastAsia" w:ascii="仿宋" w:hAnsi="仿宋" w:eastAsia="仿宋" w:cs="仿宋"/>
          <w:b/>
          <w:bCs/>
          <w:color w:val="auto"/>
          <w:sz w:val="32"/>
          <w:szCs w:val="32"/>
          <w:highlight w:val="none"/>
        </w:rPr>
      </w:pPr>
    </w:p>
    <w:p w14:paraId="01DC57A0">
      <w:pPr>
        <w:spacing w:line="360" w:lineRule="auto"/>
        <w:rPr>
          <w:rFonts w:hint="eastAsia" w:ascii="仿宋" w:hAnsi="仿宋" w:eastAsia="仿宋" w:cs="仿宋"/>
          <w:color w:val="auto"/>
          <w:sz w:val="22"/>
          <w:szCs w:val="18"/>
          <w:highlight w:val="none"/>
        </w:rPr>
      </w:pPr>
      <w:r>
        <w:rPr>
          <w:rFonts w:hint="eastAsia" w:ascii="仿宋" w:hAnsi="仿宋" w:eastAsia="仿宋" w:cs="仿宋"/>
          <w:color w:val="auto"/>
          <w:sz w:val="22"/>
          <w:szCs w:val="18"/>
          <w:highlight w:val="none"/>
        </w:rPr>
        <w:t>项目名称：                              项目编号：</w:t>
      </w:r>
    </w:p>
    <w:tbl>
      <w:tblPr>
        <w:tblStyle w:val="14"/>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725"/>
        <w:gridCol w:w="2267"/>
        <w:gridCol w:w="2267"/>
        <w:gridCol w:w="995"/>
      </w:tblGrid>
      <w:tr w14:paraId="2BBE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65AC8D53">
            <w:pPr>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序号</w:t>
            </w:r>
          </w:p>
        </w:tc>
        <w:tc>
          <w:tcPr>
            <w:tcW w:w="1725" w:type="dxa"/>
            <w:vAlign w:val="center"/>
          </w:tcPr>
          <w:p w14:paraId="1E8BBB51">
            <w:pPr>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招标文件条款号</w:t>
            </w:r>
          </w:p>
        </w:tc>
        <w:tc>
          <w:tcPr>
            <w:tcW w:w="2267" w:type="dxa"/>
            <w:vAlign w:val="center"/>
          </w:tcPr>
          <w:p w14:paraId="341808FD">
            <w:pPr>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招标文件的商务条款</w:t>
            </w:r>
          </w:p>
        </w:tc>
        <w:tc>
          <w:tcPr>
            <w:tcW w:w="2267" w:type="dxa"/>
            <w:vAlign w:val="center"/>
          </w:tcPr>
          <w:p w14:paraId="01386662">
            <w:pPr>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招标文件的商务条款</w:t>
            </w:r>
          </w:p>
        </w:tc>
        <w:tc>
          <w:tcPr>
            <w:tcW w:w="995" w:type="dxa"/>
            <w:vAlign w:val="center"/>
          </w:tcPr>
          <w:p w14:paraId="08C972ED">
            <w:pPr>
              <w:spacing w:line="440" w:lineRule="exact"/>
              <w:jc w:val="center"/>
              <w:rPr>
                <w:rFonts w:hint="eastAsia" w:ascii="仿宋" w:hAnsi="仿宋" w:eastAsia="仿宋" w:cs="仿宋"/>
                <w:color w:val="auto"/>
                <w:highlight w:val="none"/>
              </w:rPr>
            </w:pPr>
            <w:r>
              <w:rPr>
                <w:rFonts w:hint="eastAsia" w:ascii="仿宋" w:hAnsi="仿宋" w:eastAsia="仿宋" w:cs="仿宋"/>
                <w:color w:val="auto"/>
                <w:szCs w:val="21"/>
                <w:highlight w:val="none"/>
              </w:rPr>
              <w:t>说明</w:t>
            </w:r>
          </w:p>
        </w:tc>
      </w:tr>
      <w:tr w14:paraId="00D7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04199AFA">
            <w:pPr>
              <w:spacing w:line="440" w:lineRule="exact"/>
              <w:jc w:val="center"/>
              <w:rPr>
                <w:rFonts w:hint="eastAsia" w:ascii="仿宋" w:hAnsi="仿宋" w:eastAsia="仿宋" w:cs="仿宋"/>
                <w:color w:val="auto"/>
                <w:highlight w:val="none"/>
              </w:rPr>
            </w:pPr>
          </w:p>
        </w:tc>
        <w:tc>
          <w:tcPr>
            <w:tcW w:w="1725" w:type="dxa"/>
            <w:vAlign w:val="center"/>
          </w:tcPr>
          <w:p w14:paraId="692D015D">
            <w:pPr>
              <w:spacing w:line="440" w:lineRule="exact"/>
              <w:jc w:val="center"/>
              <w:rPr>
                <w:rFonts w:hint="eastAsia" w:ascii="仿宋" w:hAnsi="仿宋" w:eastAsia="仿宋" w:cs="仿宋"/>
                <w:color w:val="auto"/>
                <w:highlight w:val="none"/>
              </w:rPr>
            </w:pPr>
          </w:p>
        </w:tc>
        <w:tc>
          <w:tcPr>
            <w:tcW w:w="2267" w:type="dxa"/>
            <w:vAlign w:val="center"/>
          </w:tcPr>
          <w:p w14:paraId="0CF52307">
            <w:pPr>
              <w:spacing w:line="440" w:lineRule="exact"/>
              <w:jc w:val="center"/>
              <w:rPr>
                <w:rFonts w:hint="eastAsia" w:ascii="仿宋" w:hAnsi="仿宋" w:eastAsia="仿宋" w:cs="仿宋"/>
                <w:color w:val="auto"/>
                <w:highlight w:val="none"/>
              </w:rPr>
            </w:pPr>
          </w:p>
        </w:tc>
        <w:tc>
          <w:tcPr>
            <w:tcW w:w="2267" w:type="dxa"/>
            <w:vAlign w:val="center"/>
          </w:tcPr>
          <w:p w14:paraId="7E9A10E4">
            <w:pPr>
              <w:spacing w:line="440" w:lineRule="exact"/>
              <w:jc w:val="center"/>
              <w:rPr>
                <w:rFonts w:hint="eastAsia" w:ascii="仿宋" w:hAnsi="仿宋" w:eastAsia="仿宋" w:cs="仿宋"/>
                <w:color w:val="auto"/>
                <w:highlight w:val="none"/>
              </w:rPr>
            </w:pPr>
          </w:p>
        </w:tc>
        <w:tc>
          <w:tcPr>
            <w:tcW w:w="995" w:type="dxa"/>
            <w:vAlign w:val="center"/>
          </w:tcPr>
          <w:p w14:paraId="53F34C42">
            <w:pPr>
              <w:spacing w:line="440" w:lineRule="exact"/>
              <w:jc w:val="center"/>
              <w:rPr>
                <w:rFonts w:hint="eastAsia" w:ascii="仿宋" w:hAnsi="仿宋" w:eastAsia="仿宋" w:cs="仿宋"/>
                <w:color w:val="auto"/>
                <w:highlight w:val="none"/>
              </w:rPr>
            </w:pPr>
          </w:p>
        </w:tc>
      </w:tr>
      <w:tr w14:paraId="67BD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09DC9AA9">
            <w:pPr>
              <w:spacing w:line="440" w:lineRule="exact"/>
              <w:jc w:val="center"/>
              <w:rPr>
                <w:rFonts w:hint="eastAsia" w:ascii="仿宋" w:hAnsi="仿宋" w:eastAsia="仿宋" w:cs="仿宋"/>
                <w:color w:val="auto"/>
                <w:highlight w:val="none"/>
              </w:rPr>
            </w:pPr>
          </w:p>
        </w:tc>
        <w:tc>
          <w:tcPr>
            <w:tcW w:w="1725" w:type="dxa"/>
            <w:vAlign w:val="center"/>
          </w:tcPr>
          <w:p w14:paraId="143A0592">
            <w:pPr>
              <w:spacing w:line="440" w:lineRule="exact"/>
              <w:jc w:val="center"/>
              <w:rPr>
                <w:rFonts w:hint="eastAsia" w:ascii="仿宋" w:hAnsi="仿宋" w:eastAsia="仿宋" w:cs="仿宋"/>
                <w:color w:val="auto"/>
                <w:highlight w:val="none"/>
              </w:rPr>
            </w:pPr>
          </w:p>
        </w:tc>
        <w:tc>
          <w:tcPr>
            <w:tcW w:w="2267" w:type="dxa"/>
            <w:vAlign w:val="center"/>
          </w:tcPr>
          <w:p w14:paraId="7BA723E3">
            <w:pPr>
              <w:spacing w:line="440" w:lineRule="exact"/>
              <w:jc w:val="center"/>
              <w:rPr>
                <w:rFonts w:hint="eastAsia" w:ascii="仿宋" w:hAnsi="仿宋" w:eastAsia="仿宋" w:cs="仿宋"/>
                <w:color w:val="auto"/>
                <w:highlight w:val="none"/>
              </w:rPr>
            </w:pPr>
          </w:p>
        </w:tc>
        <w:tc>
          <w:tcPr>
            <w:tcW w:w="2267" w:type="dxa"/>
            <w:vAlign w:val="center"/>
          </w:tcPr>
          <w:p w14:paraId="33286103">
            <w:pPr>
              <w:spacing w:line="440" w:lineRule="exact"/>
              <w:jc w:val="center"/>
              <w:rPr>
                <w:rFonts w:hint="eastAsia" w:ascii="仿宋" w:hAnsi="仿宋" w:eastAsia="仿宋" w:cs="仿宋"/>
                <w:color w:val="auto"/>
                <w:highlight w:val="none"/>
              </w:rPr>
            </w:pPr>
          </w:p>
        </w:tc>
        <w:tc>
          <w:tcPr>
            <w:tcW w:w="995" w:type="dxa"/>
            <w:vAlign w:val="center"/>
          </w:tcPr>
          <w:p w14:paraId="7131F2C9">
            <w:pPr>
              <w:spacing w:line="440" w:lineRule="exact"/>
              <w:jc w:val="center"/>
              <w:rPr>
                <w:rFonts w:hint="eastAsia" w:ascii="仿宋" w:hAnsi="仿宋" w:eastAsia="仿宋" w:cs="仿宋"/>
                <w:color w:val="auto"/>
                <w:highlight w:val="none"/>
              </w:rPr>
            </w:pPr>
          </w:p>
        </w:tc>
      </w:tr>
      <w:tr w14:paraId="4ABB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3A7A031E">
            <w:pPr>
              <w:spacing w:line="440" w:lineRule="exact"/>
              <w:jc w:val="center"/>
              <w:rPr>
                <w:rFonts w:hint="eastAsia" w:ascii="仿宋" w:hAnsi="仿宋" w:eastAsia="仿宋" w:cs="仿宋"/>
                <w:color w:val="auto"/>
                <w:highlight w:val="none"/>
              </w:rPr>
            </w:pPr>
          </w:p>
        </w:tc>
        <w:tc>
          <w:tcPr>
            <w:tcW w:w="1725" w:type="dxa"/>
            <w:vAlign w:val="center"/>
          </w:tcPr>
          <w:p w14:paraId="3371B399">
            <w:pPr>
              <w:spacing w:line="440" w:lineRule="exact"/>
              <w:jc w:val="center"/>
              <w:rPr>
                <w:rFonts w:hint="eastAsia" w:ascii="仿宋" w:hAnsi="仿宋" w:eastAsia="仿宋" w:cs="仿宋"/>
                <w:color w:val="auto"/>
                <w:highlight w:val="none"/>
              </w:rPr>
            </w:pPr>
          </w:p>
        </w:tc>
        <w:tc>
          <w:tcPr>
            <w:tcW w:w="2267" w:type="dxa"/>
            <w:vAlign w:val="center"/>
          </w:tcPr>
          <w:p w14:paraId="40CF115B">
            <w:pPr>
              <w:spacing w:line="440" w:lineRule="exact"/>
              <w:jc w:val="center"/>
              <w:rPr>
                <w:rFonts w:hint="eastAsia" w:ascii="仿宋" w:hAnsi="仿宋" w:eastAsia="仿宋" w:cs="仿宋"/>
                <w:color w:val="auto"/>
                <w:highlight w:val="none"/>
              </w:rPr>
            </w:pPr>
          </w:p>
        </w:tc>
        <w:tc>
          <w:tcPr>
            <w:tcW w:w="2267" w:type="dxa"/>
            <w:vAlign w:val="center"/>
          </w:tcPr>
          <w:p w14:paraId="5BEEED61">
            <w:pPr>
              <w:spacing w:line="440" w:lineRule="exact"/>
              <w:jc w:val="center"/>
              <w:rPr>
                <w:rFonts w:hint="eastAsia" w:ascii="仿宋" w:hAnsi="仿宋" w:eastAsia="仿宋" w:cs="仿宋"/>
                <w:color w:val="auto"/>
                <w:highlight w:val="none"/>
              </w:rPr>
            </w:pPr>
          </w:p>
        </w:tc>
        <w:tc>
          <w:tcPr>
            <w:tcW w:w="995" w:type="dxa"/>
            <w:vAlign w:val="center"/>
          </w:tcPr>
          <w:p w14:paraId="61B5D5FA">
            <w:pPr>
              <w:spacing w:line="440" w:lineRule="exact"/>
              <w:jc w:val="center"/>
              <w:rPr>
                <w:rFonts w:hint="eastAsia" w:ascii="仿宋" w:hAnsi="仿宋" w:eastAsia="仿宋" w:cs="仿宋"/>
                <w:color w:val="auto"/>
                <w:highlight w:val="none"/>
              </w:rPr>
            </w:pPr>
          </w:p>
        </w:tc>
      </w:tr>
      <w:tr w14:paraId="1EE4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0C6CB81D">
            <w:pPr>
              <w:spacing w:line="440" w:lineRule="exact"/>
              <w:jc w:val="center"/>
              <w:rPr>
                <w:rFonts w:hint="eastAsia" w:ascii="仿宋" w:hAnsi="仿宋" w:eastAsia="仿宋" w:cs="仿宋"/>
                <w:color w:val="auto"/>
                <w:highlight w:val="none"/>
              </w:rPr>
            </w:pPr>
          </w:p>
        </w:tc>
        <w:tc>
          <w:tcPr>
            <w:tcW w:w="1725" w:type="dxa"/>
            <w:vAlign w:val="center"/>
          </w:tcPr>
          <w:p w14:paraId="481BD565">
            <w:pPr>
              <w:spacing w:line="440" w:lineRule="exact"/>
              <w:jc w:val="center"/>
              <w:rPr>
                <w:rFonts w:hint="eastAsia" w:ascii="仿宋" w:hAnsi="仿宋" w:eastAsia="仿宋" w:cs="仿宋"/>
                <w:color w:val="auto"/>
                <w:highlight w:val="none"/>
              </w:rPr>
            </w:pPr>
          </w:p>
        </w:tc>
        <w:tc>
          <w:tcPr>
            <w:tcW w:w="2267" w:type="dxa"/>
            <w:vAlign w:val="center"/>
          </w:tcPr>
          <w:p w14:paraId="4B0B131A">
            <w:pPr>
              <w:spacing w:line="440" w:lineRule="exact"/>
              <w:jc w:val="center"/>
              <w:rPr>
                <w:rFonts w:hint="eastAsia" w:ascii="仿宋" w:hAnsi="仿宋" w:eastAsia="仿宋" w:cs="仿宋"/>
                <w:color w:val="auto"/>
                <w:highlight w:val="none"/>
              </w:rPr>
            </w:pPr>
          </w:p>
        </w:tc>
        <w:tc>
          <w:tcPr>
            <w:tcW w:w="2267" w:type="dxa"/>
            <w:vAlign w:val="center"/>
          </w:tcPr>
          <w:p w14:paraId="1FD5CF3F">
            <w:pPr>
              <w:spacing w:line="440" w:lineRule="exact"/>
              <w:jc w:val="center"/>
              <w:rPr>
                <w:rFonts w:hint="eastAsia" w:ascii="仿宋" w:hAnsi="仿宋" w:eastAsia="仿宋" w:cs="仿宋"/>
                <w:color w:val="auto"/>
                <w:highlight w:val="none"/>
              </w:rPr>
            </w:pPr>
          </w:p>
        </w:tc>
        <w:tc>
          <w:tcPr>
            <w:tcW w:w="995" w:type="dxa"/>
            <w:vAlign w:val="center"/>
          </w:tcPr>
          <w:p w14:paraId="695C8558">
            <w:pPr>
              <w:spacing w:line="440" w:lineRule="exact"/>
              <w:jc w:val="center"/>
              <w:rPr>
                <w:rFonts w:hint="eastAsia" w:ascii="仿宋" w:hAnsi="仿宋" w:eastAsia="仿宋" w:cs="仿宋"/>
                <w:color w:val="auto"/>
                <w:highlight w:val="none"/>
              </w:rPr>
            </w:pPr>
          </w:p>
        </w:tc>
      </w:tr>
      <w:tr w14:paraId="7CE8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379E054E">
            <w:pPr>
              <w:spacing w:line="440" w:lineRule="exact"/>
              <w:jc w:val="center"/>
              <w:rPr>
                <w:rFonts w:hint="eastAsia" w:ascii="仿宋" w:hAnsi="仿宋" w:eastAsia="仿宋" w:cs="仿宋"/>
                <w:color w:val="auto"/>
                <w:highlight w:val="none"/>
              </w:rPr>
            </w:pPr>
          </w:p>
        </w:tc>
        <w:tc>
          <w:tcPr>
            <w:tcW w:w="1725" w:type="dxa"/>
            <w:vAlign w:val="center"/>
          </w:tcPr>
          <w:p w14:paraId="0FC9563B">
            <w:pPr>
              <w:spacing w:line="440" w:lineRule="exact"/>
              <w:jc w:val="center"/>
              <w:rPr>
                <w:rFonts w:hint="eastAsia" w:ascii="仿宋" w:hAnsi="仿宋" w:eastAsia="仿宋" w:cs="仿宋"/>
                <w:color w:val="auto"/>
                <w:highlight w:val="none"/>
              </w:rPr>
            </w:pPr>
          </w:p>
        </w:tc>
        <w:tc>
          <w:tcPr>
            <w:tcW w:w="2267" w:type="dxa"/>
            <w:vAlign w:val="center"/>
          </w:tcPr>
          <w:p w14:paraId="5C6A5781">
            <w:pPr>
              <w:spacing w:line="440" w:lineRule="exact"/>
              <w:jc w:val="center"/>
              <w:rPr>
                <w:rFonts w:hint="eastAsia" w:ascii="仿宋" w:hAnsi="仿宋" w:eastAsia="仿宋" w:cs="仿宋"/>
                <w:color w:val="auto"/>
                <w:highlight w:val="none"/>
              </w:rPr>
            </w:pPr>
          </w:p>
        </w:tc>
        <w:tc>
          <w:tcPr>
            <w:tcW w:w="2267" w:type="dxa"/>
            <w:vAlign w:val="center"/>
          </w:tcPr>
          <w:p w14:paraId="21C7960B">
            <w:pPr>
              <w:spacing w:line="440" w:lineRule="exact"/>
              <w:jc w:val="center"/>
              <w:rPr>
                <w:rFonts w:hint="eastAsia" w:ascii="仿宋" w:hAnsi="仿宋" w:eastAsia="仿宋" w:cs="仿宋"/>
                <w:color w:val="auto"/>
                <w:highlight w:val="none"/>
              </w:rPr>
            </w:pPr>
          </w:p>
        </w:tc>
        <w:tc>
          <w:tcPr>
            <w:tcW w:w="995" w:type="dxa"/>
            <w:vAlign w:val="center"/>
          </w:tcPr>
          <w:p w14:paraId="46D17CEE">
            <w:pPr>
              <w:spacing w:line="440" w:lineRule="exact"/>
              <w:jc w:val="center"/>
              <w:rPr>
                <w:rFonts w:hint="eastAsia" w:ascii="仿宋" w:hAnsi="仿宋" w:eastAsia="仿宋" w:cs="仿宋"/>
                <w:color w:val="auto"/>
                <w:highlight w:val="none"/>
              </w:rPr>
            </w:pPr>
          </w:p>
        </w:tc>
      </w:tr>
      <w:tr w14:paraId="29C9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4F3C92F9">
            <w:pPr>
              <w:spacing w:line="440" w:lineRule="exact"/>
              <w:jc w:val="center"/>
              <w:rPr>
                <w:rFonts w:hint="eastAsia" w:ascii="仿宋" w:hAnsi="仿宋" w:eastAsia="仿宋" w:cs="仿宋"/>
                <w:color w:val="auto"/>
                <w:highlight w:val="none"/>
              </w:rPr>
            </w:pPr>
          </w:p>
        </w:tc>
        <w:tc>
          <w:tcPr>
            <w:tcW w:w="1725" w:type="dxa"/>
            <w:vAlign w:val="center"/>
          </w:tcPr>
          <w:p w14:paraId="7529F990">
            <w:pPr>
              <w:spacing w:line="440" w:lineRule="exact"/>
              <w:jc w:val="center"/>
              <w:rPr>
                <w:rFonts w:hint="eastAsia" w:ascii="仿宋" w:hAnsi="仿宋" w:eastAsia="仿宋" w:cs="仿宋"/>
                <w:color w:val="auto"/>
                <w:highlight w:val="none"/>
              </w:rPr>
            </w:pPr>
          </w:p>
        </w:tc>
        <w:tc>
          <w:tcPr>
            <w:tcW w:w="2267" w:type="dxa"/>
            <w:vAlign w:val="center"/>
          </w:tcPr>
          <w:p w14:paraId="5679DFBC">
            <w:pPr>
              <w:spacing w:line="440" w:lineRule="exact"/>
              <w:jc w:val="center"/>
              <w:rPr>
                <w:rFonts w:hint="eastAsia" w:ascii="仿宋" w:hAnsi="仿宋" w:eastAsia="仿宋" w:cs="仿宋"/>
                <w:color w:val="auto"/>
                <w:highlight w:val="none"/>
              </w:rPr>
            </w:pPr>
          </w:p>
        </w:tc>
        <w:tc>
          <w:tcPr>
            <w:tcW w:w="2267" w:type="dxa"/>
            <w:vAlign w:val="center"/>
          </w:tcPr>
          <w:p w14:paraId="4D760509">
            <w:pPr>
              <w:spacing w:line="440" w:lineRule="exact"/>
              <w:jc w:val="center"/>
              <w:rPr>
                <w:rFonts w:hint="eastAsia" w:ascii="仿宋" w:hAnsi="仿宋" w:eastAsia="仿宋" w:cs="仿宋"/>
                <w:color w:val="auto"/>
                <w:highlight w:val="none"/>
              </w:rPr>
            </w:pPr>
          </w:p>
        </w:tc>
        <w:tc>
          <w:tcPr>
            <w:tcW w:w="995" w:type="dxa"/>
            <w:vAlign w:val="center"/>
          </w:tcPr>
          <w:p w14:paraId="24A2CB3C">
            <w:pPr>
              <w:spacing w:line="440" w:lineRule="exact"/>
              <w:jc w:val="center"/>
              <w:rPr>
                <w:rFonts w:hint="eastAsia" w:ascii="仿宋" w:hAnsi="仿宋" w:eastAsia="仿宋" w:cs="仿宋"/>
                <w:color w:val="auto"/>
                <w:highlight w:val="none"/>
              </w:rPr>
            </w:pPr>
          </w:p>
        </w:tc>
      </w:tr>
      <w:tr w14:paraId="10FC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2DE3BDFE">
            <w:pPr>
              <w:spacing w:line="440" w:lineRule="exact"/>
              <w:jc w:val="center"/>
              <w:rPr>
                <w:rFonts w:hint="eastAsia" w:ascii="仿宋" w:hAnsi="仿宋" w:eastAsia="仿宋" w:cs="仿宋"/>
                <w:color w:val="auto"/>
                <w:highlight w:val="none"/>
              </w:rPr>
            </w:pPr>
          </w:p>
        </w:tc>
        <w:tc>
          <w:tcPr>
            <w:tcW w:w="1725" w:type="dxa"/>
            <w:vAlign w:val="center"/>
          </w:tcPr>
          <w:p w14:paraId="022F3E70">
            <w:pPr>
              <w:spacing w:line="440" w:lineRule="exact"/>
              <w:jc w:val="center"/>
              <w:rPr>
                <w:rFonts w:hint="eastAsia" w:ascii="仿宋" w:hAnsi="仿宋" w:eastAsia="仿宋" w:cs="仿宋"/>
                <w:color w:val="auto"/>
                <w:highlight w:val="none"/>
              </w:rPr>
            </w:pPr>
          </w:p>
        </w:tc>
        <w:tc>
          <w:tcPr>
            <w:tcW w:w="2267" w:type="dxa"/>
            <w:vAlign w:val="center"/>
          </w:tcPr>
          <w:p w14:paraId="35444A61">
            <w:pPr>
              <w:spacing w:line="440" w:lineRule="exact"/>
              <w:jc w:val="center"/>
              <w:rPr>
                <w:rFonts w:hint="eastAsia" w:ascii="仿宋" w:hAnsi="仿宋" w:eastAsia="仿宋" w:cs="仿宋"/>
                <w:color w:val="auto"/>
                <w:highlight w:val="none"/>
              </w:rPr>
            </w:pPr>
          </w:p>
        </w:tc>
        <w:tc>
          <w:tcPr>
            <w:tcW w:w="2267" w:type="dxa"/>
            <w:vAlign w:val="center"/>
          </w:tcPr>
          <w:p w14:paraId="476AF677">
            <w:pPr>
              <w:spacing w:line="440" w:lineRule="exact"/>
              <w:jc w:val="center"/>
              <w:rPr>
                <w:rFonts w:hint="eastAsia" w:ascii="仿宋" w:hAnsi="仿宋" w:eastAsia="仿宋" w:cs="仿宋"/>
                <w:color w:val="auto"/>
                <w:highlight w:val="none"/>
              </w:rPr>
            </w:pPr>
          </w:p>
        </w:tc>
        <w:tc>
          <w:tcPr>
            <w:tcW w:w="995" w:type="dxa"/>
            <w:vAlign w:val="center"/>
          </w:tcPr>
          <w:p w14:paraId="5E4BEBA1">
            <w:pPr>
              <w:spacing w:line="440" w:lineRule="exact"/>
              <w:jc w:val="center"/>
              <w:rPr>
                <w:rFonts w:hint="eastAsia" w:ascii="仿宋" w:hAnsi="仿宋" w:eastAsia="仿宋" w:cs="仿宋"/>
                <w:color w:val="auto"/>
                <w:highlight w:val="none"/>
              </w:rPr>
            </w:pPr>
          </w:p>
        </w:tc>
      </w:tr>
      <w:tr w14:paraId="4D3F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24709EB3">
            <w:pPr>
              <w:spacing w:line="440" w:lineRule="exact"/>
              <w:jc w:val="center"/>
              <w:rPr>
                <w:rFonts w:hint="eastAsia" w:ascii="仿宋" w:hAnsi="仿宋" w:eastAsia="仿宋" w:cs="仿宋"/>
                <w:color w:val="auto"/>
                <w:highlight w:val="none"/>
              </w:rPr>
            </w:pPr>
          </w:p>
        </w:tc>
        <w:tc>
          <w:tcPr>
            <w:tcW w:w="1725" w:type="dxa"/>
            <w:vAlign w:val="center"/>
          </w:tcPr>
          <w:p w14:paraId="5A11A11A">
            <w:pPr>
              <w:spacing w:line="440" w:lineRule="exact"/>
              <w:jc w:val="center"/>
              <w:rPr>
                <w:rFonts w:hint="eastAsia" w:ascii="仿宋" w:hAnsi="仿宋" w:eastAsia="仿宋" w:cs="仿宋"/>
                <w:color w:val="auto"/>
                <w:highlight w:val="none"/>
              </w:rPr>
            </w:pPr>
          </w:p>
        </w:tc>
        <w:tc>
          <w:tcPr>
            <w:tcW w:w="2267" w:type="dxa"/>
            <w:vAlign w:val="center"/>
          </w:tcPr>
          <w:p w14:paraId="75E6E4E5">
            <w:pPr>
              <w:spacing w:line="440" w:lineRule="exact"/>
              <w:jc w:val="center"/>
              <w:rPr>
                <w:rFonts w:hint="eastAsia" w:ascii="仿宋" w:hAnsi="仿宋" w:eastAsia="仿宋" w:cs="仿宋"/>
                <w:color w:val="auto"/>
                <w:highlight w:val="none"/>
              </w:rPr>
            </w:pPr>
          </w:p>
        </w:tc>
        <w:tc>
          <w:tcPr>
            <w:tcW w:w="2267" w:type="dxa"/>
            <w:vAlign w:val="center"/>
          </w:tcPr>
          <w:p w14:paraId="74B9273A">
            <w:pPr>
              <w:spacing w:line="440" w:lineRule="exact"/>
              <w:jc w:val="center"/>
              <w:rPr>
                <w:rFonts w:hint="eastAsia" w:ascii="仿宋" w:hAnsi="仿宋" w:eastAsia="仿宋" w:cs="仿宋"/>
                <w:color w:val="auto"/>
                <w:highlight w:val="none"/>
              </w:rPr>
            </w:pPr>
          </w:p>
        </w:tc>
        <w:tc>
          <w:tcPr>
            <w:tcW w:w="995" w:type="dxa"/>
            <w:vAlign w:val="center"/>
          </w:tcPr>
          <w:p w14:paraId="2355882F">
            <w:pPr>
              <w:spacing w:line="440" w:lineRule="exact"/>
              <w:jc w:val="center"/>
              <w:rPr>
                <w:rFonts w:hint="eastAsia" w:ascii="仿宋" w:hAnsi="仿宋" w:eastAsia="仿宋" w:cs="仿宋"/>
                <w:color w:val="auto"/>
                <w:highlight w:val="none"/>
              </w:rPr>
            </w:pPr>
          </w:p>
        </w:tc>
      </w:tr>
      <w:tr w14:paraId="12DF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409759DD">
            <w:pPr>
              <w:spacing w:line="440" w:lineRule="exact"/>
              <w:jc w:val="center"/>
              <w:rPr>
                <w:rFonts w:hint="eastAsia" w:ascii="仿宋" w:hAnsi="仿宋" w:eastAsia="仿宋" w:cs="仿宋"/>
                <w:color w:val="auto"/>
                <w:highlight w:val="none"/>
              </w:rPr>
            </w:pPr>
          </w:p>
        </w:tc>
        <w:tc>
          <w:tcPr>
            <w:tcW w:w="1725" w:type="dxa"/>
            <w:vAlign w:val="center"/>
          </w:tcPr>
          <w:p w14:paraId="6934BAA9">
            <w:pPr>
              <w:spacing w:line="440" w:lineRule="exact"/>
              <w:jc w:val="center"/>
              <w:rPr>
                <w:rFonts w:hint="eastAsia" w:ascii="仿宋" w:hAnsi="仿宋" w:eastAsia="仿宋" w:cs="仿宋"/>
                <w:color w:val="auto"/>
                <w:highlight w:val="none"/>
              </w:rPr>
            </w:pPr>
          </w:p>
        </w:tc>
        <w:tc>
          <w:tcPr>
            <w:tcW w:w="2267" w:type="dxa"/>
            <w:vAlign w:val="center"/>
          </w:tcPr>
          <w:p w14:paraId="738724F1">
            <w:pPr>
              <w:spacing w:line="440" w:lineRule="exact"/>
              <w:jc w:val="center"/>
              <w:rPr>
                <w:rFonts w:hint="eastAsia" w:ascii="仿宋" w:hAnsi="仿宋" w:eastAsia="仿宋" w:cs="仿宋"/>
                <w:color w:val="auto"/>
                <w:highlight w:val="none"/>
              </w:rPr>
            </w:pPr>
          </w:p>
        </w:tc>
        <w:tc>
          <w:tcPr>
            <w:tcW w:w="2267" w:type="dxa"/>
            <w:vAlign w:val="center"/>
          </w:tcPr>
          <w:p w14:paraId="0E6CE915">
            <w:pPr>
              <w:spacing w:line="440" w:lineRule="exact"/>
              <w:jc w:val="center"/>
              <w:rPr>
                <w:rFonts w:hint="eastAsia" w:ascii="仿宋" w:hAnsi="仿宋" w:eastAsia="仿宋" w:cs="仿宋"/>
                <w:color w:val="auto"/>
                <w:highlight w:val="none"/>
              </w:rPr>
            </w:pPr>
          </w:p>
        </w:tc>
        <w:tc>
          <w:tcPr>
            <w:tcW w:w="995" w:type="dxa"/>
            <w:vAlign w:val="center"/>
          </w:tcPr>
          <w:p w14:paraId="5BE4739E">
            <w:pPr>
              <w:spacing w:line="440" w:lineRule="exact"/>
              <w:jc w:val="center"/>
              <w:rPr>
                <w:rFonts w:hint="eastAsia" w:ascii="仿宋" w:hAnsi="仿宋" w:eastAsia="仿宋" w:cs="仿宋"/>
                <w:color w:val="auto"/>
                <w:highlight w:val="none"/>
              </w:rPr>
            </w:pPr>
          </w:p>
        </w:tc>
      </w:tr>
      <w:tr w14:paraId="3A9BB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25F752AC">
            <w:pPr>
              <w:spacing w:line="440" w:lineRule="exact"/>
              <w:jc w:val="center"/>
              <w:rPr>
                <w:rFonts w:hint="eastAsia" w:ascii="仿宋" w:hAnsi="仿宋" w:eastAsia="仿宋" w:cs="仿宋"/>
                <w:color w:val="auto"/>
                <w:highlight w:val="none"/>
              </w:rPr>
            </w:pPr>
          </w:p>
        </w:tc>
        <w:tc>
          <w:tcPr>
            <w:tcW w:w="1725" w:type="dxa"/>
            <w:vAlign w:val="center"/>
          </w:tcPr>
          <w:p w14:paraId="4B855D0B">
            <w:pPr>
              <w:spacing w:line="440" w:lineRule="exact"/>
              <w:jc w:val="center"/>
              <w:rPr>
                <w:rFonts w:hint="eastAsia" w:ascii="仿宋" w:hAnsi="仿宋" w:eastAsia="仿宋" w:cs="仿宋"/>
                <w:color w:val="auto"/>
                <w:highlight w:val="none"/>
              </w:rPr>
            </w:pPr>
          </w:p>
        </w:tc>
        <w:tc>
          <w:tcPr>
            <w:tcW w:w="2267" w:type="dxa"/>
            <w:vAlign w:val="center"/>
          </w:tcPr>
          <w:p w14:paraId="6E1999E7">
            <w:pPr>
              <w:spacing w:line="440" w:lineRule="exact"/>
              <w:jc w:val="center"/>
              <w:rPr>
                <w:rFonts w:hint="eastAsia" w:ascii="仿宋" w:hAnsi="仿宋" w:eastAsia="仿宋" w:cs="仿宋"/>
                <w:color w:val="auto"/>
                <w:highlight w:val="none"/>
              </w:rPr>
            </w:pPr>
          </w:p>
        </w:tc>
        <w:tc>
          <w:tcPr>
            <w:tcW w:w="2267" w:type="dxa"/>
            <w:vAlign w:val="center"/>
          </w:tcPr>
          <w:p w14:paraId="3D480AC0">
            <w:pPr>
              <w:spacing w:line="440" w:lineRule="exact"/>
              <w:jc w:val="center"/>
              <w:rPr>
                <w:rFonts w:hint="eastAsia" w:ascii="仿宋" w:hAnsi="仿宋" w:eastAsia="仿宋" w:cs="仿宋"/>
                <w:color w:val="auto"/>
                <w:highlight w:val="none"/>
              </w:rPr>
            </w:pPr>
          </w:p>
        </w:tc>
        <w:tc>
          <w:tcPr>
            <w:tcW w:w="995" w:type="dxa"/>
            <w:vAlign w:val="center"/>
          </w:tcPr>
          <w:p w14:paraId="1F8C538E">
            <w:pPr>
              <w:spacing w:line="440" w:lineRule="exact"/>
              <w:jc w:val="center"/>
              <w:rPr>
                <w:rFonts w:hint="eastAsia" w:ascii="仿宋" w:hAnsi="仿宋" w:eastAsia="仿宋" w:cs="仿宋"/>
                <w:color w:val="auto"/>
                <w:highlight w:val="none"/>
              </w:rPr>
            </w:pPr>
          </w:p>
        </w:tc>
      </w:tr>
      <w:tr w14:paraId="1927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259859F8">
            <w:pPr>
              <w:spacing w:line="440" w:lineRule="exact"/>
              <w:jc w:val="center"/>
              <w:rPr>
                <w:rFonts w:hint="eastAsia" w:ascii="仿宋" w:hAnsi="仿宋" w:eastAsia="仿宋" w:cs="仿宋"/>
                <w:color w:val="auto"/>
                <w:highlight w:val="none"/>
              </w:rPr>
            </w:pPr>
          </w:p>
        </w:tc>
        <w:tc>
          <w:tcPr>
            <w:tcW w:w="1725" w:type="dxa"/>
            <w:vAlign w:val="center"/>
          </w:tcPr>
          <w:p w14:paraId="4D47950C">
            <w:pPr>
              <w:spacing w:line="440" w:lineRule="exact"/>
              <w:jc w:val="center"/>
              <w:rPr>
                <w:rFonts w:hint="eastAsia" w:ascii="仿宋" w:hAnsi="仿宋" w:eastAsia="仿宋" w:cs="仿宋"/>
                <w:color w:val="auto"/>
                <w:highlight w:val="none"/>
              </w:rPr>
            </w:pPr>
          </w:p>
        </w:tc>
        <w:tc>
          <w:tcPr>
            <w:tcW w:w="2267" w:type="dxa"/>
            <w:vAlign w:val="center"/>
          </w:tcPr>
          <w:p w14:paraId="31DF2D8C">
            <w:pPr>
              <w:spacing w:line="440" w:lineRule="exact"/>
              <w:jc w:val="center"/>
              <w:rPr>
                <w:rFonts w:hint="eastAsia" w:ascii="仿宋" w:hAnsi="仿宋" w:eastAsia="仿宋" w:cs="仿宋"/>
                <w:color w:val="auto"/>
                <w:highlight w:val="none"/>
              </w:rPr>
            </w:pPr>
          </w:p>
        </w:tc>
        <w:tc>
          <w:tcPr>
            <w:tcW w:w="2267" w:type="dxa"/>
            <w:vAlign w:val="center"/>
          </w:tcPr>
          <w:p w14:paraId="765BEB05">
            <w:pPr>
              <w:spacing w:line="440" w:lineRule="exact"/>
              <w:jc w:val="center"/>
              <w:rPr>
                <w:rFonts w:hint="eastAsia" w:ascii="仿宋" w:hAnsi="仿宋" w:eastAsia="仿宋" w:cs="仿宋"/>
                <w:color w:val="auto"/>
                <w:highlight w:val="none"/>
              </w:rPr>
            </w:pPr>
          </w:p>
        </w:tc>
        <w:tc>
          <w:tcPr>
            <w:tcW w:w="995" w:type="dxa"/>
            <w:vAlign w:val="center"/>
          </w:tcPr>
          <w:p w14:paraId="24FFE784">
            <w:pPr>
              <w:spacing w:line="440" w:lineRule="exact"/>
              <w:jc w:val="center"/>
              <w:rPr>
                <w:rFonts w:hint="eastAsia" w:ascii="仿宋" w:hAnsi="仿宋" w:eastAsia="仿宋" w:cs="仿宋"/>
                <w:color w:val="auto"/>
                <w:highlight w:val="none"/>
              </w:rPr>
            </w:pPr>
          </w:p>
        </w:tc>
      </w:tr>
      <w:tr w14:paraId="5B28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6E8CA09D">
            <w:pPr>
              <w:spacing w:line="440" w:lineRule="exact"/>
              <w:jc w:val="center"/>
              <w:rPr>
                <w:rFonts w:hint="eastAsia" w:ascii="仿宋" w:hAnsi="仿宋" w:eastAsia="仿宋" w:cs="仿宋"/>
                <w:color w:val="auto"/>
                <w:highlight w:val="none"/>
              </w:rPr>
            </w:pPr>
          </w:p>
        </w:tc>
        <w:tc>
          <w:tcPr>
            <w:tcW w:w="1725" w:type="dxa"/>
            <w:vAlign w:val="center"/>
          </w:tcPr>
          <w:p w14:paraId="723FD911">
            <w:pPr>
              <w:spacing w:line="440" w:lineRule="exact"/>
              <w:jc w:val="center"/>
              <w:rPr>
                <w:rFonts w:hint="eastAsia" w:ascii="仿宋" w:hAnsi="仿宋" w:eastAsia="仿宋" w:cs="仿宋"/>
                <w:color w:val="auto"/>
                <w:highlight w:val="none"/>
              </w:rPr>
            </w:pPr>
          </w:p>
        </w:tc>
        <w:tc>
          <w:tcPr>
            <w:tcW w:w="2267" w:type="dxa"/>
            <w:vAlign w:val="center"/>
          </w:tcPr>
          <w:p w14:paraId="00EED355">
            <w:pPr>
              <w:spacing w:line="440" w:lineRule="exact"/>
              <w:jc w:val="center"/>
              <w:rPr>
                <w:rFonts w:hint="eastAsia" w:ascii="仿宋" w:hAnsi="仿宋" w:eastAsia="仿宋" w:cs="仿宋"/>
                <w:color w:val="auto"/>
                <w:highlight w:val="none"/>
              </w:rPr>
            </w:pPr>
          </w:p>
        </w:tc>
        <w:tc>
          <w:tcPr>
            <w:tcW w:w="2267" w:type="dxa"/>
            <w:vAlign w:val="center"/>
          </w:tcPr>
          <w:p w14:paraId="1399462B">
            <w:pPr>
              <w:spacing w:line="440" w:lineRule="exact"/>
              <w:jc w:val="center"/>
              <w:rPr>
                <w:rFonts w:hint="eastAsia" w:ascii="仿宋" w:hAnsi="仿宋" w:eastAsia="仿宋" w:cs="仿宋"/>
                <w:color w:val="auto"/>
                <w:highlight w:val="none"/>
              </w:rPr>
            </w:pPr>
          </w:p>
        </w:tc>
        <w:tc>
          <w:tcPr>
            <w:tcW w:w="995" w:type="dxa"/>
            <w:vAlign w:val="center"/>
          </w:tcPr>
          <w:p w14:paraId="3D7FBCA0">
            <w:pPr>
              <w:spacing w:line="440" w:lineRule="exact"/>
              <w:jc w:val="center"/>
              <w:rPr>
                <w:rFonts w:hint="eastAsia" w:ascii="仿宋" w:hAnsi="仿宋" w:eastAsia="仿宋" w:cs="仿宋"/>
                <w:color w:val="auto"/>
                <w:highlight w:val="none"/>
              </w:rPr>
            </w:pPr>
          </w:p>
        </w:tc>
      </w:tr>
      <w:tr w14:paraId="4C8D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48C1491B">
            <w:pPr>
              <w:spacing w:line="440" w:lineRule="exact"/>
              <w:jc w:val="center"/>
              <w:rPr>
                <w:rFonts w:hint="eastAsia" w:ascii="仿宋" w:hAnsi="仿宋" w:eastAsia="仿宋" w:cs="仿宋"/>
                <w:color w:val="auto"/>
                <w:highlight w:val="none"/>
              </w:rPr>
            </w:pPr>
          </w:p>
        </w:tc>
        <w:tc>
          <w:tcPr>
            <w:tcW w:w="1725" w:type="dxa"/>
            <w:vAlign w:val="center"/>
          </w:tcPr>
          <w:p w14:paraId="248B3A72">
            <w:pPr>
              <w:spacing w:line="440" w:lineRule="exact"/>
              <w:jc w:val="center"/>
              <w:rPr>
                <w:rFonts w:hint="eastAsia" w:ascii="仿宋" w:hAnsi="仿宋" w:eastAsia="仿宋" w:cs="仿宋"/>
                <w:color w:val="auto"/>
                <w:highlight w:val="none"/>
              </w:rPr>
            </w:pPr>
          </w:p>
        </w:tc>
        <w:tc>
          <w:tcPr>
            <w:tcW w:w="2267" w:type="dxa"/>
            <w:vAlign w:val="center"/>
          </w:tcPr>
          <w:p w14:paraId="42E57829">
            <w:pPr>
              <w:spacing w:line="440" w:lineRule="exact"/>
              <w:jc w:val="center"/>
              <w:rPr>
                <w:rFonts w:hint="eastAsia" w:ascii="仿宋" w:hAnsi="仿宋" w:eastAsia="仿宋" w:cs="仿宋"/>
                <w:color w:val="auto"/>
                <w:highlight w:val="none"/>
              </w:rPr>
            </w:pPr>
          </w:p>
        </w:tc>
        <w:tc>
          <w:tcPr>
            <w:tcW w:w="2267" w:type="dxa"/>
            <w:vAlign w:val="center"/>
          </w:tcPr>
          <w:p w14:paraId="21F5EB63">
            <w:pPr>
              <w:spacing w:line="440" w:lineRule="exact"/>
              <w:jc w:val="center"/>
              <w:rPr>
                <w:rFonts w:hint="eastAsia" w:ascii="仿宋" w:hAnsi="仿宋" w:eastAsia="仿宋" w:cs="仿宋"/>
                <w:color w:val="auto"/>
                <w:highlight w:val="none"/>
              </w:rPr>
            </w:pPr>
          </w:p>
        </w:tc>
        <w:tc>
          <w:tcPr>
            <w:tcW w:w="995" w:type="dxa"/>
            <w:vAlign w:val="center"/>
          </w:tcPr>
          <w:p w14:paraId="21FAF752">
            <w:pPr>
              <w:spacing w:line="440" w:lineRule="exact"/>
              <w:jc w:val="center"/>
              <w:rPr>
                <w:rFonts w:hint="eastAsia" w:ascii="仿宋" w:hAnsi="仿宋" w:eastAsia="仿宋" w:cs="仿宋"/>
                <w:color w:val="auto"/>
                <w:highlight w:val="none"/>
              </w:rPr>
            </w:pPr>
          </w:p>
        </w:tc>
      </w:tr>
      <w:tr w14:paraId="00F6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vAlign w:val="center"/>
          </w:tcPr>
          <w:p w14:paraId="3CA5C35D">
            <w:pPr>
              <w:spacing w:line="440" w:lineRule="exact"/>
              <w:jc w:val="center"/>
              <w:rPr>
                <w:rFonts w:hint="eastAsia" w:ascii="仿宋" w:hAnsi="仿宋" w:eastAsia="仿宋" w:cs="仿宋"/>
                <w:color w:val="auto"/>
                <w:highlight w:val="none"/>
              </w:rPr>
            </w:pPr>
          </w:p>
        </w:tc>
        <w:tc>
          <w:tcPr>
            <w:tcW w:w="1725" w:type="dxa"/>
            <w:vAlign w:val="center"/>
          </w:tcPr>
          <w:p w14:paraId="29787DA0">
            <w:pPr>
              <w:spacing w:line="440" w:lineRule="exact"/>
              <w:jc w:val="center"/>
              <w:rPr>
                <w:rFonts w:hint="eastAsia" w:ascii="仿宋" w:hAnsi="仿宋" w:eastAsia="仿宋" w:cs="仿宋"/>
                <w:color w:val="auto"/>
                <w:highlight w:val="none"/>
              </w:rPr>
            </w:pPr>
          </w:p>
        </w:tc>
        <w:tc>
          <w:tcPr>
            <w:tcW w:w="2267" w:type="dxa"/>
            <w:vAlign w:val="center"/>
          </w:tcPr>
          <w:p w14:paraId="2C658E90">
            <w:pPr>
              <w:spacing w:line="440" w:lineRule="exact"/>
              <w:jc w:val="center"/>
              <w:rPr>
                <w:rFonts w:hint="eastAsia" w:ascii="仿宋" w:hAnsi="仿宋" w:eastAsia="仿宋" w:cs="仿宋"/>
                <w:color w:val="auto"/>
                <w:highlight w:val="none"/>
              </w:rPr>
            </w:pPr>
          </w:p>
        </w:tc>
        <w:tc>
          <w:tcPr>
            <w:tcW w:w="2267" w:type="dxa"/>
            <w:vAlign w:val="center"/>
          </w:tcPr>
          <w:p w14:paraId="0C312654">
            <w:pPr>
              <w:spacing w:line="440" w:lineRule="exact"/>
              <w:jc w:val="center"/>
              <w:rPr>
                <w:rFonts w:hint="eastAsia" w:ascii="仿宋" w:hAnsi="仿宋" w:eastAsia="仿宋" w:cs="仿宋"/>
                <w:color w:val="auto"/>
                <w:highlight w:val="none"/>
              </w:rPr>
            </w:pPr>
          </w:p>
        </w:tc>
        <w:tc>
          <w:tcPr>
            <w:tcW w:w="995" w:type="dxa"/>
            <w:vAlign w:val="center"/>
          </w:tcPr>
          <w:p w14:paraId="3C399E55">
            <w:pPr>
              <w:spacing w:line="440" w:lineRule="exact"/>
              <w:jc w:val="center"/>
              <w:rPr>
                <w:rFonts w:hint="eastAsia" w:ascii="仿宋" w:hAnsi="仿宋" w:eastAsia="仿宋" w:cs="仿宋"/>
                <w:color w:val="auto"/>
                <w:highlight w:val="none"/>
              </w:rPr>
            </w:pPr>
          </w:p>
        </w:tc>
      </w:tr>
    </w:tbl>
    <w:p w14:paraId="2D0784A6">
      <w:pPr>
        <w:pStyle w:val="11"/>
        <w:tabs>
          <w:tab w:val="left" w:pos="5580"/>
        </w:tabs>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18"/>
          <w:highlight w:val="none"/>
        </w:rPr>
        <w:t>投标人须在本表中对招标文件技术条款（即：第四章 服务需求）是否偏离逐项列明，此表中若无任何文字说明，内容为空白的</w:t>
      </w:r>
      <w:r>
        <w:rPr>
          <w:rFonts w:hint="eastAsia" w:ascii="仿宋" w:hAnsi="仿宋" w:eastAsia="仿宋" w:cs="仿宋"/>
          <w:b/>
          <w:color w:val="auto"/>
          <w:sz w:val="22"/>
          <w:szCs w:val="18"/>
          <w:highlight w:val="none"/>
        </w:rPr>
        <w:t>应答无效</w:t>
      </w:r>
      <w:r>
        <w:rPr>
          <w:rFonts w:hint="eastAsia" w:ascii="仿宋" w:hAnsi="仿宋" w:eastAsia="仿宋" w:cs="仿宋"/>
          <w:color w:val="auto"/>
          <w:sz w:val="22"/>
          <w:szCs w:val="18"/>
          <w:highlight w:val="none"/>
        </w:rPr>
        <w:t>。</w:t>
      </w:r>
    </w:p>
    <w:p w14:paraId="17D8FA4C">
      <w:pPr>
        <w:pStyle w:val="11"/>
        <w:tabs>
          <w:tab w:val="left" w:pos="5580"/>
        </w:tabs>
        <w:spacing w:line="360" w:lineRule="auto"/>
        <w:ind w:firstLine="3300" w:firstLineChars="1500"/>
        <w:rPr>
          <w:rFonts w:hint="eastAsia" w:ascii="仿宋" w:hAnsi="仿宋" w:eastAsia="仿宋" w:cs="仿宋"/>
          <w:color w:val="auto"/>
          <w:sz w:val="22"/>
          <w:szCs w:val="22"/>
          <w:highlight w:val="none"/>
        </w:rPr>
      </w:pPr>
    </w:p>
    <w:p w14:paraId="10C735F7">
      <w:pPr>
        <w:pStyle w:val="11"/>
        <w:tabs>
          <w:tab w:val="left" w:pos="5580"/>
        </w:tabs>
        <w:spacing w:line="360" w:lineRule="auto"/>
        <w:ind w:firstLine="3300" w:firstLineChars="15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r>
        <w:rPr>
          <w:rFonts w:hint="eastAsia" w:ascii="仿宋" w:hAnsi="仿宋" w:eastAsia="仿宋" w:cs="仿宋"/>
          <w:color w:val="auto"/>
          <w:sz w:val="22"/>
          <w:szCs w:val="22"/>
          <w:highlight w:val="none"/>
          <w:u w:val="single"/>
        </w:rPr>
        <w:t xml:space="preserve">                     </w:t>
      </w:r>
    </w:p>
    <w:p w14:paraId="1D9B59B5">
      <w:pPr>
        <w:pStyle w:val="11"/>
        <w:tabs>
          <w:tab w:val="left" w:pos="6390"/>
        </w:tabs>
        <w:spacing w:line="360" w:lineRule="auto"/>
        <w:ind w:firstLine="3300" w:firstLineChars="1500"/>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投标人法定代表人或其授权代表签字:</w:t>
      </w:r>
      <w:r>
        <w:rPr>
          <w:rFonts w:hint="eastAsia" w:ascii="仿宋" w:hAnsi="仿宋" w:eastAsia="仿宋" w:cs="仿宋"/>
          <w:color w:val="auto"/>
          <w:sz w:val="22"/>
          <w:szCs w:val="22"/>
          <w:highlight w:val="none"/>
          <w:u w:val="single"/>
        </w:rPr>
        <w:tab/>
      </w:r>
      <w:r>
        <w:rPr>
          <w:rFonts w:hint="eastAsia" w:ascii="仿宋" w:hAnsi="仿宋" w:eastAsia="仿宋" w:cs="仿宋"/>
          <w:color w:val="auto"/>
          <w:sz w:val="22"/>
          <w:szCs w:val="22"/>
          <w:highlight w:val="none"/>
          <w:u w:val="single"/>
        </w:rPr>
        <w:t xml:space="preserve">    </w:t>
      </w:r>
    </w:p>
    <w:p w14:paraId="15229679">
      <w:pPr>
        <w:pStyle w:val="2"/>
        <w:spacing w:line="360" w:lineRule="auto"/>
        <w:ind w:firstLine="3300" w:firstLineChars="1500"/>
        <w:jc w:val="both"/>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p>
    <w:p w14:paraId="0113D77E">
      <w:pPr>
        <w:pStyle w:val="2"/>
        <w:spacing w:line="360" w:lineRule="auto"/>
        <w:ind w:firstLine="3300" w:firstLineChars="1500"/>
        <w:jc w:val="both"/>
        <w:rPr>
          <w:rFonts w:hint="eastAsia" w:ascii="仿宋" w:hAnsi="仿宋" w:eastAsia="仿宋" w:cs="仿宋"/>
          <w:color w:val="auto"/>
          <w:sz w:val="22"/>
          <w:szCs w:val="22"/>
          <w:highlight w:val="none"/>
          <w:u w:val="single"/>
        </w:rPr>
      </w:pPr>
    </w:p>
    <w:p w14:paraId="65BCF177">
      <w:pPr>
        <w:pStyle w:val="2"/>
        <w:spacing w:line="360" w:lineRule="auto"/>
        <w:ind w:firstLine="3600" w:firstLineChars="1500"/>
        <w:jc w:val="both"/>
        <w:rPr>
          <w:rFonts w:hint="eastAsia" w:ascii="仿宋" w:hAnsi="仿宋" w:eastAsia="仿宋" w:cs="仿宋"/>
          <w:color w:val="auto"/>
          <w:sz w:val="24"/>
          <w:szCs w:val="24"/>
          <w:highlight w:val="none"/>
          <w:u w:val="single"/>
        </w:rPr>
      </w:pPr>
    </w:p>
    <w:p w14:paraId="2C29B4F4">
      <w:pPr>
        <w:autoSpaceDE/>
        <w:autoSpaceDN/>
        <w:adjustRightInd/>
        <w:snapToGrid/>
        <w:outlineLvl w:val="9"/>
        <w:rPr>
          <w:rFonts w:hint="eastAsia"/>
          <w:color w:val="auto"/>
          <w:highlight w:val="none"/>
        </w:rPr>
      </w:pPr>
      <w:r>
        <w:rPr>
          <w:rFonts w:hint="eastAsia"/>
          <w:color w:val="auto"/>
          <w:highlight w:val="none"/>
        </w:rPr>
        <w:br w:type="page"/>
      </w:r>
    </w:p>
    <w:p w14:paraId="294E9DD8">
      <w:pPr>
        <w:pStyle w:val="2"/>
        <w:jc w:val="both"/>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附件12：投标人应提供的其他文件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85CE31-7484-4145-8F4E-66FD96E84B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4075527-5607-4246-A883-D04A1369B6A9}"/>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embedRegular r:id="rId3" w:fontKey="{AB8249C9-F5D7-48E1-978B-76D0941DA8CD}"/>
  </w:font>
  <w:font w:name="仿宋">
    <w:panose1 w:val="02010609060101010101"/>
    <w:charset w:val="86"/>
    <w:family w:val="modern"/>
    <w:pitch w:val="default"/>
    <w:sig w:usb0="800002BF" w:usb1="38CF7CFA" w:usb2="00000016" w:usb3="00000000" w:csb0="00040001" w:csb1="00000000"/>
    <w:embedRegular r:id="rId4" w:fontKey="{CA8EEA21-897D-43DC-8E46-C41C17B63775}"/>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5" w:fontKey="{A2D92429-5E2E-4D63-95A4-CD50B944F45F}"/>
  </w:font>
  <w:font w:name="楷体">
    <w:panose1 w:val="02010609060101010101"/>
    <w:charset w:val="86"/>
    <w:family w:val="modern"/>
    <w:pitch w:val="default"/>
    <w:sig w:usb0="800002BF" w:usb1="38CF7CFA" w:usb2="00000016" w:usb3="00000000" w:csb0="00040001" w:csb1="00000000"/>
    <w:embedRegular r:id="rId6" w:fontKey="{B0D89933-AEF4-4494-B6AB-F459C413137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78A4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B9F4">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1D651">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3DA7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00000001"/>
    <w:multiLevelType w:val="singleLevel"/>
    <w:tmpl w:val="00000001"/>
    <w:lvl w:ilvl="0" w:tentative="0">
      <w:start w:val="1"/>
      <w:numFmt w:val="chineseCounting"/>
      <w:suff w:val="space"/>
      <w:lvlText w:val="第%1章"/>
      <w:lvlJc w:val="left"/>
      <w:rPr>
        <w:rFonts w:hint="eastAsia"/>
      </w:rPr>
    </w:lvl>
  </w:abstractNum>
  <w:abstractNum w:abstractNumId="2">
    <w:nsid w:val="00000003"/>
    <w:multiLevelType w:val="singleLevel"/>
    <w:tmpl w:val="00000003"/>
    <w:lvl w:ilvl="0" w:tentative="0">
      <w:start w:val="1"/>
      <w:numFmt w:val="chineseCounting"/>
      <w:suff w:val="nothing"/>
      <w:lvlText w:val="（%1）"/>
      <w:lvlJc w:val="left"/>
      <w:pPr>
        <w:ind w:left="0" w:firstLine="420"/>
      </w:pPr>
      <w:rPr>
        <w:rFonts w:hint="eastAsia"/>
      </w:rPr>
    </w:lvl>
  </w:abstractNum>
  <w:abstractNum w:abstractNumId="3">
    <w:nsid w:val="00000004"/>
    <w:multiLevelType w:val="singleLevel"/>
    <w:tmpl w:val="00000004"/>
    <w:lvl w:ilvl="0" w:tentative="0">
      <w:start w:val="1"/>
      <w:numFmt w:val="decimal"/>
      <w:lvlText w:val="%1."/>
      <w:lvlJc w:val="left"/>
      <w:pPr>
        <w:ind w:left="425" w:hanging="425"/>
      </w:pPr>
      <w:rPr>
        <w:rFonts w:hint="default"/>
      </w:rPr>
    </w:lvl>
  </w:abstractNum>
  <w:abstractNum w:abstractNumId="4">
    <w:nsid w:val="00000005"/>
    <w:multiLevelType w:val="singleLevel"/>
    <w:tmpl w:val="00000005"/>
    <w:lvl w:ilvl="0" w:tentative="0">
      <w:start w:val="1"/>
      <w:numFmt w:val="chineseCounting"/>
      <w:suff w:val="nothing"/>
      <w:lvlText w:val="（%1）"/>
      <w:lvlJc w:val="left"/>
      <w:pPr>
        <w:ind w:left="0" w:firstLine="420"/>
      </w:pPr>
      <w:rPr>
        <w:rFonts w:hint="eastAsia"/>
      </w:rPr>
    </w:lvl>
  </w:abstractNum>
  <w:abstractNum w:abstractNumId="5">
    <w:nsid w:val="00000006"/>
    <w:multiLevelType w:val="singleLevel"/>
    <w:tmpl w:val="00000006"/>
    <w:lvl w:ilvl="0" w:tentative="0">
      <w:start w:val="1"/>
      <w:numFmt w:val="decimal"/>
      <w:suff w:val="nothing"/>
      <w:lvlText w:val="%1．"/>
      <w:lvlJc w:val="left"/>
      <w:pPr>
        <w:ind w:left="0" w:firstLine="400"/>
      </w:pPr>
      <w:rPr>
        <w:rFonts w:hint="default"/>
      </w:rPr>
    </w:lvl>
  </w:abstractNum>
  <w:abstractNum w:abstractNumId="6">
    <w:nsid w:val="00000007"/>
    <w:multiLevelType w:val="singleLevel"/>
    <w:tmpl w:val="00000007"/>
    <w:lvl w:ilvl="0" w:tentative="0">
      <w:start w:val="1"/>
      <w:numFmt w:val="decimal"/>
      <w:suff w:val="space"/>
      <w:lvlText w:val="%1."/>
      <w:lvlJc w:val="left"/>
    </w:lvl>
  </w:abstractNum>
  <w:abstractNum w:abstractNumId="7">
    <w:nsid w:val="00000008"/>
    <w:multiLevelType w:val="singleLevel"/>
    <w:tmpl w:val="00000008"/>
    <w:lvl w:ilvl="0" w:tentative="0">
      <w:start w:val="1"/>
      <w:numFmt w:val="decimal"/>
      <w:lvlText w:val="%1."/>
      <w:lvlJc w:val="left"/>
      <w:pPr>
        <w:ind w:left="425" w:hanging="425"/>
      </w:pPr>
      <w:rPr>
        <w:rFonts w:hint="default"/>
      </w:rPr>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A"/>
    <w:multiLevelType w:val="singleLevel"/>
    <w:tmpl w:val="0000000A"/>
    <w:lvl w:ilvl="0" w:tentative="0">
      <w:start w:val="1"/>
      <w:numFmt w:val="decimal"/>
      <w:lvlText w:val="%1)"/>
      <w:lvlJc w:val="left"/>
      <w:pPr>
        <w:ind w:left="425" w:hanging="425"/>
      </w:pPr>
      <w:rPr>
        <w:rFonts w:hint="default"/>
      </w:rPr>
    </w:lvl>
  </w:abstractNum>
  <w:abstractNum w:abstractNumId="10">
    <w:nsid w:val="0000000B"/>
    <w:multiLevelType w:val="singleLevel"/>
    <w:tmpl w:val="0000000B"/>
    <w:lvl w:ilvl="0" w:tentative="0">
      <w:start w:val="1"/>
      <w:numFmt w:val="decimal"/>
      <w:suff w:val="space"/>
      <w:lvlText w:val="%1."/>
      <w:lvlJc w:val="left"/>
      <w:rPr>
        <w:rFonts w:hint="default"/>
        <w:b/>
        <w:bCs/>
      </w:rPr>
    </w:lvl>
  </w:abstractNum>
  <w:abstractNum w:abstractNumId="11">
    <w:nsid w:val="0000000C"/>
    <w:multiLevelType w:val="singleLevel"/>
    <w:tmpl w:val="0000000C"/>
    <w:lvl w:ilvl="0" w:tentative="0">
      <w:start w:val="1"/>
      <w:numFmt w:val="decimal"/>
      <w:lvlText w:val="%1."/>
      <w:lvlJc w:val="left"/>
      <w:pPr>
        <w:ind w:left="425" w:hanging="425"/>
      </w:pPr>
      <w:rPr>
        <w:rFonts w:hint="default"/>
      </w:rPr>
    </w:lvl>
  </w:abstractNum>
  <w:abstractNum w:abstractNumId="12">
    <w:nsid w:val="0000000D"/>
    <w:multiLevelType w:val="singleLevel"/>
    <w:tmpl w:val="0000000D"/>
    <w:lvl w:ilvl="0" w:tentative="0">
      <w:start w:val="1"/>
      <w:numFmt w:val="decimal"/>
      <w:lvlText w:val="(%1)"/>
      <w:lvlJc w:val="left"/>
      <w:pPr>
        <w:ind w:left="425" w:hanging="425"/>
      </w:pPr>
      <w:rPr>
        <w:rFonts w:hint="default"/>
      </w:rPr>
    </w:lvl>
  </w:abstractNum>
  <w:abstractNum w:abstractNumId="13">
    <w:nsid w:val="0000000E"/>
    <w:multiLevelType w:val="singleLevel"/>
    <w:tmpl w:val="0000000E"/>
    <w:lvl w:ilvl="0" w:tentative="0">
      <w:start w:val="1"/>
      <w:numFmt w:val="chineseCounting"/>
      <w:suff w:val="nothing"/>
      <w:lvlText w:val="%1、"/>
      <w:lvlJc w:val="left"/>
      <w:pPr>
        <w:ind w:left="0" w:firstLine="420"/>
      </w:pPr>
      <w:rPr>
        <w:rFonts w:hint="eastAsia"/>
      </w:rPr>
    </w:lvl>
  </w:abstractNum>
  <w:abstractNum w:abstractNumId="14">
    <w:nsid w:val="0000000F"/>
    <w:multiLevelType w:val="singleLevel"/>
    <w:tmpl w:val="0000000F"/>
    <w:lvl w:ilvl="0" w:tentative="0">
      <w:start w:val="1"/>
      <w:numFmt w:val="chineseCounting"/>
      <w:suff w:val="nothing"/>
      <w:lvlText w:val="%1、"/>
      <w:lvlJc w:val="left"/>
      <w:pPr>
        <w:ind w:left="0" w:firstLine="420"/>
      </w:pPr>
      <w:rPr>
        <w:rFonts w:hint="eastAsia"/>
      </w:rPr>
    </w:lvl>
  </w:abstractNum>
  <w:abstractNum w:abstractNumId="15">
    <w:nsid w:val="00000010"/>
    <w:multiLevelType w:val="multilevel"/>
    <w:tmpl w:val="00000010"/>
    <w:lvl w:ilvl="0" w:tentative="0">
      <w:start w:val="1"/>
      <w:numFmt w:val="none"/>
      <w:lvlText w:val="4.1"/>
      <w:lvlJc w:val="left"/>
      <w:pPr>
        <w:ind w:left="432" w:hanging="432"/>
      </w:pPr>
      <w:rPr>
        <w:rFonts w:hint="default" w:ascii="Times New Roman" w:hAnsi="Times New Roman"/>
        <w:b w:val="0"/>
        <w:i w:val="0"/>
        <w:sz w:val="24"/>
      </w:rPr>
    </w:lvl>
    <w:lvl w:ilvl="1" w:tentative="0">
      <w:start w:val="1"/>
      <w:numFmt w:val="decimal"/>
      <w:pStyle w:val="4"/>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6">
    <w:nsid w:val="00000011"/>
    <w:multiLevelType w:val="singleLevel"/>
    <w:tmpl w:val="00000011"/>
    <w:lvl w:ilvl="0" w:tentative="0">
      <w:start w:val="1"/>
      <w:numFmt w:val="decimal"/>
      <w:lvlText w:val="%1)"/>
      <w:lvlJc w:val="left"/>
      <w:pPr>
        <w:ind w:left="425" w:hanging="425"/>
      </w:pPr>
      <w:rPr>
        <w:rFonts w:hint="default"/>
      </w:rPr>
    </w:lvl>
  </w:abstractNum>
  <w:abstractNum w:abstractNumId="17">
    <w:nsid w:val="00000012"/>
    <w:multiLevelType w:val="singleLevel"/>
    <w:tmpl w:val="00000012"/>
    <w:lvl w:ilvl="0" w:tentative="0">
      <w:start w:val="1"/>
      <w:numFmt w:val="chineseCounting"/>
      <w:suff w:val="nothing"/>
      <w:lvlText w:val="%1、"/>
      <w:lvlJc w:val="left"/>
      <w:rPr>
        <w:rFonts w:hint="eastAsia"/>
      </w:rPr>
    </w:lvl>
  </w:abstractNum>
  <w:abstractNum w:abstractNumId="18">
    <w:nsid w:val="00000013"/>
    <w:multiLevelType w:val="singleLevel"/>
    <w:tmpl w:val="00000013"/>
    <w:lvl w:ilvl="0" w:tentative="0">
      <w:start w:val="1"/>
      <w:numFmt w:val="decimal"/>
      <w:lvlText w:val="%1."/>
      <w:lvlJc w:val="left"/>
      <w:pPr>
        <w:ind w:left="425" w:hanging="425"/>
      </w:pPr>
      <w:rPr>
        <w:rFonts w:hint="default"/>
      </w:rPr>
    </w:lvl>
  </w:abstractNum>
  <w:abstractNum w:abstractNumId="19">
    <w:nsid w:val="00000015"/>
    <w:multiLevelType w:val="singleLevel"/>
    <w:tmpl w:val="00000015"/>
    <w:lvl w:ilvl="0" w:tentative="0">
      <w:start w:val="1"/>
      <w:numFmt w:val="decimal"/>
      <w:lvlText w:val="%1."/>
      <w:lvlJc w:val="left"/>
      <w:pPr>
        <w:tabs>
          <w:tab w:val="left" w:pos="312"/>
        </w:tabs>
      </w:pPr>
    </w:lvl>
  </w:abstractNum>
  <w:abstractNum w:abstractNumId="20">
    <w:nsid w:val="00000016"/>
    <w:multiLevelType w:val="singleLevel"/>
    <w:tmpl w:val="00000016"/>
    <w:lvl w:ilvl="0" w:tentative="0">
      <w:start w:val="1"/>
      <w:numFmt w:val="decimal"/>
      <w:lvlText w:val="%1."/>
      <w:lvlJc w:val="left"/>
      <w:pPr>
        <w:ind w:left="425" w:hanging="425"/>
      </w:pPr>
      <w:rPr>
        <w:rFonts w:hint="default"/>
      </w:rPr>
    </w:lvl>
  </w:abstractNum>
  <w:abstractNum w:abstractNumId="21">
    <w:nsid w:val="00000017"/>
    <w:multiLevelType w:val="multilevel"/>
    <w:tmpl w:val="00000017"/>
    <w:lvl w:ilvl="0" w:tentative="0">
      <w:start w:val="1"/>
      <w:numFmt w:val="japaneseCounting"/>
      <w:lvlText w:val="（%1）"/>
      <w:lvlJc w:val="left"/>
      <w:pPr>
        <w:ind w:left="1011" w:hanging="828"/>
      </w:pPr>
      <w:rPr>
        <w:rFonts w:hint="default"/>
      </w:rPr>
    </w:lvl>
    <w:lvl w:ilvl="1" w:tentative="0">
      <w:start w:val="1"/>
      <w:numFmt w:val="lowerLetter"/>
      <w:lvlText w:val="%2)"/>
      <w:lvlJc w:val="left"/>
      <w:pPr>
        <w:ind w:left="1023" w:hanging="420"/>
      </w:pPr>
    </w:lvl>
    <w:lvl w:ilvl="2" w:tentative="0">
      <w:start w:val="1"/>
      <w:numFmt w:val="lowerRoman"/>
      <w:lvlText w:val="%3."/>
      <w:lvlJc w:val="right"/>
      <w:pPr>
        <w:ind w:left="1443" w:hanging="420"/>
      </w:pPr>
    </w:lvl>
    <w:lvl w:ilvl="3" w:tentative="0">
      <w:start w:val="1"/>
      <w:numFmt w:val="decimal"/>
      <w:lvlText w:val="%4."/>
      <w:lvlJc w:val="left"/>
      <w:pPr>
        <w:ind w:left="1863" w:hanging="420"/>
      </w:pPr>
    </w:lvl>
    <w:lvl w:ilvl="4" w:tentative="0">
      <w:start w:val="1"/>
      <w:numFmt w:val="lowerLetter"/>
      <w:lvlText w:val="%5)"/>
      <w:lvlJc w:val="left"/>
      <w:pPr>
        <w:ind w:left="2283" w:hanging="420"/>
      </w:pPr>
    </w:lvl>
    <w:lvl w:ilvl="5" w:tentative="0">
      <w:start w:val="1"/>
      <w:numFmt w:val="lowerRoman"/>
      <w:lvlText w:val="%6."/>
      <w:lvlJc w:val="right"/>
      <w:pPr>
        <w:ind w:left="2703" w:hanging="420"/>
      </w:pPr>
    </w:lvl>
    <w:lvl w:ilvl="6" w:tentative="0">
      <w:start w:val="1"/>
      <w:numFmt w:val="decimal"/>
      <w:lvlText w:val="%7."/>
      <w:lvlJc w:val="left"/>
      <w:pPr>
        <w:ind w:left="3123" w:hanging="420"/>
      </w:pPr>
    </w:lvl>
    <w:lvl w:ilvl="7" w:tentative="0">
      <w:start w:val="1"/>
      <w:numFmt w:val="lowerLetter"/>
      <w:lvlText w:val="%8)"/>
      <w:lvlJc w:val="left"/>
      <w:pPr>
        <w:ind w:left="3543" w:hanging="420"/>
      </w:pPr>
    </w:lvl>
    <w:lvl w:ilvl="8" w:tentative="0">
      <w:start w:val="1"/>
      <w:numFmt w:val="lowerRoman"/>
      <w:lvlText w:val="%9."/>
      <w:lvlJc w:val="right"/>
      <w:pPr>
        <w:ind w:left="3963" w:hanging="420"/>
      </w:pPr>
    </w:lvl>
  </w:abstractNum>
  <w:abstractNum w:abstractNumId="22">
    <w:nsid w:val="00000018"/>
    <w:multiLevelType w:val="singleLevel"/>
    <w:tmpl w:val="00000018"/>
    <w:lvl w:ilvl="0" w:tentative="0">
      <w:start w:val="1"/>
      <w:numFmt w:val="decimal"/>
      <w:lvlText w:val="(%1)"/>
      <w:lvlJc w:val="left"/>
      <w:pPr>
        <w:ind w:left="425" w:hanging="425"/>
      </w:pPr>
      <w:rPr>
        <w:rFonts w:hint="default"/>
      </w:rPr>
    </w:lvl>
  </w:abstractNum>
  <w:abstractNum w:abstractNumId="23">
    <w:nsid w:val="00000019"/>
    <w:multiLevelType w:val="singleLevel"/>
    <w:tmpl w:val="00000019"/>
    <w:lvl w:ilvl="0" w:tentative="0">
      <w:start w:val="1"/>
      <w:numFmt w:val="decimal"/>
      <w:suff w:val="space"/>
      <w:lvlText w:val="%1."/>
      <w:lvlJc w:val="left"/>
    </w:lvl>
  </w:abstractNum>
  <w:abstractNum w:abstractNumId="24">
    <w:nsid w:val="0000001A"/>
    <w:multiLevelType w:val="singleLevel"/>
    <w:tmpl w:val="0000001A"/>
    <w:lvl w:ilvl="0" w:tentative="0">
      <w:start w:val="1"/>
      <w:numFmt w:val="decimal"/>
      <w:lvlText w:val="%1."/>
      <w:lvlJc w:val="left"/>
      <w:pPr>
        <w:tabs>
          <w:tab w:val="left" w:pos="312"/>
        </w:tabs>
      </w:pPr>
    </w:lvl>
  </w:abstractNum>
  <w:abstractNum w:abstractNumId="25">
    <w:nsid w:val="0000001B"/>
    <w:multiLevelType w:val="singleLevel"/>
    <w:tmpl w:val="0000001B"/>
    <w:lvl w:ilvl="0" w:tentative="0">
      <w:start w:val="1"/>
      <w:numFmt w:val="chineseCounting"/>
      <w:suff w:val="nothing"/>
      <w:lvlText w:val="%1、"/>
      <w:lvlJc w:val="left"/>
      <w:pPr>
        <w:ind w:left="0" w:firstLine="420"/>
      </w:pPr>
      <w:rPr>
        <w:rFonts w:hint="eastAsia"/>
      </w:rPr>
    </w:lvl>
  </w:abstractNum>
  <w:abstractNum w:abstractNumId="26">
    <w:nsid w:val="0000001C"/>
    <w:multiLevelType w:val="singleLevel"/>
    <w:tmpl w:val="0000001C"/>
    <w:lvl w:ilvl="0" w:tentative="0">
      <w:start w:val="1"/>
      <w:numFmt w:val="decimal"/>
      <w:lvlText w:val="%1)"/>
      <w:lvlJc w:val="left"/>
      <w:pPr>
        <w:ind w:left="425" w:hanging="425"/>
      </w:pPr>
      <w:rPr>
        <w:rFonts w:hint="default" w:ascii="仿宋_GB2312" w:hAnsi="仿宋_GB2312" w:eastAsia="仿宋_GB2312" w:cs="仿宋_GB2312"/>
        <w:b w:val="0"/>
        <w:bCs w:val="0"/>
        <w:sz w:val="22"/>
        <w:szCs w:val="22"/>
      </w:rPr>
    </w:lvl>
  </w:abstractNum>
  <w:abstractNum w:abstractNumId="27">
    <w:nsid w:val="0000001D"/>
    <w:multiLevelType w:val="singleLevel"/>
    <w:tmpl w:val="0000001D"/>
    <w:lvl w:ilvl="0" w:tentative="0">
      <w:start w:val="2"/>
      <w:numFmt w:val="decimal"/>
      <w:suff w:val="nothing"/>
      <w:lvlText w:val="%1、"/>
      <w:lvlJc w:val="left"/>
    </w:lvl>
  </w:abstractNum>
  <w:num w:numId="1">
    <w:abstractNumId w:val="15"/>
  </w:num>
  <w:num w:numId="2">
    <w:abstractNumId w:val="1"/>
  </w:num>
  <w:num w:numId="3">
    <w:abstractNumId w:val="17"/>
  </w:num>
  <w:num w:numId="4">
    <w:abstractNumId w:val="24"/>
  </w:num>
  <w:num w:numId="5">
    <w:abstractNumId w:val="6"/>
  </w:num>
  <w:num w:numId="6">
    <w:abstractNumId w:val="9"/>
  </w:num>
  <w:num w:numId="7">
    <w:abstractNumId w:val="19"/>
  </w:num>
  <w:num w:numId="8">
    <w:abstractNumId w:val="5"/>
  </w:num>
  <w:num w:numId="9">
    <w:abstractNumId w:val="0"/>
  </w:num>
  <w:num w:numId="10">
    <w:abstractNumId w:val="16"/>
  </w:num>
  <w:num w:numId="11">
    <w:abstractNumId w:val="26"/>
  </w:num>
  <w:num w:numId="12">
    <w:abstractNumId w:val="20"/>
  </w:num>
  <w:num w:numId="13">
    <w:abstractNumId w:val="22"/>
  </w:num>
  <w:num w:numId="14">
    <w:abstractNumId w:val="8"/>
  </w:num>
  <w:num w:numId="15">
    <w:abstractNumId w:val="21"/>
  </w:num>
  <w:num w:numId="16">
    <w:abstractNumId w:val="25"/>
  </w:num>
  <w:num w:numId="17">
    <w:abstractNumId w:val="3"/>
  </w:num>
  <w:num w:numId="18">
    <w:abstractNumId w:val="13"/>
  </w:num>
  <w:num w:numId="19">
    <w:abstractNumId w:val="10"/>
  </w:num>
  <w:num w:numId="20">
    <w:abstractNumId w:val="23"/>
  </w:num>
  <w:num w:numId="21">
    <w:abstractNumId w:val="12"/>
  </w:num>
  <w:num w:numId="22">
    <w:abstractNumId w:val="27"/>
  </w:num>
  <w:num w:numId="23">
    <w:abstractNumId w:val="14"/>
  </w:num>
  <w:num w:numId="24">
    <w:abstractNumId w:val="4"/>
  </w:num>
  <w:num w:numId="25">
    <w:abstractNumId w:val="2"/>
  </w:num>
  <w:num w:numId="26">
    <w:abstractNumId w:val="11"/>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21645"/>
    <w:rsid w:val="06631006"/>
    <w:rsid w:val="161B2B0B"/>
    <w:rsid w:val="22C3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eastAsia="仿宋_GB2312" w:cs="宋体"/>
      <w:b/>
      <w:bCs/>
      <w:kern w:val="36"/>
      <w:sz w:val="28"/>
      <w:szCs w:val="48"/>
    </w:rPr>
  </w:style>
  <w:style w:type="paragraph" w:styleId="4">
    <w:name w:val="heading 2"/>
    <w:basedOn w:val="1"/>
    <w:next w:val="1"/>
    <w:qFormat/>
    <w:uiPriority w:val="0"/>
    <w:pPr>
      <w:keepNext/>
      <w:keepLines/>
      <w:numPr>
        <w:ilvl w:val="1"/>
        <w:numId w:val="1"/>
      </w:numPr>
      <w:spacing w:before="260" w:after="260" w:line="413" w:lineRule="auto"/>
      <w:outlineLvl w:val="1"/>
    </w:pPr>
    <w:rPr>
      <w:rFonts w:ascii="Arial" w:hAnsi="Arial" w:eastAsia="黑体"/>
      <w:b/>
      <w:sz w:val="32"/>
    </w:rPr>
  </w:style>
  <w:style w:type="paragraph" w:styleId="5">
    <w:name w:val="heading 3"/>
    <w:basedOn w:val="1"/>
    <w:next w:val="1"/>
    <w:link w:val="19"/>
    <w:qFormat/>
    <w:uiPriority w:val="0"/>
    <w:pPr>
      <w:keepNext/>
      <w:keepLines/>
      <w:spacing w:line="360" w:lineRule="auto"/>
      <w:jc w:val="left"/>
      <w:outlineLvl w:val="2"/>
    </w:pPr>
    <w:rPr>
      <w:rFonts w:eastAsia="仿宋"/>
      <w:b/>
      <w:bCs/>
      <w:sz w:val="24"/>
      <w:szCs w:val="32"/>
    </w:rPr>
  </w:style>
  <w:style w:type="paragraph" w:styleId="6">
    <w:name w:val="heading 4"/>
    <w:basedOn w:val="1"/>
    <w:next w:val="1"/>
    <w:qFormat/>
    <w:uiPriority w:val="0"/>
    <w:pPr>
      <w:keepNext/>
      <w:keepLines/>
      <w:spacing w:line="360" w:lineRule="auto"/>
      <w:jc w:val="left"/>
      <w:outlineLvl w:val="3"/>
    </w:pPr>
    <w:rPr>
      <w:rFonts w:ascii="Cambria" w:hAnsi="Cambria"/>
      <w:b/>
      <w:bCs/>
      <w:sz w:val="24"/>
      <w:szCs w:val="28"/>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autoSpaceDE w:val="0"/>
      <w:autoSpaceDN w:val="0"/>
      <w:adjustRightInd w:val="0"/>
      <w:snapToGrid w:val="0"/>
      <w:jc w:val="left"/>
    </w:pPr>
    <w:rPr>
      <w:rFonts w:ascii="宋体"/>
      <w:kern w:val="0"/>
      <w:sz w:val="18"/>
    </w:rPr>
  </w:style>
  <w:style w:type="paragraph" w:styleId="7">
    <w:name w:val="Normal Indent"/>
    <w:basedOn w:val="1"/>
    <w:qFormat/>
    <w:uiPriority w:val="0"/>
    <w:pPr>
      <w:autoSpaceDE w:val="0"/>
      <w:autoSpaceDN w:val="0"/>
      <w:adjustRightInd w:val="0"/>
      <w:ind w:firstLine="420"/>
      <w:jc w:val="left"/>
    </w:pPr>
    <w:rPr>
      <w:rFonts w:ascii="宋体"/>
      <w:kern w:val="0"/>
      <w:sz w:val="24"/>
    </w:rPr>
  </w:style>
  <w:style w:type="paragraph" w:styleId="8">
    <w:name w:val="annotation text"/>
    <w:basedOn w:val="1"/>
    <w:qFormat/>
    <w:uiPriority w:val="0"/>
    <w:pPr>
      <w:jc w:val="left"/>
    </w:pPr>
  </w:style>
  <w:style w:type="paragraph" w:styleId="9">
    <w:name w:val="Body Text Indent"/>
    <w:basedOn w:val="1"/>
    <w:next w:val="10"/>
    <w:qFormat/>
    <w:uiPriority w:val="0"/>
    <w:pPr>
      <w:spacing w:line="360" w:lineRule="auto"/>
      <w:ind w:left="598" w:leftChars="285"/>
    </w:pPr>
    <w:rPr>
      <w:rFonts w:hAnsi="宋体"/>
      <w:color w:val="000000"/>
      <w:sz w:val="24"/>
    </w:rPr>
  </w:style>
  <w:style w:type="paragraph" w:styleId="10">
    <w:name w:val="envelope return"/>
    <w:basedOn w:val="1"/>
    <w:qFormat/>
    <w:uiPriority w:val="99"/>
    <w:pPr>
      <w:snapToGrid w:val="0"/>
    </w:pPr>
    <w:rPr>
      <w:rFonts w:ascii="Arial" w:hAnsi="Arial"/>
    </w:rPr>
  </w:style>
  <w:style w:type="paragraph" w:styleId="11">
    <w:name w:val="Plain Text"/>
    <w:basedOn w:val="1"/>
    <w:qFormat/>
    <w:uiPriority w:val="0"/>
    <w:rPr>
      <w:rFonts w:ascii="宋体" w:hAnsi="Courier New"/>
    </w:rPr>
  </w:style>
  <w:style w:type="paragraph" w:styleId="12">
    <w:name w:val="Title"/>
    <w:qFormat/>
    <w:uiPriority w:val="0"/>
    <w:pPr>
      <w:spacing w:before="480" w:after="480" w:line="288" w:lineRule="auto"/>
    </w:pPr>
    <w:rPr>
      <w:rFonts w:ascii="Arial" w:hAnsi="Arial" w:eastAsia="等线" w:cs="Arial"/>
      <w:b/>
      <w:bCs/>
      <w:sz w:val="52"/>
      <w:szCs w:val="52"/>
      <w:lang w:val="en-US" w:eastAsia="zh-CN" w:bidi="ar-SA"/>
    </w:rPr>
  </w:style>
  <w:style w:type="paragraph" w:styleId="13">
    <w:name w:val="Body Text First Indent 2"/>
    <w:basedOn w:val="9"/>
    <w:qFormat/>
    <w:uiPriority w:val="0"/>
    <w:pPr>
      <w:spacing w:after="120" w:line="240" w:lineRule="auto"/>
      <w:ind w:left="420" w:leftChars="200" w:firstLine="420" w:firstLineChars="200"/>
    </w:pPr>
    <w:rPr>
      <w:rFonts w:hAnsi="Times New Roman"/>
      <w:color w:val="auto"/>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single"/>
    </w:rPr>
  </w:style>
  <w:style w:type="character" w:styleId="18">
    <w:name w:val="annotation reference"/>
    <w:basedOn w:val="16"/>
    <w:qFormat/>
    <w:uiPriority w:val="99"/>
    <w:rPr>
      <w:sz w:val="21"/>
      <w:szCs w:val="21"/>
    </w:rPr>
  </w:style>
  <w:style w:type="character" w:customStyle="1" w:styleId="19">
    <w:name w:val="标题 3 字符"/>
    <w:basedOn w:val="16"/>
    <w:link w:val="5"/>
    <w:qFormat/>
    <w:uiPriority w:val="0"/>
    <w:rPr>
      <w:rFonts w:ascii="Times New Roman" w:hAnsi="Times New Roman" w:eastAsia="仿宋" w:cs="Times New Roman"/>
      <w:b/>
      <w:bCs/>
      <w:kern w:val="2"/>
      <w:sz w:val="24"/>
      <w:szCs w:val="32"/>
    </w:rPr>
  </w:style>
  <w:style w:type="paragraph" w:customStyle="1" w:styleId="20">
    <w:name w:val="标书正文"/>
    <w:basedOn w:val="1"/>
    <w:qFormat/>
    <w:uiPriority w:val="0"/>
    <w:pPr>
      <w:spacing w:line="360" w:lineRule="auto"/>
      <w:ind w:firstLine="200" w:firstLineChars="200"/>
    </w:pPr>
    <w:rPr>
      <w:sz w:val="24"/>
    </w:rPr>
  </w:style>
  <w:style w:type="paragraph" w:customStyle="1" w:styleId="21">
    <w:name w:val="样式 首行缩进:  2 字符 Char Char"/>
    <w:basedOn w:val="1"/>
    <w:qFormat/>
    <w:uiPriority w:val="0"/>
    <w:pPr>
      <w:spacing w:line="360" w:lineRule="auto"/>
      <w:ind w:firstLine="480" w:firstLineChars="200"/>
      <w:jc w:val="left"/>
    </w:pPr>
    <w:rPr>
      <w:sz w:val="24"/>
    </w:rPr>
  </w:style>
  <w:style w:type="paragraph" w:styleId="22">
    <w:name w:val="List Paragraph"/>
    <w:basedOn w:val="1"/>
    <w:qFormat/>
    <w:uiPriority w:val="34"/>
    <w:pPr>
      <w:ind w:firstLine="420" w:firstLineChars="200"/>
    </w:pPr>
  </w:style>
  <w:style w:type="paragraph" w:customStyle="1" w:styleId="23">
    <w:name w:val="_Style 13"/>
    <w:qFormat/>
    <w:uiPriority w:val="0"/>
    <w:pPr>
      <w:spacing w:before="120" w:after="120" w:line="288" w:lineRule="auto"/>
    </w:pPr>
    <w:rPr>
      <w:rFonts w:ascii="Arial" w:hAnsi="Arial" w:eastAsia="等线" w:cs="Arial"/>
      <w:sz w:val="22"/>
      <w:szCs w:val="22"/>
      <w:lang w:val="en-US" w:eastAsia="zh-CN" w:bidi="ar-SA"/>
    </w:rPr>
  </w:style>
  <w:style w:type="paragraph" w:customStyle="1" w:styleId="24">
    <w:name w:val="Revision_df9954b7-8a2b-4021-b2be-375eba9d9dc7"/>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69</Pages>
  <Words>8455</Words>
  <Characters>8915</Characters>
  <Paragraphs>1595</Paragraphs>
  <TotalTime>2</TotalTime>
  <ScaleCrop>false</ScaleCrop>
  <LinksUpToDate>false</LinksUpToDate>
  <CharactersWithSpaces>9022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2024-11-12T01:43:00Z</dcterms:created>
  <dc:creator>FJL</dc:creator>
  <cp:lastModifiedBy>批注</cp:lastModifiedBy>
  <cp:lastPrinted>2024-11-25T00:54:00Z</cp:lastPrinted>
  <dcterms:modified xsi:type="dcterms:W3CDTF">2024-12-30T08:12:44Z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D700489DA7B04AE09D4993DA764A626C_13</vt:lpwstr>
  </property>
  <property fmtid="{D5CDD505-2E9C-101B-9397-08002B2CF9AE}" pid="4" name="KSOTemplateDocerSaveRecord">
    <vt:lpwstr>eyJoZGlkIjoiODViY2JkMjU3NGYzZTEwMzZmMGFkZWViYmNkYWU3NDIiLCJ1c2VySWQiOiI0MzEyOTEwMTIifQ==</vt:lpwstr>
  </property>
</Properties>
</file>