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insoku w:val="0"/>
        <w:overflowPunct w:val="0"/>
        <w:spacing w:before="6" w:beforeAutospacing="0" w:afterLines="0" w:afterAutospacing="0" w:line="240" w:lineRule="exact"/>
        <w:rPr>
          <w:sz w:val="24"/>
          <w:szCs w:val="24"/>
        </w:rPr>
      </w:pPr>
    </w:p>
    <w:p>
      <w:pPr>
        <w:pStyle w:val="7"/>
        <w:kinsoku w:val="0"/>
        <w:overflowPunct w:val="0"/>
        <w:spacing w:line="460" w:lineRule="exact"/>
        <w:ind w:right="92"/>
        <w:jc w:val="center"/>
        <w:rPr>
          <w:rFonts w:ascii="宋体" w:hAnsi="宋体" w:eastAsia="宋体"/>
          <w:sz w:val="36"/>
          <w:szCs w:val="24"/>
        </w:rPr>
      </w:pPr>
      <w:r>
        <w:rPr>
          <w:rFonts w:ascii="宋体" w:hAnsi="宋体"/>
          <w:sz w:val="36"/>
          <w:szCs w:val="24"/>
        </w:rPr>
        <w:t>货运代理合同</w:t>
      </w:r>
    </w:p>
    <w:p>
      <w:pPr>
        <w:pStyle w:val="7"/>
        <w:kinsoku w:val="0"/>
        <w:overflowPunct w:val="0"/>
        <w:spacing w:line="460" w:lineRule="exact"/>
        <w:ind w:right="92"/>
        <w:jc w:val="center"/>
        <w:rPr>
          <w:rFonts w:ascii="宋体" w:hAnsi="宋体" w:eastAsia="宋体"/>
          <w:sz w:val="36"/>
          <w:szCs w:val="24"/>
        </w:rPr>
      </w:pPr>
    </w:p>
    <w:p>
      <w:pPr>
        <w:pStyle w:val="8"/>
        <w:ind w:left="112"/>
      </w:pPr>
      <w:r>
        <w:t>甲方（货运代理人/安能）：</w:t>
      </w:r>
      <w:r>
        <w:rPr>
          <w:u w:val="single"/>
        </w:rPr>
        <w:t>长沙百顺供应链管理有限公司</w:t>
      </w:r>
    </w:p>
    <w:p>
      <w:pPr>
        <w:pStyle w:val="8"/>
        <w:ind w:left="112"/>
      </w:pPr>
      <w:r>
        <w:t>联系人：</w:t>
      </w:r>
      <w:r>
        <w:rPr>
          <w:u w:val="single"/>
        </w:rPr>
        <w:t>金伟</w:t>
      </w:r>
    </w:p>
    <w:p>
      <w:pPr>
        <w:pStyle w:val="8"/>
        <w:ind w:left="112"/>
      </w:pPr>
      <w:r>
        <w:t>电话：</w:t>
      </w:r>
      <w:r>
        <w:rPr>
          <w:u w:val="single"/>
        </w:rPr>
        <w:t xml:space="preserve">15873150751 </w:t>
      </w:r>
    </w:p>
    <w:p>
      <w:pPr>
        <w:pStyle w:val="8"/>
        <w:ind w:left="112"/>
      </w:pPr>
      <w:r>
        <w:t>地址：</w:t>
      </w:r>
      <w:r>
        <w:rPr>
          <w:u w:val="single"/>
        </w:rPr>
        <w:t xml:space="preserve">湖南省长沙市岳麓区西湖街道西子湖畔沃府国际公寓北栋20001、20002、20003、20004、20009房-717 </w:t>
      </w:r>
    </w:p>
    <w:p>
      <w:pPr>
        <w:pStyle w:val="8"/>
        <w:ind w:left="112"/>
      </w:pPr>
    </w:p>
    <w:p>
      <w:pPr>
        <w:pStyle w:val="8"/>
        <w:ind w:left="112"/>
        <w:rPr>
          <w:color w:val="FF0000"/>
        </w:rPr>
      </w:pPr>
      <w:r>
        <w:rPr>
          <w:color w:val="FF0000"/>
        </w:rPr>
        <w:t xml:space="preserve">乙方（托运人/客户）： </w:t>
      </w:r>
      <w:r>
        <w:rPr>
          <w:color w:val="FF0000"/>
          <w:u w:val="single"/>
        </w:rPr>
        <w:t xml:space="preserve"> </w:t>
      </w:r>
      <w:r>
        <w:rPr>
          <w:rFonts w:hint="eastAsia"/>
          <w:color w:val="FF0000"/>
          <w:u w:val="single"/>
        </w:rPr>
        <w:t>北京创联致信科技有限公司</w:t>
      </w:r>
      <w:r>
        <w:rPr>
          <w:color w:val="FF0000"/>
          <w:u w:val="single"/>
        </w:rPr>
        <w:t xml:space="preserve"> </w:t>
      </w:r>
      <w:r>
        <w:rPr>
          <w:color w:val="FF0000"/>
        </w:rPr>
        <w:t xml:space="preserve"> </w:t>
      </w:r>
    </w:p>
    <w:p>
      <w:pPr>
        <w:pStyle w:val="8"/>
        <w:ind w:left="112"/>
        <w:rPr>
          <w:color w:val="FF0000"/>
        </w:rPr>
      </w:pPr>
      <w:r>
        <w:rPr>
          <w:color w:val="FF0000"/>
        </w:rPr>
        <w:t xml:space="preserve">联系人： </w:t>
      </w:r>
      <w:r>
        <w:rPr>
          <w:color w:val="FF0000"/>
          <w:u w:val="single"/>
        </w:rPr>
        <w:t xml:space="preserve"> </w:t>
      </w:r>
      <w:r>
        <w:rPr>
          <w:rFonts w:hint="eastAsia"/>
          <w:color w:val="FF0000"/>
          <w:u w:val="single"/>
          <w:lang w:val="en-US" w:eastAsia="zh-CN"/>
        </w:rPr>
        <w:t>张元华</w:t>
      </w:r>
      <w:r>
        <w:rPr>
          <w:color w:val="FF0000"/>
          <w:u w:val="single"/>
        </w:rPr>
        <w:t xml:space="preserve"> </w:t>
      </w:r>
    </w:p>
    <w:p>
      <w:pPr>
        <w:pStyle w:val="8"/>
        <w:ind w:left="112"/>
        <w:rPr>
          <w:color w:val="FF0000"/>
        </w:rPr>
      </w:pPr>
      <w:r>
        <w:rPr>
          <w:color w:val="FF0000"/>
        </w:rPr>
        <w:t xml:space="preserve">电话： </w:t>
      </w:r>
      <w:r>
        <w:rPr>
          <w:color w:val="FF0000"/>
          <w:u w:val="single"/>
        </w:rPr>
        <w:t xml:space="preserve"> </w:t>
      </w:r>
      <w:r>
        <w:rPr>
          <w:rFonts w:hint="eastAsia"/>
          <w:color w:val="FF0000"/>
          <w:u w:val="single"/>
          <w:lang w:val="en-US" w:eastAsia="zh-CN"/>
        </w:rPr>
        <w:t>13142239353</w:t>
      </w:r>
      <w:r>
        <w:rPr>
          <w:color w:val="FF0000"/>
          <w:u w:val="single"/>
        </w:rPr>
        <w:t xml:space="preserve"> </w:t>
      </w:r>
    </w:p>
    <w:p>
      <w:pPr>
        <w:pStyle w:val="8"/>
        <w:ind w:left="112"/>
        <w:rPr>
          <w:color w:val="FF0000"/>
        </w:rPr>
      </w:pPr>
      <w:r>
        <w:rPr>
          <w:color w:val="FF0000"/>
        </w:rPr>
        <w:t xml:space="preserve">地址： </w:t>
      </w:r>
      <w:r>
        <w:rPr>
          <w:color w:val="FF0000"/>
          <w:u w:val="single"/>
        </w:rPr>
        <w:t xml:space="preserve"> </w:t>
      </w:r>
      <w:r>
        <w:rPr>
          <w:rFonts w:hint="eastAsia"/>
          <w:color w:val="FF0000"/>
          <w:u w:val="single"/>
        </w:rPr>
        <w:t>长沙市桐梓坡西路229号麓谷国际工业园A3栋五层西侧</w:t>
      </w:r>
      <w:r>
        <w:rPr>
          <w:color w:val="FF0000"/>
          <w:u w:val="single"/>
        </w:rPr>
        <w:t xml:space="preserve"> </w:t>
      </w:r>
      <w:r>
        <w:rPr>
          <w:color w:val="FF0000"/>
        </w:rPr>
        <w:t xml:space="preserve"> </w:t>
      </w:r>
    </w:p>
    <w:p>
      <w:pPr>
        <w:pStyle w:val="8"/>
        <w:ind w:left="112"/>
      </w:pPr>
    </w:p>
    <w:p>
      <w:pPr>
        <w:pStyle w:val="8"/>
        <w:ind w:left="112"/>
      </w:pPr>
      <w:r>
        <w:t>依据相关法律法规，甲乙双方本着自愿、平等、公平、诚实守信之原则，经充分协商，就乙方委托 甲方提供货物运输代理服务等事宜达成如下协议：</w:t>
      </w:r>
    </w:p>
    <w:p>
      <w:pPr>
        <w:pStyle w:val="8"/>
        <w:ind w:left="112"/>
      </w:pPr>
      <w:r>
        <w:t xml:space="preserve">    乙方要求甲方及其关联企业以及其雇佣人、代理人或承包人为本合同</w:t>
      </w:r>
      <w:r>
        <w:rPr>
          <w:rFonts w:hint="eastAsia"/>
          <w:color w:val="FF0000"/>
          <w:lang w:val="en-US" w:eastAsia="zh-CN"/>
        </w:rPr>
        <w:t>乙方的长沙库房（</w:t>
      </w:r>
      <w:r>
        <w:rPr>
          <w:rFonts w:hint="eastAsia"/>
          <w:color w:val="FF0000"/>
          <w:u w:val="single"/>
        </w:rPr>
        <w:t>长沙市桐梓坡西路229号麓谷国际工业园A3栋五层西侧</w:t>
      </w:r>
      <w:r>
        <w:rPr>
          <w:rFonts w:hint="eastAsia"/>
          <w:color w:val="FF0000"/>
          <w:lang w:val="en-US" w:eastAsia="zh-CN"/>
        </w:rPr>
        <w:t>）</w:t>
      </w:r>
      <w:r>
        <w:t>提供与本合同内容相同的服务，甲乙双方在本合同中的一切权利和义务同样适用于双方关联企业。乙方了解并同意乙方关联企业违反本</w:t>
      </w:r>
      <w:r>
        <w:rPr>
          <w:rFonts w:hint="eastAsia"/>
          <w:lang w:val="en-US" w:eastAsia="zh-CN"/>
        </w:rPr>
        <w:t>合</w:t>
      </w:r>
      <w:r>
        <w:t>同所产生的责任后果由乙方承担。一切与甲方关联企业相关的或由甲方关联企业引起的责任均由甲方企业直接负责。一切乙方关联企业产生的费用由乙方约定承担主体。</w:t>
      </w:r>
    </w:p>
    <w:p>
      <w:pPr>
        <w:pStyle w:val="8"/>
        <w:ind w:left="112"/>
      </w:pPr>
    </w:p>
    <w:p>
      <w:pPr>
        <w:pStyle w:val="8"/>
        <w:ind w:left="112"/>
      </w:pPr>
      <w:r>
        <w:t>第一条 服务内容</w:t>
      </w:r>
    </w:p>
    <w:p>
      <w:pPr>
        <w:pStyle w:val="8"/>
        <w:ind w:left="112"/>
      </w:pPr>
      <w:r>
        <w:t xml:space="preserve">    1.1 乙方委托甲方提供发往全国各地的货物运输代理服务，甲方依照乙方指定方式进行整车、零担货物运输代理。</w:t>
      </w:r>
    </w:p>
    <w:p>
      <w:pPr>
        <w:pStyle w:val="8"/>
        <w:ind w:left="112"/>
      </w:pPr>
      <w:r>
        <w:t xml:space="preserve">    1.2 甲方有权将乙方货物委托有运输资质的第三方承运，乙方在合同签订时，已明确知晓甲方的委托行为并对此委托表示认可。</w:t>
      </w:r>
    </w:p>
    <w:p>
      <w:pPr>
        <w:pStyle w:val="8"/>
        <w:ind w:left="112"/>
      </w:pPr>
    </w:p>
    <w:p>
      <w:pPr>
        <w:pStyle w:val="8"/>
        <w:ind w:left="112"/>
      </w:pPr>
      <w:r>
        <w:t>第二条 甲方的权利与义务</w:t>
      </w:r>
    </w:p>
    <w:p>
      <w:pPr>
        <w:pStyle w:val="8"/>
        <w:ind w:left="112"/>
      </w:pPr>
      <w:r>
        <w:t xml:space="preserve">    2.1 乙方委托甲方提供整车运输代理服务，如果乙方拒绝甲方对货物进行验视或不如实填写运单、不提供有关证件的，则甲方可以拒绝提供运输代理服务。</w:t>
      </w:r>
    </w:p>
    <w:p>
      <w:pPr>
        <w:pStyle w:val="8"/>
        <w:ind w:left="112"/>
      </w:pPr>
      <w:r>
        <w:t xml:space="preserve">    2.2 甲方在已经收寄的货物中发现有禁寄或限寄物品的，可以停止转发和投递，对其中依法需要没收或者销毁的物品，有权立即向有关部门报告，同时立即通知乙方，并配合有关部门处理。对已经收寄的不需要没收、销毁的禁寄或限寄物品，以及需依法查处的禁寄或限寄物品之外的物品，甲方应及时联系乙方妥善处理。</w:t>
      </w:r>
    </w:p>
    <w:p>
      <w:pPr>
        <w:pStyle w:val="8"/>
        <w:ind w:left="112"/>
      </w:pPr>
      <w:r>
        <w:t xml:space="preserve">    2.3 若因非甲方原因（包括但不限于非甲方责任的运输工具问题、自然灾害、政府行为、战争等不可抗力因素）造成航班、汽运等无法正常进行运输时，甲方应及时通知乙方。</w:t>
      </w:r>
    </w:p>
    <w:p>
      <w:pPr>
        <w:pStyle w:val="8"/>
        <w:ind w:left="112"/>
      </w:pPr>
      <w:r>
        <w:t xml:space="preserve">    2.4 甲方应对乙方出发货物的运行状况进行全程跟踪。</w:t>
      </w:r>
    </w:p>
    <w:p>
      <w:pPr>
        <w:pStyle w:val="8"/>
        <w:ind w:left="112"/>
      </w:pPr>
      <w:r>
        <w:t xml:space="preserve">    2.5 货物到达指定目的地后甲方应及时通知收件人提货，若因收发货人原因，没有及时提货。乙方应向甲方支付保管费，保管费具体收费标准由双方具体协商确定。</w:t>
      </w:r>
    </w:p>
    <w:p>
      <w:pPr>
        <w:pStyle w:val="8"/>
        <w:ind w:left="112"/>
      </w:pPr>
      <w:r>
        <w:t xml:space="preserve">    2.6 有以下情形之一的，甲方应以合理的方式将货物退还发件人，因此额外发生的费用由乙方支付：</w:t>
      </w:r>
    </w:p>
    <w:p>
      <w:pPr>
        <w:pStyle w:val="8"/>
        <w:ind w:left="112"/>
      </w:pPr>
      <w:r>
        <w:t xml:space="preserve">    2.6.1 收件人拒绝收件或支付服务费的；</w:t>
      </w:r>
    </w:p>
    <w:p>
      <w:pPr>
        <w:pStyle w:val="8"/>
        <w:ind w:left="112"/>
      </w:pPr>
      <w:r>
        <w:t xml:space="preserve">    2.6.2 无法合理确定或找到收货人。</w:t>
      </w:r>
    </w:p>
    <w:p>
      <w:pPr>
        <w:pStyle w:val="7"/>
        <w:kinsoku w:val="0"/>
        <w:overflowPunct w:val="0"/>
        <w:spacing w:before="4" w:beforeAutospacing="0" w:afterLines="0" w:afterAutospacing="0" w:line="240" w:lineRule="exact"/>
        <w:rPr>
          <w:rFonts w:ascii="宋体" w:hAnsi="宋体" w:eastAsia="宋体"/>
          <w:sz w:val="24"/>
          <w:szCs w:val="24"/>
        </w:rPr>
      </w:pPr>
    </w:p>
    <w:p>
      <w:pPr>
        <w:pStyle w:val="8"/>
        <w:ind w:left="112"/>
      </w:pPr>
      <w:r>
        <w:t xml:space="preserve">    2.7 在业务量高峰期间，包括但不限于法定节假日、“双十一”、“双十二”等电商平台促销期间，乙方须在发货前两周向甲方预告业务量情况，以便甲方及时安排运力资源的投入。甲方可在自身营运能力范围内调整在此期间承接乙方的发货量，对乙方在此期间委托运输代理的货物不做任何时效承诺，但甲方应当尽力降低对乙方委托运输货物的不利影响。</w:t>
      </w:r>
    </w:p>
    <w:p>
      <w:pPr>
        <w:pStyle w:val="8"/>
        <w:ind w:left="112"/>
      </w:pPr>
      <w:r>
        <w:t xml:space="preserve">    2.8 甲方在春节等法定节假日期间和“双十一”、“双十二”等业务高峰期间提供服务的，可以额外加收节假日派送服务费，具体的派送费标准按照甲方的规定办理。</w:t>
      </w:r>
    </w:p>
    <w:p>
      <w:pPr>
        <w:pStyle w:val="8"/>
        <w:ind w:left="112"/>
      </w:pPr>
    </w:p>
    <w:p>
      <w:pPr>
        <w:pStyle w:val="8"/>
        <w:ind w:left="112"/>
      </w:pPr>
      <w:r>
        <w:t>第三条 乙方的权利与义务</w:t>
      </w:r>
    </w:p>
    <w:p>
      <w:pPr>
        <w:pStyle w:val="8"/>
        <w:ind w:left="112"/>
      </w:pPr>
      <w:r>
        <w:t xml:space="preserve">    3.1  乙方指派</w:t>
      </w:r>
      <w:r>
        <w:rPr>
          <w:rFonts w:hint="eastAsia"/>
          <w:color w:val="FF0000"/>
          <w:lang w:val="en-US" w:eastAsia="zh-CN"/>
        </w:rPr>
        <w:t>张元华、刘怡君或魏国盛</w:t>
      </w:r>
      <w:r>
        <w:t>到甲方办理货物交接、验收、结算等各个环节的综合服务事宜以及合同履行过程中对相关文件之签字确认行为或其它履约行为。乙方员工为乙方托运物品或者接受物品的行为视为乙方行为，对乙方有法律约束力。</w:t>
      </w:r>
    </w:p>
    <w:p>
      <w:pPr>
        <w:pStyle w:val="8"/>
        <w:ind w:left="112"/>
      </w:pPr>
      <w:r>
        <w:t xml:space="preserve">    3.2  乙方应如实申报托运货物吨位、方数，甲方根据乙方货量建议合适车型。乙方未如实申报或 未采取甲方建议车型的，甲方一经发现有权拒绝对该趟货物提供运输代理服务，且不承担违约责任。对于未能被发现且因此造成的超重、超限导致甲方受到行政处罚或其他损失的，乙方应承担赔偿责任。若由非乙方原因造成上述损失，乙方不承担任何责任。</w:t>
      </w:r>
    </w:p>
    <w:p>
      <w:pPr>
        <w:pStyle w:val="8"/>
        <w:ind w:left="112"/>
      </w:pPr>
      <w:r>
        <w:t xml:space="preserve">    3.3  乙方委托甲方提供运输代理服务前，应当提前 24 小时通知，甲方接到乙方委托后安排运输车辆到乙方仓库地址或其他指定地点提领运输货物。</w:t>
      </w:r>
    </w:p>
    <w:p>
      <w:pPr>
        <w:pStyle w:val="8"/>
        <w:ind w:left="112"/>
      </w:pPr>
      <w:r>
        <w:t xml:space="preserve">    3.4  整车货物在起运前和运抵目的地后的装车和卸车义务均由乙方、收货人或其雇员、代理人负 责，费用由乙方或收货人承担，甲方不承担该项义务，不提供任何装卸设备，同时也不收取该项费用。乙方、收货人或其雇员、代理人应尽到充分谨慎的装卸车义务，乙方、收货人或其雇员、代理人在装卸货过程中发生的一切事故及相应的法律责任均由乙方或收货人承担， 与甲方无关。</w:t>
      </w:r>
    </w:p>
    <w:p>
      <w:pPr>
        <w:pStyle w:val="8"/>
        <w:ind w:left="112"/>
      </w:pPr>
      <w:r>
        <w:t xml:space="preserve">    3.5  乙方应明确告知其员工有关本合同的各项内容，以促使其员工托运、接收乙方货物时，了解 本合同规定的权利义务和注意事项。</w:t>
      </w:r>
    </w:p>
    <w:p>
      <w:pPr>
        <w:pStyle w:val="8"/>
        <w:ind w:left="112"/>
      </w:pPr>
      <w:r>
        <w:t xml:space="preserve">    3.6  乙方须如实申报货物内容，并准确填写托运人、收件人的名称、地址和联系电话等资料。</w:t>
      </w:r>
    </w:p>
    <w:p>
      <w:pPr>
        <w:pStyle w:val="8"/>
        <w:ind w:left="112"/>
      </w:pPr>
      <w:r>
        <w:t xml:space="preserve">    3.7  乙方应出示或提供托运货物所必须的相关证件。对于国家规定限制运输的物品，乙方应在交 货前完成或者委托甲方完成有关法律、行政法规规定的手续，并附有效凭证, 否则一旦被发现，甲方有权拒绝提供运输代理服务，并且乙方应当承担因此给甲方增加的必要支出费用。</w:t>
      </w:r>
    </w:p>
    <w:p>
      <w:pPr>
        <w:pStyle w:val="8"/>
        <w:ind w:left="112"/>
      </w:pPr>
      <w:r>
        <w:t xml:space="preserve">    3.8  乙方发运大宗货物或有特殊要求的货物，在货物起运后甲方应及时将发运情况通知乙方。</w:t>
      </w:r>
    </w:p>
    <w:p>
      <w:pPr>
        <w:pStyle w:val="8"/>
        <w:ind w:left="112"/>
      </w:pPr>
      <w:r>
        <w:t xml:space="preserve">    3.9  乙方有权获知货物在途情况和预计到达时间。</w:t>
      </w:r>
    </w:p>
    <w:p>
      <w:pPr>
        <w:pStyle w:val="8"/>
        <w:ind w:left="112"/>
      </w:pPr>
      <w:r>
        <w:t xml:space="preserve">    3.10  货物的包装应当使用环保材料，避免过度包装，乙方负责包装的货物必须按国家标准、行业有关标准、进行包装，使其适合运输；没有国家标准、行业包装标准，应当根据保证托寄物派送安全的原则进行包装，使其适合运输。甲方不得擅自改动乙方包装,但为货物安全而采取的必要强化补救等措施的除外。</w:t>
      </w:r>
    </w:p>
    <w:p>
      <w:pPr>
        <w:pStyle w:val="8"/>
        <w:ind w:left="112"/>
      </w:pPr>
      <w:r>
        <w:t xml:space="preserve">    3.11  如果甲方负责包装货物或协助乙方进行发货前的打包、装箱等工作的，乙方应支付相应费用。</w:t>
      </w:r>
    </w:p>
    <w:p>
      <w:pPr>
        <w:pStyle w:val="8"/>
        <w:ind w:left="112"/>
      </w:pPr>
      <w:r>
        <w:t xml:space="preserve">    3.12  在货物送达收货人之前，乙方有权随时要求中止运输代理、改变货物到达地点和收货人、 返还货物等，但应支付因此产生的的货运代理费和其它费用。</w:t>
      </w:r>
    </w:p>
    <w:p>
      <w:pPr>
        <w:pStyle w:val="8"/>
        <w:ind w:left="112"/>
      </w:pPr>
      <w:r>
        <w:t xml:space="preserve">    3.13  乙方应保证托寄物不会造成收件人或其他第三方人身或财产的损害，也没有侵犯任何第三方的知识产权。</w:t>
      </w:r>
    </w:p>
    <w:p>
      <w:pPr>
        <w:pStyle w:val="8"/>
        <w:ind w:left="112"/>
      </w:pPr>
      <w:r>
        <w:t xml:space="preserve">    3.14  因乙方托寄物质量缺陷或包装破损，致使其他托寄物品、运输工具、机械设备被污染腐蚀、损坏，造成人身伤亡的，乙方应承担全部赔偿责任。若由非乙方原因造成上述后果， 乙方不承担任何责任。</w:t>
      </w:r>
    </w:p>
    <w:p>
      <w:pPr>
        <w:pStyle w:val="8"/>
        <w:ind w:left="112"/>
      </w:pPr>
    </w:p>
    <w:p>
      <w:pPr>
        <w:pStyle w:val="8"/>
        <w:kinsoku w:val="0"/>
        <w:overflowPunct w:val="0"/>
        <w:ind w:left="112"/>
        <w:rPr>
          <w:rFonts w:ascii="宋体" w:hAnsi="宋体" w:eastAsia="宋体"/>
          <w:sz w:val="24"/>
          <w:szCs w:val="24"/>
        </w:rPr>
      </w:pPr>
      <w:r>
        <w:rPr>
          <w:rFonts w:ascii="宋体" w:hAnsi="宋体"/>
          <w:sz w:val="24"/>
          <w:szCs w:val="24"/>
        </w:rPr>
        <w:t>第四条</w:t>
      </w:r>
      <w:r>
        <w:rPr>
          <w:rFonts w:ascii="宋体" w:hAnsi="宋体"/>
          <w:spacing w:val="-60"/>
          <w:sz w:val="24"/>
          <w:szCs w:val="24"/>
        </w:rPr>
        <w:t xml:space="preserve"> </w:t>
      </w:r>
      <w:r>
        <w:rPr>
          <w:rFonts w:ascii="宋体" w:hAnsi="宋体"/>
          <w:sz w:val="24"/>
          <w:szCs w:val="24"/>
        </w:rPr>
        <w:t>费用与结算</w:t>
      </w:r>
    </w:p>
    <w:p>
      <w:pPr>
        <w:pStyle w:val="7"/>
        <w:kinsoku w:val="0"/>
        <w:overflowPunct w:val="0"/>
        <w:spacing w:before="9" w:beforeAutospacing="0" w:afterLines="0" w:afterAutospacing="0" w:line="220" w:lineRule="exact"/>
        <w:rPr>
          <w:rFonts w:ascii="宋体" w:hAnsi="宋体" w:eastAsia="宋体"/>
          <w:sz w:val="24"/>
          <w:szCs w:val="24"/>
        </w:rPr>
      </w:pPr>
    </w:p>
    <w:p>
      <w:pPr>
        <w:pStyle w:val="8"/>
        <w:ind w:left="112"/>
      </w:pPr>
      <w:r>
        <w:t xml:space="preserve">    4.1 价格条款</w:t>
      </w:r>
    </w:p>
    <w:p>
      <w:pPr>
        <w:pStyle w:val="8"/>
        <w:ind w:left="112"/>
        <w:rPr>
          <w:rFonts w:hint="eastAsia" w:eastAsia="宋体"/>
          <w:color w:val="FF0000"/>
          <w:lang w:eastAsia="zh-CN"/>
        </w:rPr>
      </w:pPr>
      <w:r>
        <w:t xml:space="preserve">    4.1.1 甲乙双方基于当前市场柴油平均价格确定货运代理费价格，以国家相关部门发布价格为准。在合同履行过程中，若油价涨幅，甲方有权提出对价格的修改，具体价格修改以双</w:t>
      </w:r>
      <w:r>
        <w:rPr>
          <w:color w:val="auto"/>
        </w:rPr>
        <w:t>方协商确认为准。具体价格见附件1</w:t>
      </w:r>
      <w:r>
        <w:rPr>
          <w:rFonts w:hint="eastAsia"/>
          <w:color w:val="auto"/>
          <w:lang w:eastAsia="zh-CN"/>
        </w:rPr>
        <w:t>。</w:t>
      </w:r>
    </w:p>
    <w:p>
      <w:pPr>
        <w:pStyle w:val="8"/>
        <w:ind w:left="112"/>
      </w:pPr>
      <w:r>
        <w:t xml:space="preserve">    4.1.2 甲方到达指定装卸地点时，乙方有义务通知并督促其收货人或其雇员、代理人在 6 小时内完成装卸任务。</w:t>
      </w:r>
    </w:p>
    <w:p>
      <w:pPr>
        <w:pStyle w:val="8"/>
        <w:ind w:left="112"/>
      </w:pPr>
      <w:r>
        <w:t xml:space="preserve">    4.1.3 在乙方提出订单后 2 小时内，乙方有权收回订单；超出 2 小时后撤回订单的，若车辆已出发，甲方有权要求乙方支付空驶费，具体标准如下： 9.6 米（含）及以下的车 8 元/公里，最低收费为 350 元；9.6 米以上及 17.5 米以下的车 12 元/公里，最低收费 500 元；17.5 米（含）以上 14 元/公里，最低收费600 元。</w:t>
      </w:r>
    </w:p>
    <w:p>
      <w:pPr>
        <w:pStyle w:val="8"/>
        <w:ind w:left="112"/>
      </w:pPr>
      <w:r>
        <w:t xml:space="preserve">    注：里程为接单时车辆位置至撤单时车辆位置的行驶距离，里程数以车辆 GPS 定位数据为准。</w:t>
      </w:r>
    </w:p>
    <w:p>
      <w:pPr>
        <w:pStyle w:val="8"/>
        <w:ind w:left="112"/>
      </w:pPr>
      <w:r>
        <w:t xml:space="preserve">    4.1.4 本合同适用的价格不包含政府规费、紧急附加费等其它费用。</w:t>
      </w:r>
    </w:p>
    <w:p>
      <w:pPr>
        <w:pStyle w:val="8"/>
        <w:ind w:left="112"/>
      </w:pPr>
      <w:r>
        <w:t xml:space="preserve">    4.2  结算方式</w:t>
      </w:r>
    </w:p>
    <w:p>
      <w:pPr>
        <w:pStyle w:val="8"/>
        <w:ind w:left="112"/>
      </w:pPr>
      <w:r>
        <w:t xml:space="preserve">    4.2.1  甲方为乙方提供全国性货物运输代理服务，如乙方关联企业或发货联系人在甲方及关联企业服务区域产生货运代理费等相关费用，甲乙双方同意按照如下方式结算（任选其一）：√☐A、独立结算：即由双方关联企业分别设置结算账户，由甲方关联企业分别为乙方关联企业提供 6%的税点专用发票，并按各自实际发生的交易进行独立的费用结算。 ☐B、统一结算：即由甲方为乙方 设置统一的结算账户，由甲方关联企业分别为乙方关联企业提供 6%的税点专用发票，乙方关联企业或 发货联系人委托甲方及其关联企业提供托运服务时，均在运单上填写乙方该关联企业或发货联系人的客户编码，相关费用由乙方统一银行汇款结算。</w:t>
      </w:r>
    </w:p>
    <w:p>
      <w:pPr>
        <w:pStyle w:val="8"/>
        <w:ind w:left="112"/>
      </w:pPr>
      <w:r>
        <w:t xml:space="preserve">    4.2.2  结算周期为一个自然月，当月发生的货运代理费于下月初对账，乙方须在对账当月的 25 日前支付所有款项。由甲方向乙方提供 6%税点专用发票，专用发票抬头与合同乙方名称保持一致。</w:t>
      </w:r>
    </w:p>
    <w:p>
      <w:pPr>
        <w:pStyle w:val="8"/>
        <w:ind w:left="112"/>
      </w:pPr>
      <w:r>
        <w:t xml:space="preserve">    4.2.3  每个结算周期结束后，甲方可通过电子邮件、纸质等对账形式按本合同约定的电子邮箱或邮寄地址向乙方提供上个周期的结算账单供乙方审核，乙方如对结算账单有异议，应自甲方送达结算账单之日起 5 个工作日内通知甲方，逾期不提出异议的视为认同。如乙方在约定期限内提出异议，双方应在乙方提出异议之日起 2 个工作日内共同完 成对相关费用的核对和确认。</w:t>
      </w:r>
    </w:p>
    <w:p>
      <w:pPr>
        <w:pStyle w:val="8"/>
        <w:ind w:left="112"/>
      </w:pPr>
      <w:r>
        <w:t xml:space="preserve">    4.2.4  在双方合作期间内，若乙方电子邮箱或者其他联系方式、地址发生变动的，需在下一次对账开始前 15 个工作日以书面形式告知甲方。由于乙方未及时通知导致的结 算清单未送达、确认逾期等问题，甲方不承担任何责任。</w:t>
      </w:r>
    </w:p>
    <w:p>
      <w:pPr>
        <w:pStyle w:val="8"/>
        <w:ind w:left="112"/>
      </w:pPr>
      <w:r>
        <w:t xml:space="preserve">    4.2.5  如果在支付周期内，乙方对部分服务费用有异议，则乙方应先予支付双方核对无异议的费用，甲方收取乙方支付的部分费用并不免除乙方继续支付剩余费用的责任， 该部分费用最迟应于下一次服务费用支付周期内支付完毕。如乙方要求甲方在纸质结算 账单上盖章确认并反馈的，甲方应予以配合。</w:t>
      </w:r>
    </w:p>
    <w:p>
      <w:pPr>
        <w:pStyle w:val="8"/>
        <w:ind w:left="112"/>
      </w:pPr>
      <w:r>
        <w:t xml:space="preserve">    4.2.6 乙方或收货人应按时足额向甲方支付服务费用。付款方式可采用汇款或支票支付。采用银行汇款支付方式的，银行汇款到账日期不得超过三天，以银行电汇单日期为准。</w:t>
      </w:r>
    </w:p>
    <w:p>
      <w:pPr>
        <w:pStyle w:val="8"/>
        <w:ind w:left="112"/>
      </w:pPr>
    </w:p>
    <w:p>
      <w:pPr>
        <w:pStyle w:val="8"/>
        <w:ind w:left="112"/>
        <w:rPr>
          <w:color w:val="FF0000"/>
        </w:rPr>
      </w:pPr>
      <w:r>
        <w:rPr>
          <w:color w:val="FF0000"/>
        </w:rPr>
        <w:t xml:space="preserve">    甲方收款账户信息如下：</w:t>
      </w:r>
    </w:p>
    <w:p>
      <w:pPr>
        <w:pStyle w:val="8"/>
        <w:ind w:left="112"/>
        <w:rPr>
          <w:color w:val="FF0000"/>
        </w:rPr>
      </w:pPr>
      <w:r>
        <w:rPr>
          <w:color w:val="FF0000"/>
        </w:rPr>
        <w:t xml:space="preserve">    开户行： </w:t>
      </w:r>
      <w:r>
        <w:rPr>
          <w:color w:val="FF0000"/>
          <w:u w:val="single"/>
        </w:rPr>
        <w:t>中国工商银行股份有限公司长沙银通支行</w:t>
      </w:r>
      <w:r>
        <w:rPr>
          <w:color w:val="FF0000"/>
        </w:rPr>
        <w:t xml:space="preserve"> </w:t>
      </w:r>
    </w:p>
    <w:p>
      <w:pPr>
        <w:pStyle w:val="8"/>
        <w:ind w:left="112"/>
        <w:rPr>
          <w:color w:val="FF0000"/>
        </w:rPr>
      </w:pPr>
      <w:r>
        <w:rPr>
          <w:color w:val="FF0000"/>
        </w:rPr>
        <w:t xml:space="preserve">    账户名称：</w:t>
      </w:r>
      <w:r>
        <w:rPr>
          <w:color w:val="FF0000"/>
          <w:u w:val="single"/>
        </w:rPr>
        <w:t xml:space="preserve"> 长沙百顺供应链管理有限公司</w:t>
      </w:r>
    </w:p>
    <w:p>
      <w:pPr>
        <w:pStyle w:val="8"/>
        <w:ind w:left="112"/>
        <w:rPr>
          <w:color w:val="FF0000"/>
        </w:rPr>
      </w:pPr>
      <w:r>
        <w:rPr>
          <w:color w:val="FF0000"/>
        </w:rPr>
        <w:t xml:space="preserve">    账  号：</w:t>
      </w:r>
      <w:r>
        <w:rPr>
          <w:color w:val="FF0000"/>
          <w:u w:val="single"/>
        </w:rPr>
        <w:t>1901010109100062620</w:t>
      </w:r>
    </w:p>
    <w:p>
      <w:pPr>
        <w:pStyle w:val="8"/>
        <w:ind w:left="112"/>
      </w:pPr>
    </w:p>
    <w:p>
      <w:pPr>
        <w:pStyle w:val="8"/>
        <w:ind w:left="112"/>
        <w:rPr>
          <w:color w:val="FF0000"/>
        </w:rPr>
      </w:pPr>
      <w:r>
        <w:rPr>
          <w:color w:val="FF0000"/>
        </w:rPr>
        <w:t xml:space="preserve">    乙方付款账户信息如下：</w:t>
      </w:r>
    </w:p>
    <w:p>
      <w:pPr>
        <w:pStyle w:val="8"/>
        <w:ind w:left="112"/>
        <w:rPr>
          <w:color w:val="FF0000"/>
        </w:rPr>
      </w:pPr>
      <w:r>
        <w:rPr>
          <w:color w:val="FF0000"/>
        </w:rPr>
        <w:t xml:space="preserve">    开户行： </w:t>
      </w:r>
      <w:r>
        <w:rPr>
          <w:color w:val="FF0000"/>
          <w:u w:val="single"/>
        </w:rPr>
        <w:t xml:space="preserve"> </w:t>
      </w:r>
      <w:r>
        <w:rPr>
          <w:rFonts w:hint="eastAsia"/>
          <w:color w:val="FF0000"/>
          <w:u w:val="single"/>
        </w:rPr>
        <w:t>110946919610501</w:t>
      </w:r>
      <w:r>
        <w:rPr>
          <w:rFonts w:hint="eastAsia"/>
          <w:color w:val="FF0000"/>
          <w:u w:val="single"/>
          <w:lang w:val="en-US" w:eastAsia="zh-CN"/>
        </w:rPr>
        <w:t xml:space="preserve"> </w:t>
      </w:r>
      <w:r>
        <w:rPr>
          <w:color w:val="FF0000"/>
          <w:u w:val="single"/>
        </w:rPr>
        <w:t xml:space="preserve"> </w:t>
      </w:r>
    </w:p>
    <w:p>
      <w:pPr>
        <w:pStyle w:val="8"/>
        <w:ind w:left="112"/>
        <w:rPr>
          <w:color w:val="FF0000"/>
        </w:rPr>
      </w:pPr>
      <w:r>
        <w:rPr>
          <w:color w:val="FF0000"/>
        </w:rPr>
        <w:t xml:space="preserve">    账户名称：</w:t>
      </w:r>
      <w:r>
        <w:rPr>
          <w:color w:val="FF0000"/>
          <w:u w:val="single"/>
        </w:rPr>
        <w:t xml:space="preserve"> </w:t>
      </w:r>
      <w:r>
        <w:rPr>
          <w:color w:val="FF0000"/>
          <w:u w:val="single"/>
        </w:rPr>
        <w:t xml:space="preserve"> </w:t>
      </w:r>
      <w:r>
        <w:rPr>
          <w:rFonts w:hint="eastAsia"/>
          <w:color w:val="FF0000"/>
          <w:u w:val="single"/>
        </w:rPr>
        <w:t>北京创联致信科技有限公司</w:t>
      </w:r>
      <w:r>
        <w:rPr>
          <w:color w:val="FF0000"/>
          <w:u w:val="single"/>
        </w:rPr>
        <w:t xml:space="preserve">  </w:t>
      </w:r>
    </w:p>
    <w:p>
      <w:pPr>
        <w:pStyle w:val="8"/>
        <w:ind w:left="112"/>
        <w:rPr>
          <w:rFonts w:ascii="宋体" w:hAnsi="宋体" w:eastAsia="宋体"/>
          <w:color w:val="FF0000"/>
          <w:sz w:val="24"/>
          <w:szCs w:val="24"/>
        </w:rPr>
      </w:pPr>
      <w:r>
        <w:rPr>
          <w:rFonts w:ascii="宋体" w:hAnsi="宋体"/>
          <w:color w:val="FF0000"/>
          <w:sz w:val="24"/>
          <w:szCs w:val="24"/>
          <w:u w:val="none"/>
        </w:rPr>
        <w:t xml:space="preserve">    账  号：</w:t>
      </w:r>
      <w:r>
        <w:rPr>
          <w:rFonts w:ascii="宋体" w:hAnsi="宋体"/>
          <w:color w:val="FF0000"/>
          <w:sz w:val="24"/>
          <w:szCs w:val="24"/>
          <w:u w:val="single"/>
        </w:rPr>
        <w:t xml:space="preserve">  </w:t>
      </w:r>
      <w:r>
        <w:rPr>
          <w:rFonts w:hint="eastAsia" w:ascii="宋体" w:hAnsi="宋体"/>
          <w:color w:val="FF0000"/>
          <w:sz w:val="24"/>
          <w:szCs w:val="24"/>
          <w:u w:val="single"/>
        </w:rPr>
        <w:t>招商银行股份有限公司北京慧忠北里支行</w:t>
      </w:r>
      <w:r>
        <w:rPr>
          <w:rFonts w:ascii="宋体" w:hAnsi="宋体"/>
          <w:color w:val="FF0000"/>
          <w:sz w:val="24"/>
          <w:szCs w:val="24"/>
          <w:u w:val="single"/>
        </w:rPr>
        <w:t xml:space="preserve"> </w:t>
      </w:r>
    </w:p>
    <w:p>
      <w:pPr>
        <w:pStyle w:val="8"/>
        <w:kinsoku w:val="0"/>
        <w:overflowPunct w:val="0"/>
        <w:spacing w:before="29" w:beforeAutospacing="0" w:afterLines="0" w:afterAutospacing="0" w:line="252" w:lineRule="auto"/>
        <w:ind w:left="123" w:right="102" w:hanging="12"/>
        <w:jc w:val="both"/>
        <w:rPr>
          <w:rFonts w:ascii="宋体" w:hAnsi="宋体" w:eastAsia="宋体"/>
          <w:sz w:val="24"/>
          <w:szCs w:val="24"/>
        </w:rPr>
      </w:pPr>
      <w:r>
        <w:rPr>
          <w:rFonts w:ascii="宋体" w:hAnsi="宋体"/>
          <w:sz w:val="24"/>
          <w:szCs w:val="24"/>
        </w:rPr>
        <w:t xml:space="preserve">    注：此账户为甲方指定对公收款账户，请勿将款项支付至任何个人账户</w:t>
      </w:r>
      <w:r>
        <w:rPr>
          <w:rFonts w:eastAsia="宋体"/>
          <w:sz w:val="24"/>
          <w:szCs w:val="24"/>
        </w:rPr>
        <w:t>(</w:t>
      </w:r>
      <w:r>
        <w:rPr>
          <w:rFonts w:ascii="宋体" w:hAnsi="宋体"/>
          <w:sz w:val="24"/>
          <w:szCs w:val="24"/>
        </w:rPr>
        <w:t>包括但不限于个人银行账户、微信账户，支付宝账户等</w:t>
      </w:r>
      <w:r>
        <w:rPr>
          <w:rFonts w:eastAsia="宋体"/>
          <w:sz w:val="24"/>
          <w:szCs w:val="24"/>
        </w:rPr>
        <w:t>)</w:t>
      </w:r>
      <w:r>
        <w:rPr>
          <w:rFonts w:ascii="宋体" w:hAnsi="宋体"/>
          <w:sz w:val="24"/>
          <w:szCs w:val="24"/>
        </w:rPr>
        <w:t>。若双方合作期间甲方账户有所变动，以甲方书面通知的最新账户为准。如甲方收款账户信息变动但未及时通知乙方，由此导致的损失乙方概不负责。</w:t>
      </w:r>
    </w:p>
    <w:p>
      <w:pPr>
        <w:pStyle w:val="8"/>
        <w:kinsoku w:val="0"/>
        <w:overflowPunct w:val="0"/>
        <w:spacing w:before="29" w:beforeAutospacing="0" w:afterLines="0" w:afterAutospacing="0" w:line="252" w:lineRule="auto"/>
        <w:ind w:left="123" w:right="102" w:hanging="12"/>
        <w:jc w:val="both"/>
        <w:rPr>
          <w:rFonts w:ascii="宋体" w:hAnsi="宋体" w:eastAsia="宋体"/>
          <w:sz w:val="24"/>
          <w:szCs w:val="24"/>
        </w:rPr>
      </w:pPr>
      <w:r>
        <w:rPr>
          <w:rFonts w:ascii="宋体" w:hAnsi="宋体"/>
          <w:sz w:val="24"/>
          <w:szCs w:val="24"/>
        </w:rPr>
        <w:t xml:space="preserve">    </w:t>
      </w:r>
      <w:r>
        <w:rPr>
          <w:rFonts w:eastAsia="宋体"/>
          <w:sz w:val="24"/>
          <w:szCs w:val="24"/>
        </w:rPr>
        <w:t xml:space="preserve">4.2.7 </w:t>
      </w:r>
      <w:r>
        <w:rPr>
          <w:rFonts w:ascii="宋体" w:hAnsi="宋体"/>
          <w:sz w:val="24"/>
          <w:szCs w:val="24"/>
        </w:rPr>
        <w:t>如乙方逾期未付清费用的，甲方有权中止乙方的月结结算方式，同时甲方有权中止乙方的所有优惠，直至乙方付清所有费用；乙方未付清费用前仍要求甲方提供服务的，乙方需对后续产生的服务费按 现付现结的方式结算。</w:t>
      </w:r>
    </w:p>
    <w:p>
      <w:pPr>
        <w:pStyle w:val="8"/>
        <w:kinsoku w:val="0"/>
        <w:overflowPunct w:val="0"/>
        <w:spacing w:before="29" w:beforeAutospacing="0" w:afterLines="0" w:afterAutospacing="0" w:line="252" w:lineRule="auto"/>
        <w:ind w:left="123" w:right="102" w:hanging="12"/>
        <w:jc w:val="both"/>
        <w:rPr>
          <w:rFonts w:ascii="宋体" w:hAnsi="宋体" w:eastAsia="宋体"/>
          <w:sz w:val="24"/>
          <w:szCs w:val="24"/>
        </w:rPr>
      </w:pPr>
      <w:r>
        <w:rPr>
          <w:rFonts w:ascii="宋体" w:hAnsi="宋体"/>
          <w:sz w:val="24"/>
          <w:szCs w:val="24"/>
        </w:rPr>
        <w:t xml:space="preserve">    </w:t>
      </w:r>
      <w:r>
        <w:rPr>
          <w:rFonts w:eastAsia="宋体"/>
          <w:sz w:val="24"/>
          <w:szCs w:val="24"/>
        </w:rPr>
        <w:t xml:space="preserve">4.2.8 </w:t>
      </w:r>
      <w:r>
        <w:rPr>
          <w:rFonts w:ascii="宋体" w:hAnsi="宋体"/>
          <w:sz w:val="24"/>
          <w:szCs w:val="24"/>
        </w:rPr>
        <w:t xml:space="preserve">甲方由负责对账的关联企业开具专用发票。 </w:t>
      </w:r>
    </w:p>
    <w:p>
      <w:pPr>
        <w:pStyle w:val="8"/>
        <w:ind w:left="112"/>
      </w:pPr>
      <w:r>
        <w:t>第五条 违约责任与赔偿</w:t>
      </w:r>
    </w:p>
    <w:p>
      <w:pPr>
        <w:pStyle w:val="8"/>
        <w:ind w:left="112"/>
      </w:pPr>
      <w:r>
        <w:t xml:space="preserve">    5.1 保价规则 A、甲方建议乙方办理货物保价运输代理服务、声明货物价值；乙方应当遵循诚实信用的原则，按照托运货物的实际价值申报声明价值，且不得超过货物实际价值。B、甲方收取的保价费用以乙方托运货物的保价声明价值为准，货物保价费率按甲方国内货物保价费 率表的规定计算。</w:t>
      </w:r>
    </w:p>
    <w:p>
      <w:pPr>
        <w:pStyle w:val="8"/>
        <w:ind w:left="112"/>
      </w:pPr>
      <w:r>
        <w:t xml:space="preserve">    5.2 赔偿规则</w:t>
      </w:r>
    </w:p>
    <w:p>
      <w:pPr>
        <w:pStyle w:val="8"/>
        <w:ind w:left="112"/>
      </w:pPr>
      <w:r>
        <w:t xml:space="preserve">    A、 货物运输出现异常情形需要理赔时，乙方需提供委托运输货物的相关价值</w:t>
      </w:r>
      <w:r>
        <w:rPr>
          <w:color w:val="auto"/>
        </w:rPr>
        <w:t>证明（如发票、合 同、付款凭证等）如无法证明货物的真实价值，不足额保价部分或超额保价部分均无法获得赔偿。</w:t>
      </w:r>
    </w:p>
    <w:p>
      <w:pPr>
        <w:pStyle w:val="8"/>
        <w:ind w:left="112"/>
      </w:pPr>
      <w:r>
        <w:t xml:space="preserve">    B、 若乙方已选择保价：实际价值大于或等于声明价值时，托寄物全部毁损或者灭失，甲方按货物 保价声明价值予以赔偿；若托寄物部分毁损或内物短少，按声明价值和实际损失比例赔偿。</w:t>
      </w:r>
    </w:p>
    <w:p>
      <w:pPr>
        <w:pStyle w:val="8"/>
        <w:ind w:left="112"/>
      </w:pPr>
      <w:r>
        <w:t>实际价值小于声明价值时，托寄物全部或部分毁损或灭失，按照声明价值赔偿,托寄物部分毁损或内 物短少，则按照实际声明损失赔偿。</w:t>
      </w:r>
    </w:p>
    <w:p>
      <w:pPr>
        <w:pStyle w:val="8"/>
        <w:ind w:left="112"/>
      </w:pPr>
      <w:r>
        <w:t xml:space="preserve">    C、 若乙方未选择保价：鉴于甲方已经向乙方告知货物应该保价，乙方自身应尽到审慎义务，若非 因甲方主观故意造成托寄物损毁、灭失的，甲方按照货运代理费用的一倍赔偿乙方，如果乙方认为该赔 偿标准不足以弥补您乙方的损失，应根据托寄物的实际价值选择相同保额的保价服务。</w:t>
      </w:r>
    </w:p>
    <w:p>
      <w:pPr>
        <w:pStyle w:val="8"/>
        <w:ind w:left="112"/>
      </w:pPr>
      <w:r>
        <w:t xml:space="preserve">    D、 托寄物的残值由双方协商处理，如残值折归乙方，则甲方在核定赔偿金额时将扣减残值相当的 金额。</w:t>
      </w:r>
    </w:p>
    <w:p>
      <w:pPr>
        <w:pStyle w:val="8"/>
        <w:ind w:left="112"/>
      </w:pPr>
      <w:r>
        <w:t xml:space="preserve">    上述赔偿如系承运人责任的，由甲方协助乙方向运输公司追偿。</w:t>
      </w:r>
    </w:p>
    <w:p>
      <w:pPr>
        <w:pStyle w:val="8"/>
        <w:ind w:left="112"/>
      </w:pPr>
      <w:r>
        <w:t xml:space="preserve">    5.3 从货物收运时起到交付时止甲方承担安全、及时的货物运输代理服务责任，即，</w:t>
      </w:r>
      <w:r>
        <w:rPr>
          <w:color w:val="FF0000"/>
        </w:rPr>
        <w:t>自乙方装车完毕后</w:t>
      </w:r>
      <w:r>
        <w:t>，货损风险由乙方转移至甲方，甲方应对货物在运输代理期 间出现的所有风险予以承担责任；货物到达指定目的地且签署相关货物交接单后，风险自甲方转 移至乙方。</w:t>
      </w:r>
    </w:p>
    <w:p>
      <w:pPr>
        <w:pStyle w:val="8"/>
        <w:ind w:left="112"/>
      </w:pPr>
      <w:r>
        <w:t xml:space="preserve">    5.4 乙方办理货物保价后，如果甲方、乙方或第三方就托运货物购买了保险，因发生保险事故导 致托运货物被毁损灭失的，保险公司已经向乙方或第三方承担或许诺承担赔偿责任后，甲方在此 范围内不再承担赔偿责任。</w:t>
      </w:r>
    </w:p>
    <w:p>
      <w:pPr>
        <w:pStyle w:val="8"/>
        <w:ind w:left="112"/>
      </w:pPr>
      <w:r>
        <w:t xml:space="preserve">    5.5 乙方无正当理由不按约定期限支付服务费或其他费用的，每逾期一日，按应付款额 0.05%的 比例向甲方支付滞纳金。甲方无正当理由不按约定期限对约定货物进行运输的，每逾期一日，按 应付款额 0.05% 的比例向乙甲方支付滞纳金，并赔偿乙方的全部损失。</w:t>
      </w:r>
    </w:p>
    <w:p>
      <w:pPr>
        <w:pStyle w:val="8"/>
        <w:ind w:left="112"/>
      </w:pPr>
      <w:r>
        <w:rPr>
          <w:rFonts w:ascii="宋体" w:hAnsi="宋体"/>
          <w:sz w:val="24"/>
          <w:szCs w:val="24"/>
        </w:rPr>
        <w:t xml:space="preserve">    </w:t>
      </w:r>
      <w:r>
        <w:rPr>
          <w:rFonts w:eastAsia="宋体"/>
          <w:sz w:val="24"/>
          <w:szCs w:val="24"/>
        </w:rPr>
        <w:t>5.6</w:t>
      </w:r>
      <w:r>
        <w:rPr>
          <w:rFonts w:eastAsia="宋体"/>
          <w:sz w:val="24"/>
          <w:szCs w:val="24"/>
          <w:lang w:val="en-US" w:eastAsia="zh-CN"/>
        </w:rPr>
        <w:t xml:space="preserve"> </w:t>
      </w:r>
      <w:r>
        <w:rPr>
          <w:rFonts w:ascii="宋体" w:hAnsi="宋体"/>
          <w:sz w:val="24"/>
          <w:szCs w:val="24"/>
        </w:rPr>
        <w:t>因乙方在货物中夹带国家禁止运输、缺少相关手续的限制运输物品或危险品，被国家有关部 门查处的，或者由此造成其他公民，法人及其他组织损害的，由乙方依法承担赔偿责任；致使甲 方因此受到损害及遭受第三人索赔的，乙方应赔偿甲方损失，并积极采取有效措施以避免甲方受到牵连。</w:t>
      </w:r>
    </w:p>
    <w:p>
      <w:pPr>
        <w:pStyle w:val="8"/>
        <w:ind w:left="112"/>
        <w:rPr>
          <w:rFonts w:ascii="宋体" w:hAnsi="宋体" w:eastAsia="宋体"/>
          <w:sz w:val="24"/>
          <w:szCs w:val="24"/>
        </w:rPr>
      </w:pPr>
    </w:p>
    <w:p>
      <w:pPr>
        <w:pStyle w:val="8"/>
        <w:ind w:left="112"/>
      </w:pPr>
      <w:r>
        <w:t>第六条 免责事由</w:t>
      </w:r>
    </w:p>
    <w:p>
      <w:pPr>
        <w:pStyle w:val="8"/>
        <w:ind w:left="112"/>
      </w:pPr>
      <w:r>
        <w:t xml:space="preserve">    6.1 因下列原因造成托寄物延误、无法派送、丢失破损的，甲方不承担赔偿责任，否则，甲方应承担相 应的赔偿责任：</w:t>
      </w:r>
    </w:p>
    <w:p>
      <w:pPr>
        <w:pStyle w:val="8"/>
        <w:ind w:left="112"/>
      </w:pPr>
      <w:r>
        <w:t xml:space="preserve">    6.1.1 因不可抗力因素造成的：不可抗拒因素是指无法预测、无法控制或无法避免的客观因素或意 外事件，包括但不限于地震、泥石流、洪涝灾害、火灾等自然灾害；台风、暴雨雪、雾霾等恶劣天气；罢工、恐怖事件、法规政策的修 改、政府、司法机关的行为、决定或命令；抢劫、飞车抢夺等暴力犯罪。</w:t>
      </w:r>
    </w:p>
    <w:p>
      <w:pPr>
        <w:pStyle w:val="8"/>
        <w:ind w:left="112"/>
      </w:pPr>
      <w:r>
        <w:t xml:space="preserve">    6.1.2 因托寄物的自然性质、内在缺陷或合理损耗造成的。</w:t>
      </w:r>
    </w:p>
    <w:p>
      <w:pPr>
        <w:pStyle w:val="8"/>
        <w:ind w:left="112"/>
      </w:pPr>
      <w:r>
        <w:t xml:space="preserve">    6.1.3 因乙方、收货人的自身过错造成的。如乙方未履行如实申报告知的义务、违规托运货物的，收件 人迟延受领托运物等情形。</w:t>
      </w:r>
    </w:p>
    <w:p>
      <w:pPr>
        <w:pStyle w:val="8"/>
        <w:ind w:left="112"/>
      </w:pPr>
      <w:r>
        <w:t xml:space="preserve">    6.2  甲乙双方约定，甲方对下列事项不承担责任：</w:t>
      </w:r>
    </w:p>
    <w:p>
      <w:pPr>
        <w:pStyle w:val="8"/>
        <w:ind w:left="112"/>
      </w:pPr>
      <w:r>
        <w:t xml:space="preserve">    6.2.1  乙方自行包装，因包装或容器不良、从外部无法发现而造成的损失；</w:t>
      </w:r>
    </w:p>
    <w:p>
      <w:pPr>
        <w:pStyle w:val="8"/>
        <w:ind w:left="112"/>
      </w:pPr>
      <w:r>
        <w:t xml:space="preserve">    6.2.2  乙方自行包装，到达时外包装完好而内件短少或损坏；</w:t>
      </w:r>
    </w:p>
    <w:p>
      <w:pPr>
        <w:pStyle w:val="8"/>
        <w:ind w:left="112"/>
      </w:pPr>
      <w:r>
        <w:t xml:space="preserve">    6.2.3  乙方或收货人自行包装、装卸，承运方在货物运输途中未发生交通事故等易导 致货物损坏的承运过失，全国托运人或收货人包装容器不良，装载不良造成的损失；</w:t>
      </w:r>
    </w:p>
    <w:p>
      <w:pPr>
        <w:pStyle w:val="8"/>
        <w:ind w:left="112"/>
      </w:pPr>
      <w:r>
        <w:t xml:space="preserve">    6.2.4 在春节等法定节假日期间和“双十一”、“双十二”等电商平台促销期间，因为业务 量高涨，造成托寄物延迟接收和运输的；</w:t>
      </w:r>
    </w:p>
    <w:p>
      <w:pPr>
        <w:pStyle w:val="8"/>
        <w:ind w:left="112"/>
      </w:pPr>
      <w:r>
        <w:t xml:space="preserve">    6.2.5  其他因乙方过错造成的货物短少，损坏，污染等损失。</w:t>
      </w:r>
    </w:p>
    <w:p>
      <w:pPr>
        <w:pStyle w:val="8"/>
        <w:ind w:left="112"/>
      </w:pPr>
      <w:r>
        <w:t>第七条 保密条款</w:t>
      </w:r>
    </w:p>
    <w:p>
      <w:pPr>
        <w:pStyle w:val="8"/>
        <w:ind w:left="112"/>
      </w:pPr>
      <w:r>
        <w:t xml:space="preserve">    7.1   甲方对为履行本合同过程中获知的乙方商业秘密和其它资料负有保密的义务。甲方需采取有 效措施使上述资料免于被无关人员接触，包括要求参与本合同工作的雇员遵守本条之规定。</w:t>
      </w:r>
    </w:p>
    <w:p>
      <w:pPr>
        <w:pStyle w:val="8"/>
        <w:ind w:left="112"/>
      </w:pPr>
      <w:r>
        <w:t xml:space="preserve">    7.2   甲方给予乙方的各种优惠和其它商业信息，乙方应为甲方保密。 </w:t>
      </w:r>
    </w:p>
    <w:p>
      <w:pPr>
        <w:pStyle w:val="8"/>
        <w:ind w:left="112"/>
      </w:pPr>
    </w:p>
    <w:p>
      <w:pPr>
        <w:pStyle w:val="8"/>
        <w:ind w:left="112"/>
      </w:pPr>
      <w:r>
        <w:t>第八条 合同生效、变更、解除与终止</w:t>
      </w:r>
    </w:p>
    <w:p>
      <w:pPr>
        <w:pStyle w:val="8"/>
        <w:ind w:left="112"/>
      </w:pPr>
      <w:r>
        <w:t xml:space="preserve">    8.1  本合同自签章之日起生效，有效期为一年。合同到期后若还有正在履行的订单，应按本合同 约定继续履行至合同履行完毕。合同期满十五个工作日前,双方可协商续签事宜。</w:t>
      </w:r>
    </w:p>
    <w:p>
      <w:pPr>
        <w:pStyle w:val="8"/>
        <w:ind w:left="112"/>
      </w:pPr>
      <w:r>
        <w:t xml:space="preserve">    8.2  乙方有下列情形之一的，甲方有权解除本合同，届时乙方所有应付费用最迟应当在合作终止 次月全额支付给甲方：</w:t>
      </w:r>
    </w:p>
    <w:p>
      <w:pPr>
        <w:pStyle w:val="8"/>
        <w:ind w:left="112"/>
      </w:pPr>
      <w:r>
        <w:t xml:space="preserve">    8.2.1</w:t>
      </w:r>
      <w:r>
        <w:tab/>
      </w:r>
      <w:r>
        <w:t>乙方无故拖欠甲方全部或部分结算费用超过 15 日；</w:t>
      </w:r>
    </w:p>
    <w:p>
      <w:pPr>
        <w:pStyle w:val="8"/>
        <w:ind w:left="112"/>
      </w:pPr>
      <w:r>
        <w:t xml:space="preserve">    8.2.2</w:t>
      </w:r>
      <w:r>
        <w:tab/>
      </w:r>
      <w:r>
        <w:t>乙方在甲方处服务费用总额连续三个月未达到 1000 元/月；</w:t>
      </w:r>
    </w:p>
    <w:p>
      <w:pPr>
        <w:pStyle w:val="8"/>
        <w:ind w:left="112"/>
      </w:pPr>
      <w:r>
        <w:t xml:space="preserve">    8.2.3</w:t>
      </w:r>
      <w:r>
        <w:tab/>
      </w:r>
      <w:r>
        <w:t>乙方存在其他严重影响甲方经营的行为。</w:t>
      </w:r>
    </w:p>
    <w:p>
      <w:pPr>
        <w:pStyle w:val="8"/>
        <w:ind w:left="112"/>
      </w:pPr>
      <w:r>
        <w:t xml:space="preserve">    8.3  任何一方解除合同，都必须用书面形式于解除合同十五个工作日前通知对方。</w:t>
      </w:r>
    </w:p>
    <w:p>
      <w:pPr>
        <w:pStyle w:val="8"/>
        <w:ind w:left="112"/>
      </w:pPr>
      <w:r>
        <w:t xml:space="preserve">    8.4 任何一方违反本合同之条款约定从而影响本合同目的实现的，另一方有权立即通知对方继续 履行本合同，采取补救措施，或者进行赔偿。违约方不履行义务的，则守约方有权立即解除 合同并要求违约方承担因违约行为造成的所有损失。</w:t>
      </w:r>
    </w:p>
    <w:p>
      <w:pPr>
        <w:pStyle w:val="8"/>
        <w:ind w:left="112"/>
      </w:pPr>
      <w:r>
        <w:t xml:space="preserve">    8.5   本合同终止后，任何自然延伸的责任和义务继续有效。 </w:t>
      </w:r>
    </w:p>
    <w:p>
      <w:pPr>
        <w:pStyle w:val="8"/>
        <w:ind w:left="112"/>
      </w:pPr>
    </w:p>
    <w:p>
      <w:pPr>
        <w:pStyle w:val="8"/>
        <w:ind w:left="112"/>
      </w:pPr>
      <w:r>
        <w:t>第九条 争议解决</w:t>
      </w:r>
    </w:p>
    <w:p>
      <w:pPr>
        <w:pStyle w:val="8"/>
        <w:ind w:left="112"/>
      </w:pPr>
      <w:r>
        <w:t xml:space="preserve">    9.1  本合同项下发生之争议，双方当事人可协商或经调解解决；协商或调解不成，任何一方应向 原告注册地人民法院起诉。</w:t>
      </w:r>
    </w:p>
    <w:p>
      <w:pPr>
        <w:pStyle w:val="8"/>
        <w:ind w:left="112"/>
      </w:pPr>
      <w:r>
        <w:t xml:space="preserve">    9.2  甲乙双方就本合同中涉及各类通知、协议沟通等文件以及就合同发生纠纷后（包括诉讼、仲 裁阶段）相关文件和法律文书送达时的送达地址和联系方式均依据本合同约定的通讯地址为各方 有效通讯地址, 未写明通讯地址的，视为公司注册地址或身份证地址为通讯地址，如任何一方联 系方式或通讯地址有误或变更而导致另一方无法及时通知的，由此造成的损失由过错方负责。</w:t>
      </w:r>
    </w:p>
    <w:p>
      <w:pPr>
        <w:pStyle w:val="8"/>
        <w:ind w:left="112"/>
      </w:pPr>
    </w:p>
    <w:p>
      <w:pPr>
        <w:pStyle w:val="8"/>
        <w:ind w:left="112"/>
      </w:pPr>
      <w:r>
        <w:t xml:space="preserve">第十条 本合同一式两份，双方各执一份，具有同等法律效力；本合同未尽事宜由双方另行协商确定。 </w:t>
      </w:r>
    </w:p>
    <w:p>
      <w:pPr>
        <w:pStyle w:val="8"/>
        <w:ind w:left="112"/>
      </w:pPr>
    </w:p>
    <w:p>
      <w:pPr>
        <w:pStyle w:val="8"/>
        <w:kinsoku w:val="0"/>
        <w:overflowPunct w:val="0"/>
        <w:spacing w:before="53" w:beforeAutospacing="0" w:afterLines="0" w:afterAutospacing="0" w:line="374" w:lineRule="auto"/>
        <w:ind w:left="112"/>
        <w:rPr>
          <w:rFonts w:ascii="宋体" w:hAnsi="宋体" w:eastAsia="宋体"/>
          <w:sz w:val="24"/>
          <w:szCs w:val="24"/>
        </w:rPr>
      </w:pPr>
      <w:r>
        <w:rPr>
          <w:rFonts w:ascii="宋体" w:hAnsi="宋体"/>
          <w:sz w:val="24"/>
          <w:szCs w:val="24"/>
        </w:rPr>
        <w:t>第十一条</w:t>
      </w:r>
      <w:r>
        <w:rPr>
          <w:rFonts w:ascii="宋体" w:hAnsi="宋体"/>
          <w:spacing w:val="-60"/>
          <w:sz w:val="24"/>
          <w:szCs w:val="24"/>
        </w:rPr>
        <w:t xml:space="preserve"> </w:t>
      </w:r>
      <w:r>
        <w:rPr>
          <w:rFonts w:ascii="宋体" w:hAnsi="宋体"/>
          <w:sz w:val="24"/>
          <w:szCs w:val="24"/>
        </w:rPr>
        <w:t>附件</w:t>
      </w:r>
    </w:p>
    <w:p>
      <w:pPr>
        <w:pStyle w:val="8"/>
        <w:kinsoku w:val="0"/>
        <w:overflowPunct w:val="0"/>
        <w:spacing w:before="67" w:beforeAutospacing="0" w:afterLines="0" w:afterAutospacing="0" w:line="360" w:lineRule="auto"/>
        <w:ind w:left="112" w:right="200"/>
        <w:rPr>
          <w:rFonts w:ascii="宋体" w:hAnsi="宋体" w:eastAsia="宋体"/>
          <w:sz w:val="24"/>
          <w:szCs w:val="24"/>
        </w:rPr>
      </w:pPr>
      <w:r>
        <w:rPr>
          <w:rFonts w:ascii="宋体" w:hAnsi="宋体"/>
          <w:sz w:val="24"/>
          <w:szCs w:val="24"/>
        </w:rPr>
        <w:t xml:space="preserve">    以下文件是本合同的附件，与本合同具有同等法律效力：</w:t>
      </w:r>
    </w:p>
    <w:p>
      <w:pPr>
        <w:pStyle w:val="8"/>
        <w:kinsoku w:val="0"/>
        <w:overflowPunct w:val="0"/>
        <w:spacing w:before="67" w:beforeAutospacing="0" w:afterLines="0" w:afterAutospacing="0" w:line="360" w:lineRule="auto"/>
        <w:ind w:left="112" w:right="200"/>
        <w:rPr>
          <w:rFonts w:ascii="宋体" w:hAnsi="宋体" w:eastAsia="宋体"/>
          <w:sz w:val="24"/>
          <w:szCs w:val="24"/>
        </w:rPr>
      </w:pPr>
      <w:r>
        <w:rPr>
          <w:rFonts w:ascii="宋体" w:hAnsi="宋体"/>
          <w:sz w:val="24"/>
          <w:szCs w:val="24"/>
        </w:rPr>
        <w:t xml:space="preserve">    附件一《</w:t>
      </w:r>
      <w:r>
        <w:rPr>
          <w:rFonts w:hint="eastAsia"/>
          <w:sz w:val="24"/>
          <w:szCs w:val="24"/>
          <w:lang w:val="en-US" w:eastAsia="zh-CN"/>
        </w:rPr>
        <w:t>报价</w:t>
      </w:r>
      <w:r>
        <w:rPr>
          <w:rFonts w:ascii="宋体" w:hAnsi="宋体"/>
          <w:sz w:val="24"/>
          <w:szCs w:val="24"/>
          <w:lang w:val="en-US" w:eastAsia="zh-CN"/>
        </w:rPr>
        <w:t>表</w:t>
      </w:r>
      <w:r>
        <w:rPr>
          <w:rFonts w:ascii="宋体" w:hAnsi="宋体"/>
          <w:sz w:val="24"/>
          <w:szCs w:val="24"/>
        </w:rPr>
        <w:t xml:space="preserve">》 </w:t>
      </w:r>
    </w:p>
    <w:p>
      <w:pPr>
        <w:pStyle w:val="8"/>
        <w:kinsoku w:val="0"/>
        <w:overflowPunct w:val="0"/>
        <w:spacing w:before="67" w:beforeAutospacing="0" w:afterLines="0" w:afterAutospacing="0" w:line="360" w:lineRule="auto"/>
        <w:ind w:left="112" w:right="200"/>
      </w:pPr>
      <w:r>
        <w:rPr>
          <w:rFonts w:ascii="宋体" w:hAnsi="宋体"/>
          <w:sz w:val="24"/>
          <w:szCs w:val="24"/>
        </w:rPr>
        <w:t xml:space="preserve">    附件</w:t>
      </w:r>
      <w:r>
        <w:rPr>
          <w:rFonts w:ascii="宋体" w:hAnsi="宋体"/>
          <w:sz w:val="24"/>
          <w:szCs w:val="24"/>
          <w:lang w:val="en-US" w:eastAsia="zh-CN"/>
        </w:rPr>
        <w:t>二</w:t>
      </w:r>
      <w:r>
        <w:rPr>
          <w:rFonts w:ascii="宋体" w:hAnsi="宋体"/>
          <w:sz w:val="24"/>
          <w:szCs w:val="24"/>
        </w:rPr>
        <w:t>《关于禁止收运违禁品管理规定》</w:t>
      </w:r>
    </w:p>
    <w:p>
      <w:pPr>
        <w:pStyle w:val="8"/>
        <w:kinsoku w:val="0"/>
        <w:overflowPunct w:val="0"/>
        <w:spacing w:before="67" w:beforeAutospacing="0" w:afterLines="0" w:afterAutospacing="0" w:line="360" w:lineRule="auto"/>
        <w:ind w:left="112" w:right="200"/>
      </w:pPr>
      <w:r>
        <w:rPr>
          <w:sz w:val="24"/>
          <w:szCs w:val="24"/>
        </w:rPr>
        <w:t xml:space="preserve">    （以下部分为签署内容）</w:t>
      </w:r>
    </w:p>
    <w:p>
      <w:pPr>
        <w:pStyle w:val="8"/>
        <w:kinsoku w:val="0"/>
        <w:overflowPunct w:val="0"/>
        <w:spacing w:before="67" w:beforeAutospacing="0" w:afterLines="0" w:afterAutospacing="0" w:line="360" w:lineRule="auto"/>
        <w:ind w:left="112" w:right="200"/>
        <w:rPr>
          <w:sz w:val="24"/>
          <w:szCs w:val="24"/>
        </w:rPr>
      </w:pPr>
      <w:bookmarkStart w:id="0" w:name="_GoBack"/>
      <w:bookmarkEnd w:id="0"/>
    </w:p>
    <w:p>
      <w:pPr>
        <w:pStyle w:val="7"/>
        <w:kinsoku w:val="0"/>
        <w:overflowPunct w:val="0"/>
        <w:spacing w:before="20" w:beforeAutospacing="0" w:afterLines="0" w:afterAutospacing="0" w:line="160" w:lineRule="exact"/>
        <w:rPr>
          <w:sz w:val="16"/>
          <w:szCs w:val="24"/>
        </w:rPr>
      </w:pPr>
    </w:p>
    <w:tbl>
      <w:tblPr>
        <w:tblStyle w:val="4"/>
        <w:tblW w:w="10299" w:type="dxa"/>
        <w:tblInd w:w="226" w:type="dxa"/>
        <w:tblLayout w:type="fixed"/>
        <w:tblCellMar>
          <w:top w:w="0" w:type="dxa"/>
          <w:left w:w="108" w:type="dxa"/>
          <w:bottom w:w="0" w:type="dxa"/>
          <w:right w:w="108" w:type="dxa"/>
        </w:tblCellMar>
      </w:tblPr>
      <w:tblGrid>
        <w:gridCol w:w="4781"/>
        <w:gridCol w:w="5518"/>
      </w:tblGrid>
      <w:tr>
        <w:tblPrEx>
          <w:tblCellMar>
            <w:top w:w="0" w:type="dxa"/>
            <w:left w:w="108" w:type="dxa"/>
            <w:bottom w:w="0" w:type="dxa"/>
            <w:right w:w="108" w:type="dxa"/>
          </w:tblCellMar>
        </w:tblPrEx>
        <w:trPr>
          <w:trHeight w:val="693" w:hRule="exact"/>
        </w:trPr>
        <w:tc>
          <w:tcPr>
            <w:tcW w:w="4781" w:type="dxa"/>
          </w:tcPr>
          <w:p>
            <w:pPr>
              <w:pStyle w:val="8"/>
              <w:widowControl w:val="0"/>
              <w:suppressAutoHyphens w:val="0"/>
              <w:spacing w:beforeLines="0" w:beforeAutospacing="0" w:afterLines="0" w:afterAutospacing="0"/>
              <w:ind w:left="112"/>
              <w:jc w:val="left"/>
              <w:rPr>
                <w:sz w:val="24"/>
                <w:szCs w:val="24"/>
              </w:rPr>
            </w:pPr>
            <w:r>
              <w:rPr>
                <w:rFonts w:ascii="Times New Roman" w:hAnsi="Times New Roman" w:cs="Times New Roman"/>
                <w:kern w:val="0"/>
                <w:lang w:val="en-US" w:eastAsia="zh-CN" w:bidi="hi-IN"/>
              </w:rPr>
              <w:t>甲方（盖章）：</w:t>
            </w:r>
          </w:p>
        </w:tc>
        <w:tc>
          <w:tcPr>
            <w:tcW w:w="5518" w:type="dxa"/>
          </w:tcPr>
          <w:p>
            <w:pPr>
              <w:pStyle w:val="8"/>
              <w:widowControl w:val="0"/>
              <w:suppressAutoHyphens w:val="0"/>
              <w:spacing w:beforeLines="0" w:beforeAutospacing="0" w:afterLines="0" w:afterAutospacing="0"/>
              <w:ind w:left="112"/>
              <w:jc w:val="left"/>
              <w:rPr>
                <w:sz w:val="24"/>
                <w:szCs w:val="24"/>
              </w:rPr>
            </w:pPr>
            <w:r>
              <w:rPr>
                <w:rFonts w:ascii="Times New Roman" w:hAnsi="Times New Roman" w:cs="Times New Roman"/>
                <w:kern w:val="0"/>
                <w:lang w:val="en-US" w:eastAsia="zh-CN" w:bidi="hi-IN"/>
              </w:rPr>
              <w:t>乙方（签字</w:t>
            </w:r>
            <w:r>
              <w:rPr>
                <w:rFonts w:ascii="Times New Roman" w:hAnsi="Times New Roman" w:eastAsia="宋体" w:cs="Times New Roman"/>
                <w:kern w:val="0"/>
                <w:lang w:val="en-US" w:eastAsia="zh-CN" w:bidi="hi-IN"/>
              </w:rPr>
              <w:t>/</w:t>
            </w:r>
            <w:r>
              <w:rPr>
                <w:rFonts w:ascii="Times New Roman" w:hAnsi="Times New Roman" w:cs="Times New Roman"/>
                <w:kern w:val="0"/>
                <w:lang w:val="en-US" w:eastAsia="zh-CN" w:bidi="hi-IN"/>
              </w:rPr>
              <w:t>盖章）：</w:t>
            </w:r>
          </w:p>
          <w:p>
            <w:pPr>
              <w:pStyle w:val="8"/>
              <w:widowControl w:val="0"/>
              <w:suppressAutoHyphens w:val="0"/>
              <w:spacing w:beforeLines="0" w:beforeAutospacing="0" w:afterLines="0" w:afterAutospacing="0"/>
              <w:ind w:left="112"/>
              <w:jc w:val="left"/>
              <w:rPr>
                <w:sz w:val="24"/>
                <w:szCs w:val="24"/>
              </w:rPr>
            </w:pPr>
          </w:p>
        </w:tc>
      </w:tr>
      <w:tr>
        <w:tblPrEx>
          <w:tblCellMar>
            <w:top w:w="0" w:type="dxa"/>
            <w:left w:w="108" w:type="dxa"/>
            <w:bottom w:w="0" w:type="dxa"/>
            <w:right w:w="108" w:type="dxa"/>
          </w:tblCellMar>
        </w:tblPrEx>
        <w:trPr>
          <w:trHeight w:val="668" w:hRule="exact"/>
        </w:trPr>
        <w:tc>
          <w:tcPr>
            <w:tcW w:w="4781" w:type="dxa"/>
          </w:tcPr>
          <w:p>
            <w:pPr>
              <w:pStyle w:val="8"/>
              <w:widowControl w:val="0"/>
              <w:suppressAutoHyphens w:val="0"/>
              <w:spacing w:beforeLines="0" w:beforeAutospacing="0" w:afterLines="0" w:afterAutospacing="0"/>
              <w:ind w:left="112"/>
              <w:jc w:val="left"/>
              <w:rPr>
                <w:sz w:val="24"/>
                <w:szCs w:val="24"/>
              </w:rPr>
            </w:pPr>
            <w:r>
              <w:rPr>
                <w:rFonts w:ascii="Times New Roman" w:hAnsi="Times New Roman" w:cs="Times New Roman"/>
                <w:kern w:val="0"/>
                <w:lang w:val="en-US" w:eastAsia="zh-CN" w:bidi="hi-IN"/>
              </w:rPr>
              <w:t>签订日期：</w:t>
            </w:r>
          </w:p>
        </w:tc>
        <w:tc>
          <w:tcPr>
            <w:tcW w:w="5518" w:type="dxa"/>
          </w:tcPr>
          <w:p>
            <w:pPr>
              <w:pStyle w:val="8"/>
              <w:widowControl w:val="0"/>
              <w:suppressAutoHyphens w:val="0"/>
              <w:spacing w:beforeLines="0" w:beforeAutospacing="0" w:afterLines="0" w:afterAutospacing="0"/>
              <w:ind w:left="112"/>
              <w:jc w:val="left"/>
              <w:rPr>
                <w:sz w:val="24"/>
                <w:szCs w:val="24"/>
              </w:rPr>
            </w:pPr>
            <w:r>
              <w:rPr>
                <w:rFonts w:ascii="Times New Roman" w:hAnsi="Times New Roman" w:cs="Times New Roman"/>
                <w:kern w:val="0"/>
                <w:lang w:val="en-US" w:eastAsia="zh-CN" w:bidi="hi-IN"/>
              </w:rPr>
              <w:t>签订日期：</w:t>
            </w:r>
          </w:p>
        </w:tc>
      </w:tr>
    </w:tbl>
    <w:p>
      <w:pPr>
        <w:pStyle w:val="7"/>
        <w:rPr>
          <w:sz w:val="24"/>
          <w:szCs w:val="24"/>
        </w:rPr>
      </w:pPr>
    </w:p>
    <w:p>
      <w:pPr>
        <w:pStyle w:val="7"/>
        <w:rPr>
          <w:sz w:val="24"/>
          <w:szCs w:val="24"/>
        </w:rPr>
      </w:pPr>
    </w:p>
    <w:p>
      <w:pPr>
        <w:pStyle w:val="7"/>
        <w:rPr>
          <w:sz w:val="24"/>
          <w:szCs w:val="24"/>
          <w:lang w:val="en-US" w:eastAsia="zh-CN"/>
        </w:rPr>
      </w:pPr>
    </w:p>
    <w:p>
      <w:pPr>
        <w:pStyle w:val="7"/>
        <w:rPr>
          <w:sz w:val="24"/>
          <w:szCs w:val="24"/>
          <w:lang w:val="en-US" w:eastAsia="zh-CN"/>
        </w:rPr>
        <w:sectPr>
          <w:footerReference r:id="rId3" w:type="default"/>
          <w:pgSz w:w="11906" w:h="16838"/>
          <w:pgMar w:top="852" w:right="400" w:bottom="989" w:left="440" w:header="0" w:footer="0" w:gutter="0"/>
          <w:pgNumType w:fmt="decimal"/>
          <w:cols w:space="720" w:num="1"/>
          <w:formProt w:val="0"/>
          <w:docGrid w:linePitch="286" w:charSpace="294912"/>
        </w:sectPr>
      </w:pPr>
    </w:p>
    <w:p>
      <w:pPr>
        <w:pStyle w:val="7"/>
        <w:rPr>
          <w:sz w:val="24"/>
          <w:szCs w:val="24"/>
          <w:lang w:val="en-US" w:eastAsia="zh-CN"/>
        </w:rPr>
      </w:pPr>
    </w:p>
    <w:p>
      <w:pPr>
        <w:pStyle w:val="7"/>
        <w:rPr>
          <w:sz w:val="24"/>
          <w:szCs w:val="24"/>
          <w:lang w:val="en-US" w:eastAsia="zh-CN"/>
        </w:rPr>
      </w:pPr>
      <w:r>
        <w:rPr>
          <w:b/>
          <w:bCs/>
          <w:sz w:val="24"/>
          <w:szCs w:val="24"/>
        </w:rPr>
        <w:t>附件</w:t>
      </w:r>
      <w:r>
        <w:rPr>
          <w:rFonts w:hint="eastAsia"/>
          <w:b/>
          <w:bCs/>
          <w:sz w:val="24"/>
          <w:szCs w:val="24"/>
          <w:lang w:val="en-US" w:eastAsia="zh-CN"/>
        </w:rPr>
        <w:t>二：</w:t>
      </w:r>
      <w:r>
        <w:rPr>
          <w:sz w:val="24"/>
          <w:szCs w:val="24"/>
        </w:rPr>
        <w:t>《关于禁止收运违禁品管理规定》</w:t>
      </w:r>
    </w:p>
    <w:p>
      <w:pPr>
        <w:pStyle w:val="8"/>
        <w:kinsoku w:val="0"/>
        <w:overflowPunct w:val="0"/>
        <w:spacing w:before="201" w:beforeAutospacing="0" w:afterLines="0" w:afterAutospacing="0" w:line="247" w:lineRule="auto"/>
        <w:ind w:right="107" w:firstLine="480" w:firstLineChars="200"/>
        <w:jc w:val="both"/>
        <w:rPr>
          <w:sz w:val="24"/>
          <w:szCs w:val="24"/>
        </w:rPr>
      </w:pPr>
      <w:r>
        <w:rPr>
          <w:sz w:val="24"/>
          <w:szCs w:val="24"/>
        </w:rPr>
        <w:t>为了保证快件寄递安全，根据《中华人民共和国邮政法</w:t>
      </w:r>
      <w:r>
        <w:rPr>
          <w:spacing w:val="-120"/>
          <w:sz w:val="24"/>
          <w:szCs w:val="24"/>
        </w:rPr>
        <w:t>》、</w:t>
      </w:r>
      <w:r>
        <w:rPr>
          <w:sz w:val="24"/>
          <w:szCs w:val="24"/>
        </w:rPr>
        <w:t>《禁寄物品指导目录及处理办法</w:t>
      </w:r>
      <w:r>
        <w:rPr>
          <w:spacing w:val="-120"/>
          <w:sz w:val="24"/>
          <w:szCs w:val="24"/>
        </w:rPr>
        <w:t>》、</w:t>
      </w:r>
      <w:r>
        <w:rPr>
          <w:sz w:val="24"/>
          <w:szCs w:val="24"/>
        </w:rPr>
        <w:t xml:space="preserve">《寄递 </w:t>
      </w:r>
      <w:r>
        <w:rPr>
          <w:spacing w:val="3"/>
          <w:sz w:val="24"/>
          <w:szCs w:val="24"/>
        </w:rPr>
        <w:t>服务企业</w:t>
      </w:r>
      <w:r>
        <w:rPr>
          <w:sz w:val="24"/>
          <w:szCs w:val="24"/>
        </w:rPr>
        <w:t>收</w:t>
      </w:r>
      <w:r>
        <w:rPr>
          <w:spacing w:val="3"/>
          <w:sz w:val="24"/>
          <w:szCs w:val="24"/>
        </w:rPr>
        <w:t>寄物</w:t>
      </w:r>
      <w:r>
        <w:rPr>
          <w:sz w:val="24"/>
          <w:szCs w:val="24"/>
        </w:rPr>
        <w:t>品</w:t>
      </w:r>
      <w:r>
        <w:rPr>
          <w:spacing w:val="3"/>
          <w:sz w:val="24"/>
          <w:szCs w:val="24"/>
        </w:rPr>
        <w:t>安全管</w:t>
      </w:r>
      <w:r>
        <w:rPr>
          <w:sz w:val="24"/>
          <w:szCs w:val="24"/>
        </w:rPr>
        <w:t>理</w:t>
      </w:r>
      <w:r>
        <w:rPr>
          <w:spacing w:val="3"/>
          <w:sz w:val="24"/>
          <w:szCs w:val="24"/>
        </w:rPr>
        <w:t>规定</w:t>
      </w:r>
      <w:r>
        <w:rPr>
          <w:sz w:val="24"/>
          <w:szCs w:val="24"/>
        </w:rPr>
        <w:t>（试</w:t>
      </w:r>
      <w:r>
        <w:rPr>
          <w:spacing w:val="3"/>
          <w:sz w:val="24"/>
          <w:szCs w:val="24"/>
        </w:rPr>
        <w:t>行</w:t>
      </w:r>
      <w:r>
        <w:rPr>
          <w:spacing w:val="-116"/>
          <w:sz w:val="24"/>
          <w:szCs w:val="24"/>
        </w:rPr>
        <w:t>）</w:t>
      </w:r>
      <w:r>
        <w:rPr>
          <w:spacing w:val="3"/>
          <w:sz w:val="24"/>
          <w:szCs w:val="24"/>
        </w:rPr>
        <w:t>》和</w:t>
      </w:r>
      <w:r>
        <w:rPr>
          <w:sz w:val="24"/>
          <w:szCs w:val="24"/>
        </w:rPr>
        <w:t>国</w:t>
      </w:r>
      <w:r>
        <w:rPr>
          <w:spacing w:val="3"/>
          <w:sz w:val="24"/>
          <w:szCs w:val="24"/>
        </w:rPr>
        <w:t>家安</w:t>
      </w:r>
      <w:r>
        <w:rPr>
          <w:sz w:val="24"/>
          <w:szCs w:val="24"/>
        </w:rPr>
        <w:t>全</w:t>
      </w:r>
      <w:r>
        <w:rPr>
          <w:spacing w:val="3"/>
          <w:sz w:val="24"/>
          <w:szCs w:val="24"/>
        </w:rPr>
        <w:t>部门的</w:t>
      </w:r>
      <w:r>
        <w:rPr>
          <w:sz w:val="24"/>
          <w:szCs w:val="24"/>
        </w:rPr>
        <w:t>有</w:t>
      </w:r>
      <w:r>
        <w:rPr>
          <w:spacing w:val="3"/>
          <w:sz w:val="24"/>
          <w:szCs w:val="24"/>
        </w:rPr>
        <w:t>关要</w:t>
      </w:r>
      <w:r>
        <w:rPr>
          <w:sz w:val="24"/>
          <w:szCs w:val="24"/>
        </w:rPr>
        <w:t>求</w:t>
      </w:r>
      <w:r>
        <w:rPr>
          <w:spacing w:val="3"/>
          <w:sz w:val="24"/>
          <w:szCs w:val="24"/>
        </w:rPr>
        <w:t>，</w:t>
      </w:r>
      <w:r>
        <w:rPr>
          <w:sz w:val="24"/>
          <w:szCs w:val="24"/>
        </w:rPr>
        <w:t>严</w:t>
      </w:r>
      <w:r>
        <w:rPr>
          <w:spacing w:val="3"/>
          <w:sz w:val="24"/>
          <w:szCs w:val="24"/>
        </w:rPr>
        <w:t>禁寄递或</w:t>
      </w:r>
      <w:r>
        <w:rPr>
          <w:sz w:val="24"/>
          <w:szCs w:val="24"/>
        </w:rPr>
        <w:t>夹</w:t>
      </w:r>
      <w:r>
        <w:rPr>
          <w:spacing w:val="3"/>
          <w:sz w:val="24"/>
          <w:szCs w:val="24"/>
        </w:rPr>
        <w:t>带以</w:t>
      </w:r>
      <w:r>
        <w:rPr>
          <w:sz w:val="24"/>
          <w:szCs w:val="24"/>
        </w:rPr>
        <w:t>下</w:t>
      </w:r>
      <w:r>
        <w:rPr>
          <w:spacing w:val="3"/>
          <w:sz w:val="24"/>
          <w:szCs w:val="24"/>
        </w:rPr>
        <w:t>的违禁</w:t>
      </w:r>
      <w:r>
        <w:rPr>
          <w:sz w:val="24"/>
          <w:szCs w:val="24"/>
        </w:rPr>
        <w:t>物 品：</w:t>
      </w:r>
    </w:p>
    <w:p>
      <w:pPr>
        <w:pStyle w:val="8"/>
        <w:kinsoku w:val="0"/>
        <w:overflowPunct w:val="0"/>
        <w:spacing w:before="29" w:beforeAutospacing="0" w:afterLines="0" w:afterAutospacing="0"/>
        <w:ind w:left="848"/>
        <w:rPr>
          <w:sz w:val="24"/>
          <w:szCs w:val="24"/>
        </w:rPr>
      </w:pPr>
      <w:r>
        <w:rPr>
          <w:sz w:val="24"/>
          <w:szCs w:val="24"/>
        </w:rPr>
        <w:t>（一）  各类枪支弹药及管制类刀具。如枪支、子弹、炮弹、手榴弹、匕首、弹簧刀、等。</w:t>
      </w:r>
    </w:p>
    <w:p>
      <w:pPr>
        <w:pStyle w:val="8"/>
        <w:kinsoku w:val="0"/>
        <w:overflowPunct w:val="0"/>
        <w:spacing w:before="169" w:beforeAutospacing="0" w:afterLines="0" w:afterAutospacing="0"/>
        <w:ind w:left="848"/>
        <w:rPr>
          <w:sz w:val="24"/>
          <w:szCs w:val="24"/>
        </w:rPr>
      </w:pPr>
      <w:r>
        <w:rPr>
          <w:sz w:val="24"/>
          <w:szCs w:val="24"/>
        </w:rPr>
        <w:t>（二）  各类易爆炸性物品。如雷管、炸药、火药、鞭炮等。</w:t>
      </w:r>
    </w:p>
    <w:p>
      <w:pPr>
        <w:pStyle w:val="8"/>
        <w:kinsoku w:val="0"/>
        <w:overflowPunct w:val="0"/>
        <w:spacing w:before="169" w:beforeAutospacing="0" w:afterLines="0" w:afterAutospacing="0" w:line="264" w:lineRule="auto"/>
        <w:ind w:left="488" w:firstLine="360"/>
        <w:rPr>
          <w:sz w:val="24"/>
          <w:szCs w:val="24"/>
        </w:rPr>
      </w:pPr>
      <w:r>
        <w:rPr>
          <w:sz w:val="24"/>
          <w:szCs w:val="24"/>
        </w:rPr>
        <w:t>（三）  各类易燃烧性物品，包括液体、气体和固体。如汽油、煤油、桐油、酒精、生漆、柴 油、气雾剂、气体打火机、瓦斯气瓶、磷、硫磺、火柴等。</w:t>
      </w:r>
    </w:p>
    <w:p>
      <w:pPr>
        <w:pStyle w:val="8"/>
        <w:kinsoku w:val="0"/>
        <w:overflowPunct w:val="0"/>
        <w:spacing w:before="145" w:beforeAutospacing="0" w:afterLines="0" w:afterAutospacing="0" w:line="271" w:lineRule="auto"/>
        <w:ind w:left="488" w:firstLine="360"/>
        <w:rPr>
          <w:sz w:val="24"/>
          <w:szCs w:val="24"/>
        </w:rPr>
      </w:pPr>
      <w:r>
        <w:rPr>
          <w:sz w:val="24"/>
          <w:szCs w:val="24"/>
        </w:rPr>
        <w:t>（四）  各类易腐蚀性物品。如火硫酸、盐酸、硝酸、有机溶剂、农药、双氧水、危险化学品 等。</w:t>
      </w:r>
    </w:p>
    <w:p>
      <w:pPr>
        <w:pStyle w:val="8"/>
        <w:kinsoku w:val="0"/>
        <w:overflowPunct w:val="0"/>
        <w:spacing w:before="137" w:beforeAutospacing="0" w:afterLines="0" w:afterAutospacing="0"/>
        <w:ind w:left="848"/>
        <w:rPr>
          <w:sz w:val="24"/>
          <w:szCs w:val="24"/>
        </w:rPr>
      </w:pPr>
      <w:r>
        <w:rPr>
          <w:sz w:val="24"/>
          <w:szCs w:val="24"/>
        </w:rPr>
        <w:t>（五）  各类放射性元素及容器。如铀、钴、镭、钚等。</w:t>
      </w:r>
    </w:p>
    <w:p>
      <w:pPr>
        <w:pStyle w:val="8"/>
        <w:kinsoku w:val="0"/>
        <w:overflowPunct w:val="0"/>
        <w:spacing w:before="165" w:beforeAutospacing="0" w:afterLines="0" w:afterAutospacing="0"/>
        <w:ind w:left="848"/>
        <w:rPr>
          <w:sz w:val="24"/>
          <w:szCs w:val="24"/>
        </w:rPr>
      </w:pPr>
      <w:r>
        <w:rPr>
          <w:sz w:val="24"/>
          <w:szCs w:val="24"/>
        </w:rPr>
        <w:t>（六）  各类烈性毒药。如铊、氰化物、砒霜等。</w:t>
      </w:r>
    </w:p>
    <w:p>
      <w:pPr>
        <w:pStyle w:val="8"/>
        <w:kinsoku w:val="0"/>
        <w:overflowPunct w:val="0"/>
        <w:spacing w:before="165" w:beforeAutospacing="0" w:afterLines="0" w:afterAutospacing="0" w:line="271" w:lineRule="auto"/>
        <w:ind w:left="488" w:firstLine="360"/>
        <w:rPr>
          <w:sz w:val="24"/>
          <w:szCs w:val="24"/>
        </w:rPr>
      </w:pPr>
      <w:r>
        <w:rPr>
          <w:sz w:val="24"/>
          <w:szCs w:val="24"/>
        </w:rPr>
        <w:t>（七）  各类麻醉药物及毒品。如阿片粉、复方桔梗散、鸦片（包括罂粟壳、花、苞、叶</w:t>
      </w:r>
      <w:r>
        <w:rPr>
          <w:spacing w:val="-120"/>
          <w:sz w:val="24"/>
          <w:szCs w:val="24"/>
        </w:rPr>
        <w:t>）</w:t>
      </w:r>
      <w:r>
        <w:rPr>
          <w:sz w:val="24"/>
          <w:szCs w:val="24"/>
        </w:rPr>
        <w:t>、吗 啡、可卡因、海洛因、大麻、冰毒、麻黄素及其它制品等。</w:t>
      </w:r>
    </w:p>
    <w:p>
      <w:pPr>
        <w:pStyle w:val="8"/>
        <w:kinsoku w:val="0"/>
        <w:overflowPunct w:val="0"/>
        <w:spacing w:before="138" w:beforeAutospacing="0" w:afterLines="0" w:afterAutospacing="0"/>
        <w:ind w:left="848"/>
        <w:rPr>
          <w:sz w:val="24"/>
          <w:szCs w:val="24"/>
        </w:rPr>
      </w:pPr>
      <w:r>
        <w:rPr>
          <w:sz w:val="24"/>
          <w:szCs w:val="24"/>
        </w:rPr>
        <w:t>（八）  各类生化制品和传染性物品。如炭疽、危险性病菌、医药用废弃物等。</w:t>
      </w:r>
    </w:p>
    <w:p>
      <w:pPr>
        <w:pStyle w:val="8"/>
        <w:kinsoku w:val="0"/>
        <w:overflowPunct w:val="0"/>
        <w:spacing w:before="169" w:beforeAutospacing="0" w:afterLines="0" w:afterAutospacing="0"/>
        <w:ind w:left="848"/>
      </w:pPr>
      <w:r>
        <w:rPr>
          <w:sz w:val="24"/>
          <w:szCs w:val="24"/>
        </w:rPr>
        <w:t>（九）  各种危害国家安全和社会政治稳定以及淫秽的出版物、宣传品、印刷品等。</w:t>
      </w:r>
    </w:p>
    <w:p>
      <w:pPr>
        <w:pStyle w:val="8"/>
        <w:kinsoku w:val="0"/>
        <w:overflowPunct w:val="0"/>
        <w:spacing w:before="169" w:beforeAutospacing="0" w:afterLines="0" w:afterAutospacing="0"/>
        <w:ind w:left="848"/>
      </w:pPr>
      <w:r>
        <w:rPr>
          <w:rFonts w:ascii="宋体" w:hAnsi="宋体"/>
          <w:sz w:val="24"/>
          <w:szCs w:val="24"/>
        </w:rPr>
        <w:t>（十） 各种妨害公共卫生与安全的物品。如烟叶或烟丝、尸骨、动物器官、肢体、未经硝制的 兽皮、未经药制的兽骨等。</w:t>
      </w:r>
    </w:p>
    <w:p>
      <w:pPr>
        <w:pStyle w:val="8"/>
        <w:kinsoku w:val="0"/>
        <w:overflowPunct w:val="0"/>
        <w:spacing w:before="137" w:beforeAutospacing="0" w:afterLines="0" w:afterAutospacing="0" w:line="271" w:lineRule="auto"/>
        <w:ind w:left="488" w:right="179" w:firstLine="360"/>
        <w:jc w:val="both"/>
        <w:rPr>
          <w:rFonts w:ascii="宋体" w:hAnsi="宋体" w:eastAsia="宋体"/>
        </w:rPr>
      </w:pPr>
      <w:r>
        <w:rPr>
          <w:rFonts w:ascii="宋体" w:hAnsi="宋体"/>
          <w:sz w:val="24"/>
          <w:szCs w:val="24"/>
        </w:rPr>
        <w:t>（十一）</w:t>
      </w:r>
      <w:r>
        <w:rPr>
          <w:rFonts w:ascii="宋体" w:hAnsi="宋体"/>
          <w:spacing w:val="60"/>
          <w:sz w:val="24"/>
          <w:szCs w:val="24"/>
        </w:rPr>
        <w:t xml:space="preserve"> </w:t>
      </w:r>
      <w:r>
        <w:rPr>
          <w:rFonts w:ascii="宋体" w:hAnsi="宋体"/>
          <w:sz w:val="24"/>
          <w:szCs w:val="24"/>
        </w:rPr>
        <w:t>国家法律、法规、行政规章明令禁止流通、寄递或进出境的物品，如国家秘密文件 和资料、国家货币及伪造的货币和有价证券、仿真武器、管制刀具、珍贵文物、濒危野生动物及其 制品等。</w:t>
      </w:r>
    </w:p>
    <w:p>
      <w:pPr>
        <w:pStyle w:val="8"/>
        <w:tabs>
          <w:tab w:val="left" w:pos="2228"/>
        </w:tabs>
        <w:kinsoku w:val="0"/>
        <w:overflowPunct w:val="0"/>
        <w:spacing w:before="137" w:beforeAutospacing="0" w:afterLines="0" w:afterAutospacing="0"/>
        <w:ind w:left="848"/>
        <w:rPr>
          <w:rFonts w:ascii="宋体" w:hAnsi="宋体" w:eastAsia="宋体"/>
        </w:rPr>
      </w:pPr>
      <w:r>
        <w:rPr>
          <w:rFonts w:ascii="宋体" w:hAnsi="宋体"/>
          <w:sz w:val="24"/>
          <w:szCs w:val="24"/>
        </w:rPr>
        <w:t>（十二）</w:t>
      </w:r>
      <w:r>
        <w:rPr>
          <w:rFonts w:hint="eastAsia"/>
          <w:sz w:val="24"/>
          <w:szCs w:val="24"/>
          <w:lang w:val="en-US" w:eastAsia="zh-CN"/>
        </w:rPr>
        <w:t xml:space="preserve"> </w:t>
      </w:r>
      <w:r>
        <w:rPr>
          <w:rFonts w:ascii="宋体" w:hAnsi="宋体"/>
          <w:sz w:val="24"/>
          <w:szCs w:val="24"/>
        </w:rPr>
        <w:t>包装不妥，可能危害人身安全、污染或者损毁其他寄递件、设备的物品等。</w:t>
      </w:r>
    </w:p>
    <w:p>
      <w:pPr>
        <w:pStyle w:val="8"/>
        <w:kinsoku w:val="0"/>
        <w:overflowPunct w:val="0"/>
        <w:spacing w:before="201" w:beforeAutospacing="0" w:afterLines="0" w:afterAutospacing="0" w:line="247" w:lineRule="auto"/>
        <w:ind w:right="107" w:firstLine="720" w:firstLineChars="300"/>
        <w:jc w:val="both"/>
        <w:rPr>
          <w:rFonts w:ascii="宋体" w:hAnsi="宋体"/>
          <w:sz w:val="24"/>
          <w:szCs w:val="24"/>
        </w:rPr>
      </w:pPr>
      <w:r>
        <w:rPr>
          <w:rFonts w:ascii="宋体" w:hAnsi="宋体"/>
          <w:sz w:val="24"/>
          <w:szCs w:val="24"/>
        </w:rPr>
        <w:t>（十三）</w:t>
      </w:r>
      <w:r>
        <w:rPr>
          <w:rFonts w:hint="eastAsia"/>
          <w:sz w:val="24"/>
          <w:szCs w:val="24"/>
          <w:lang w:val="en-US" w:eastAsia="zh-CN"/>
        </w:rPr>
        <w:t xml:space="preserve"> </w:t>
      </w:r>
      <w:r>
        <w:rPr>
          <w:rFonts w:ascii="宋体" w:hAnsi="宋体"/>
          <w:sz w:val="24"/>
          <w:szCs w:val="24"/>
        </w:rPr>
        <w:t>其他国家或当地政府政策明文规定禁止寄递或限寄的物品。</w:t>
      </w:r>
    </w:p>
    <w:p>
      <w:pPr>
        <w:pStyle w:val="8"/>
        <w:kinsoku w:val="0"/>
        <w:overflowPunct w:val="0"/>
        <w:spacing w:before="201" w:beforeAutospacing="0" w:afterLines="0" w:afterAutospacing="0" w:line="247" w:lineRule="auto"/>
        <w:ind w:right="107" w:firstLine="720" w:firstLineChars="300"/>
        <w:jc w:val="both"/>
        <w:rPr>
          <w:rFonts w:ascii="宋体" w:hAnsi="宋体"/>
          <w:sz w:val="24"/>
          <w:szCs w:val="24"/>
        </w:rPr>
      </w:pPr>
    </w:p>
    <w:p>
      <w:pPr>
        <w:pStyle w:val="7"/>
        <w:kinsoku w:val="0"/>
        <w:overflowPunct w:val="0"/>
        <w:spacing w:before="4" w:beforeAutospacing="0" w:afterLines="0" w:afterAutospacing="0" w:line="120" w:lineRule="exact"/>
        <w:rPr>
          <w:sz w:val="24"/>
          <w:szCs w:val="24"/>
        </w:rPr>
      </w:pPr>
    </w:p>
    <w:p>
      <w:pPr>
        <w:pStyle w:val="8"/>
        <w:kinsoku w:val="0"/>
        <w:overflowPunct w:val="0"/>
        <w:spacing w:before="157" w:beforeAutospacing="0" w:afterLines="0" w:afterAutospacing="0" w:line="271" w:lineRule="auto"/>
        <w:ind w:right="135" w:firstLine="480" w:firstLineChars="200"/>
        <w:rPr>
          <w:rFonts w:ascii="宋体" w:hAnsi="宋体" w:eastAsia="宋体"/>
        </w:rPr>
      </w:pPr>
      <w:r>
        <w:rPr>
          <w:rFonts w:ascii="宋体" w:hAnsi="宋体"/>
          <w:sz w:val="24"/>
          <w:szCs w:val="24"/>
        </w:rPr>
        <w:t>注：本规定未涉及货物能否承运，需依照甲方最新收货标准，具体详询我司合作经营网点，感谢您的支 持！</w:t>
      </w:r>
    </w:p>
    <w:p>
      <w:pPr>
        <w:pStyle w:val="8"/>
        <w:kinsoku w:val="0"/>
        <w:overflowPunct w:val="0"/>
        <w:spacing w:before="157" w:beforeAutospacing="0" w:afterLines="0" w:afterAutospacing="0" w:line="271" w:lineRule="auto"/>
        <w:ind w:left="123" w:right="135" w:hanging="12"/>
        <w:rPr>
          <w:rFonts w:ascii="宋体" w:hAnsi="宋体" w:eastAsia="宋体"/>
        </w:rPr>
      </w:pPr>
    </w:p>
    <w:p>
      <w:pPr>
        <w:pStyle w:val="8"/>
        <w:kinsoku w:val="0"/>
        <w:overflowPunct w:val="0"/>
        <w:spacing w:before="157" w:beforeAutospacing="0" w:afterLines="0" w:afterAutospacing="0" w:line="271" w:lineRule="auto"/>
        <w:ind w:left="123" w:right="135" w:hanging="12"/>
        <w:rPr>
          <w:rFonts w:ascii="宋体" w:hAnsi="宋体" w:eastAsia="宋体"/>
        </w:rPr>
      </w:pPr>
    </w:p>
    <w:p>
      <w:pPr>
        <w:pStyle w:val="8"/>
        <w:kinsoku w:val="0"/>
        <w:overflowPunct w:val="0"/>
        <w:spacing w:before="157" w:beforeAutospacing="0" w:afterLines="0" w:afterAutospacing="0" w:line="271" w:lineRule="auto"/>
        <w:ind w:left="123" w:right="135" w:hanging="12"/>
        <w:rPr>
          <w:rFonts w:ascii="宋体" w:hAnsi="宋体" w:eastAsia="宋体"/>
        </w:rPr>
      </w:pPr>
    </w:p>
    <w:p>
      <w:pPr>
        <w:pStyle w:val="8"/>
        <w:kinsoku w:val="0"/>
        <w:overflowPunct w:val="0"/>
        <w:spacing w:before="157" w:beforeAutospacing="0" w:afterLines="0" w:afterAutospacing="0" w:line="271" w:lineRule="auto"/>
        <w:ind w:left="123" w:right="135" w:hanging="12"/>
        <w:rPr>
          <w:rFonts w:ascii="宋体" w:hAnsi="宋体" w:eastAsia="宋体"/>
        </w:rPr>
      </w:pPr>
    </w:p>
    <w:p>
      <w:pPr>
        <w:pStyle w:val="8"/>
        <w:kinsoku w:val="0"/>
        <w:overflowPunct w:val="0"/>
        <w:spacing w:before="157" w:beforeAutospacing="0" w:afterLines="0" w:afterAutospacing="0" w:line="271" w:lineRule="auto"/>
        <w:ind w:left="123" w:right="135" w:hanging="12"/>
        <w:rPr>
          <w:rFonts w:ascii="宋体" w:hAnsi="宋体" w:eastAsia="宋体"/>
        </w:rPr>
      </w:pPr>
    </w:p>
    <w:p>
      <w:pPr>
        <w:pStyle w:val="8"/>
        <w:kinsoku w:val="0"/>
        <w:overflowPunct w:val="0"/>
        <w:spacing w:before="157" w:beforeAutospacing="0" w:afterLines="0" w:afterAutospacing="0" w:line="271" w:lineRule="auto"/>
        <w:ind w:left="123" w:right="135" w:hanging="12"/>
        <w:rPr>
          <w:rFonts w:ascii="宋体" w:hAnsi="宋体" w:eastAsia="宋体"/>
        </w:rPr>
      </w:pPr>
    </w:p>
    <w:sectPr>
      <w:pgSz w:w="11906" w:h="16838"/>
      <w:pgMar w:top="852" w:right="400" w:bottom="989" w:left="440" w:header="0" w:footer="0" w:gutter="0"/>
      <w:pgNumType w:fmt="decimal"/>
      <w:cols w:space="720" w:num="1"/>
      <w:formProt w:val="0"/>
      <w:docGrid w:linePitch="286" w:charSpace="2949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cumentProtection w:enforcement="0"/>
  <w:defaultTabStop w:val="720"/>
  <w:autoHyphenation/>
  <w:hyphenationZone w:val="360"/>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NjFjNzllN2ExZWIzZGY4ZGU2MTVhZGY5YzJkZjAifQ=="/>
  </w:docVars>
  <w:rsids>
    <w:rsidRoot w:val="00000000"/>
    <w:rsid w:val="0C124AFE"/>
    <w:rsid w:val="3D54210D"/>
    <w:rsid w:val="45DE2F9F"/>
    <w:rsid w:val="672B0A11"/>
    <w:rsid w:val="6B324617"/>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jc w:val="both"/>
    </w:pPr>
    <w:rPr>
      <w:rFonts w:ascii="Times New Roman" w:hAnsi="Times New Roman" w:eastAsia="宋体" w:cs="Times New Roman"/>
      <w:lang w:val="en-US" w:eastAsia="zh-CN" w:bidi="hi-IN"/>
    </w:rPr>
  </w:style>
  <w:style w:type="character" w:default="1" w:styleId="6">
    <w:name w:val="Default Paragraph Font"/>
    <w:unhideWhenUsed/>
    <w:uiPriority w:val="99"/>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9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1"/>
    <w:unhideWhenUsed/>
    <w:qFormat/>
    <w:uiPriority w:val="1"/>
    <w:pPr>
      <w:widowControl w:val="0"/>
      <w:suppressAutoHyphens w:val="0"/>
      <w:bidi w:val="0"/>
      <w:spacing w:beforeLines="0" w:beforeAutospacing="0" w:afterLines="0" w:afterAutospacing="0"/>
      <w:jc w:val="left"/>
    </w:pPr>
    <w:rPr>
      <w:rFonts w:ascii="Times New Roman" w:hAnsi="Times New Roman" w:eastAsia="宋体" w:cs="Times New Roman"/>
      <w:color w:val="auto"/>
      <w:kern w:val="0"/>
      <w:sz w:val="24"/>
      <w:szCs w:val="24"/>
      <w:lang w:val="en-US" w:eastAsia="zh-CN" w:bidi="hi-IN"/>
    </w:rPr>
  </w:style>
  <w:style w:type="paragraph" w:customStyle="1" w:styleId="8">
    <w:name w:val="正文文本1"/>
    <w:basedOn w:val="7"/>
    <w:unhideWhenUsed/>
    <w:qFormat/>
    <w:uiPriority w:val="1"/>
    <w:pPr>
      <w:ind w:left="112"/>
    </w:pPr>
    <w:rPr>
      <w:rFonts w:ascii="宋体" w:hAnsi="宋体" w:eastAsia="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6929</Words>
  <Characters>7209</Characters>
  <Paragraphs>132</Paragraphs>
  <TotalTime>8</TotalTime>
  <ScaleCrop>false</ScaleCrop>
  <LinksUpToDate>false</LinksUpToDate>
  <CharactersWithSpaces>8049</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2022-07-07T09:51:00Z</dcterms:created>
  <dc:creator>黄佳</dc:creator>
  <cp:lastModifiedBy>spirit</cp:lastModifiedBy>
  <cp:lastPrinted>2024-06-06T14:14:00Z</cp:lastPrinted>
  <dcterms:modified xsi:type="dcterms:W3CDTF">2024-06-12T06:32:18Z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C089917931A547FB8922C66392A89FA5_13</vt:lpwstr>
  </property>
  <property fmtid="{D5CDD505-2E9C-101B-9397-08002B2CF9AE}" pid="3" name="KSOProductBuildVer">
    <vt:lpwstr>2052-12.1.0.16929</vt:lpwstr>
  </property>
</Properties>
</file>