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ind w:left="7058"/>
        <w:outlineLvl w:val="0"/>
        <w:rPr>
          <w:rFonts w:ascii="仿宋" w:hAnsi="仿宋" w:eastAsia="仿宋" w:cs="仿宋"/>
          <w:b/>
          <w:bCs/>
          <w:spacing w:val="-20"/>
          <w:sz w:val="36"/>
          <w:szCs w:val="36"/>
        </w:rPr>
      </w:pPr>
    </w:p>
    <w:p>
      <w:pPr>
        <w:spacing w:before="117" w:line="221" w:lineRule="auto"/>
        <w:ind w:left="0" w:leftChars="0" w:firstLine="0" w:firstLineChars="0"/>
        <w:jc w:val="center"/>
        <w:outlineLvl w:val="0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b/>
          <w:bCs/>
          <w:spacing w:val="-20"/>
          <w:sz w:val="40"/>
          <w:szCs w:val="40"/>
        </w:rPr>
        <w:t>询</w:t>
      </w:r>
      <w:r>
        <w:rPr>
          <w:rFonts w:ascii="仿宋" w:hAnsi="仿宋" w:eastAsia="仿宋" w:cs="仿宋"/>
          <w:spacing w:val="114"/>
          <w:sz w:val="40"/>
          <w:szCs w:val="40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40"/>
          <w:szCs w:val="40"/>
        </w:rPr>
        <w:t>价</w:t>
      </w:r>
      <w:r>
        <w:rPr>
          <w:rFonts w:ascii="仿宋" w:hAnsi="仿宋" w:eastAsia="仿宋" w:cs="仿宋"/>
          <w:spacing w:val="119"/>
          <w:sz w:val="40"/>
          <w:szCs w:val="40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40"/>
          <w:szCs w:val="40"/>
        </w:rPr>
        <w:t>单</w:t>
      </w:r>
    </w:p>
    <w:p>
      <w:pPr>
        <w:spacing w:before="275" w:line="219" w:lineRule="auto"/>
        <w:ind w:left="11" w:leftChars="0" w:hanging="11" w:hangingChars="5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2024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19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27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>
      <w:pPr>
        <w:spacing w:line="100" w:lineRule="exact"/>
      </w:pPr>
    </w:p>
    <w:tbl>
      <w:tblPr>
        <w:tblStyle w:val="4"/>
        <w:tblW w:w="12534" w:type="dxa"/>
        <w:tblInd w:w="-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110"/>
        <w:gridCol w:w="1275"/>
        <w:gridCol w:w="3439"/>
        <w:gridCol w:w="999"/>
        <w:gridCol w:w="710"/>
        <w:gridCol w:w="1269"/>
        <w:gridCol w:w="1219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534" w:type="dxa"/>
            <w:gridSpan w:val="9"/>
            <w:vAlign w:val="top"/>
          </w:tcPr>
          <w:p>
            <w:pPr>
              <w:pStyle w:val="5"/>
              <w:spacing w:before="173" w:line="219" w:lineRule="auto"/>
              <w:ind w:left="219" w:leftChars="0" w:hanging="219" w:hangingChars="99"/>
            </w:pPr>
            <w:r>
              <w:rPr>
                <w:spacing w:val="-9"/>
              </w:rPr>
              <w:t>采购单位：南方合和科技(北京)有限公司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74" w:type="dxa"/>
            <w:gridSpan w:val="3"/>
            <w:vAlign w:val="top"/>
          </w:tcPr>
          <w:p>
            <w:pPr>
              <w:pStyle w:val="5"/>
              <w:spacing w:before="191" w:line="222" w:lineRule="auto"/>
              <w:ind w:left="159"/>
              <w:rPr>
                <w:rFonts w:hint="eastAsia" w:eastAsia="宋体"/>
                <w:lang w:eastAsia="zh-CN"/>
              </w:rPr>
            </w:pPr>
            <w:r>
              <w:rPr>
                <w:spacing w:val="-18"/>
              </w:rPr>
              <w:t>联系人：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  <w:lang w:val="en-US" w:eastAsia="zh-CN"/>
              </w:rPr>
              <w:t>刘泽宇</w:t>
            </w:r>
          </w:p>
        </w:tc>
        <w:tc>
          <w:tcPr>
            <w:tcW w:w="5148" w:type="dxa"/>
            <w:gridSpan w:val="3"/>
            <w:vAlign w:val="top"/>
          </w:tcPr>
          <w:p>
            <w:pPr>
              <w:pStyle w:val="5"/>
              <w:spacing w:before="183" w:line="221" w:lineRule="auto"/>
              <w:ind w:left="115"/>
              <w:rPr>
                <w:rFonts w:hint="default" w:eastAsia="宋体"/>
                <w:lang w:val="en-US" w:eastAsia="zh-CN"/>
              </w:rPr>
            </w:pPr>
            <w:r>
              <w:rPr>
                <w:spacing w:val="-10"/>
                <w:position w:val="2"/>
              </w:rPr>
              <w:t>联系电话：</w:t>
            </w:r>
            <w:r>
              <w:rPr>
                <w:rFonts w:hint="eastAsia"/>
                <w:spacing w:val="8"/>
                <w:position w:val="2"/>
                <w:lang w:val="en-US" w:eastAsia="zh-CN"/>
              </w:rPr>
              <w:t>16600046610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  <w:spacing w:before="159" w:line="219" w:lineRule="auto"/>
              <w:ind w:left="117"/>
            </w:pPr>
            <w:r>
              <w:rPr>
                <w:spacing w:val="-26"/>
                <w:w w:val="97"/>
              </w:rPr>
              <w:t>传真：</w:t>
            </w:r>
            <w:r>
              <w:rPr>
                <w:spacing w:val="8"/>
              </w:rPr>
              <w:t xml:space="preserve"> </w:t>
            </w:r>
            <w:r>
              <w:rPr>
                <w:spacing w:val="-26"/>
                <w:w w:val="97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09" w:line="215" w:lineRule="auto"/>
              <w:ind w:left="700"/>
            </w:pPr>
            <w:r>
              <w:t>采</w:t>
            </w:r>
            <w:r>
              <w:rPr>
                <w:spacing w:val="43"/>
              </w:rPr>
              <w:t xml:space="preserve">  </w:t>
            </w:r>
            <w:r>
              <w:t>购</w:t>
            </w:r>
            <w:r>
              <w:rPr>
                <w:spacing w:val="43"/>
              </w:rPr>
              <w:t xml:space="preserve">  </w:t>
            </w:r>
            <w:r>
              <w:t>需</w:t>
            </w:r>
            <w:r>
              <w:rPr>
                <w:spacing w:val="43"/>
              </w:rPr>
              <w:t xml:space="preserve">  </w:t>
            </w:r>
            <w:r>
              <w:t>求</w:t>
            </w:r>
          </w:p>
        </w:tc>
        <w:tc>
          <w:tcPr>
            <w:tcW w:w="2110" w:type="dxa"/>
            <w:vAlign w:val="top"/>
          </w:tcPr>
          <w:p>
            <w:pPr>
              <w:pStyle w:val="5"/>
              <w:spacing w:before="256" w:line="217" w:lineRule="auto"/>
              <w:ind w:left="1011"/>
            </w:pPr>
            <w:r>
              <w:rPr>
                <w:spacing w:val="21"/>
              </w:rPr>
              <w:t>品名</w:t>
            </w:r>
          </w:p>
        </w:tc>
        <w:tc>
          <w:tcPr>
            <w:tcW w:w="5713" w:type="dxa"/>
            <w:gridSpan w:val="3"/>
            <w:vAlign w:val="top"/>
          </w:tcPr>
          <w:p>
            <w:pPr>
              <w:pStyle w:val="5"/>
              <w:spacing w:before="281" w:line="198" w:lineRule="auto"/>
              <w:ind w:left="1593"/>
            </w:pPr>
            <w:r>
              <w:rPr>
                <w:spacing w:val="1"/>
              </w:rPr>
              <w:t>规格标准需求参数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42" w:line="219" w:lineRule="auto"/>
              <w:ind w:left="108"/>
            </w:pPr>
            <w:r>
              <w:rPr>
                <w:spacing w:val="4"/>
              </w:rPr>
              <w:t>数量</w:t>
            </w:r>
          </w:p>
        </w:tc>
        <w:tc>
          <w:tcPr>
            <w:tcW w:w="1269" w:type="dxa"/>
            <w:vAlign w:val="top"/>
          </w:tcPr>
          <w:p>
            <w:pPr>
              <w:pStyle w:val="5"/>
              <w:spacing w:before="250" w:line="219" w:lineRule="auto"/>
              <w:ind w:left="177"/>
            </w:pPr>
            <w:r>
              <w:rPr>
                <w:spacing w:val="5"/>
              </w:rPr>
              <w:t>供货时间</w:t>
            </w:r>
          </w:p>
        </w:tc>
        <w:tc>
          <w:tcPr>
            <w:tcW w:w="1219" w:type="dxa"/>
            <w:vAlign w:val="top"/>
          </w:tcPr>
          <w:p>
            <w:pPr>
              <w:pStyle w:val="5"/>
              <w:spacing w:before="260" w:line="214" w:lineRule="auto"/>
              <w:ind w:left="128"/>
            </w:pPr>
            <w:r>
              <w:rPr>
                <w:spacing w:val="5"/>
              </w:rPr>
              <w:t>供货地点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53" w:line="220" w:lineRule="auto"/>
              <w:ind w:left="239"/>
            </w:pPr>
            <w:r>
              <w:rPr>
                <w:spacing w:val="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OA办公系统</w:t>
            </w:r>
          </w:p>
        </w:tc>
        <w:tc>
          <w:tcPr>
            <w:tcW w:w="5713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19" w:lineRule="auto"/>
              <w:ind w:left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包含考勤、项目任务、文档管理、记账管理、人力资源管理、人力资源模块、固定资产、无形资产管理、公文管理、差旅费报销、财务报销、月度资金预算、财务记账系统共享、库存管理；（详见附件）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19" w:lineRule="auto"/>
              <w:ind w:left="0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开发完成后可配合甲方进行适应性改造。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  <w:r>
              <w:rPr>
                <w:rFonts w:hint="eastAsia" w:ascii="Arial"/>
                <w:sz w:val="21"/>
                <w:lang w:val="en-US" w:eastAsia="zh-CN"/>
              </w:rPr>
              <w:t>套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依合同约定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依合同约定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699" w:type="dxa"/>
            <w:gridSpan w:val="2"/>
            <w:vAlign w:val="top"/>
          </w:tcPr>
          <w:p>
            <w:pPr>
              <w:pStyle w:val="5"/>
              <w:spacing w:before="255" w:line="379" w:lineRule="exact"/>
              <w:ind w:left="1199"/>
            </w:pPr>
            <w:r>
              <w:rPr>
                <w:spacing w:val="5"/>
                <w:position w:val="10"/>
              </w:rPr>
              <w:t>供应商</w:t>
            </w:r>
          </w:p>
          <w:p>
            <w:pPr>
              <w:pStyle w:val="5"/>
              <w:spacing w:before="1" w:line="217" w:lineRule="auto"/>
              <w:ind w:left="1320"/>
            </w:pPr>
            <w:r>
              <w:rPr>
                <w:spacing w:val="-2"/>
              </w:rPr>
              <w:t>报价</w:t>
            </w:r>
          </w:p>
        </w:tc>
        <w:tc>
          <w:tcPr>
            <w:tcW w:w="9835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费用为</w:t>
            </w:r>
            <w:r>
              <w:rPr>
                <w:rFonts w:hint="eastAsia"/>
                <w:spacing w:val="1"/>
                <w:u w:val="single"/>
                <w:lang w:val="en-US" w:eastAsia="zh-CN"/>
              </w:rPr>
              <w:t xml:space="preserve">  369000  </w:t>
            </w:r>
            <w:r>
              <w:rPr>
                <w:spacing w:val="1"/>
              </w:rPr>
              <w:t>元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含税</w:t>
            </w:r>
            <w:r>
              <w:rPr>
                <w:rFonts w:hint="eastAsia"/>
                <w:spacing w:val="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397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/>
              <w:jc w:val="left"/>
              <w:textAlignment w:val="baseline"/>
            </w:pPr>
            <w:r>
              <w:rPr>
                <w:spacing w:val="5"/>
              </w:rPr>
              <w:t>供应商(加盖印章)</w:t>
            </w:r>
          </w:p>
        </w:tc>
        <w:tc>
          <w:tcPr>
            <w:tcW w:w="34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5" w:leftChars="50"/>
              <w:jc w:val="left"/>
              <w:textAlignment w:val="baseline"/>
            </w:pPr>
            <w:r>
              <w:t>联系人：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5" w:leftChars="50"/>
              <w:jc w:val="left"/>
              <w:textAlignment w:val="baseline"/>
            </w:pPr>
            <w:r>
              <w:t>联系电话：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5" w:leftChars="50"/>
              <w:jc w:val="left"/>
              <w:textAlignment w:val="baseline"/>
            </w:pPr>
            <w:r>
              <w:t>传真：</w:t>
            </w:r>
          </w:p>
        </w:tc>
      </w:tr>
    </w:tbl>
    <w:p>
      <w:pPr>
        <w:spacing w:before="12" w:line="219" w:lineRule="auto"/>
        <w:ind w:left="1323"/>
        <w:rPr>
          <w:rFonts w:ascii="宋体" w:hAnsi="宋体" w:eastAsia="宋体" w:cs="宋体"/>
          <w:spacing w:val="-1"/>
          <w:sz w:val="19"/>
          <w:szCs w:val="19"/>
        </w:rPr>
      </w:pPr>
    </w:p>
    <w:p>
      <w:pPr>
        <w:spacing w:before="12" w:line="219" w:lineRule="auto"/>
        <w:ind w:left="13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备注：请在要求时间内反馈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spacing w:line="275" w:lineRule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附件：</w:t>
      </w:r>
      <w:r>
        <w:rPr>
          <w:rFonts w:hint="eastAsia" w:ascii="宋体" w:hAnsi="宋体" w:cs="宋体"/>
          <w:b/>
          <w:sz w:val="28"/>
          <w:szCs w:val="28"/>
        </w:rPr>
        <w:t>OA功能清单列表</w:t>
      </w:r>
    </w:p>
    <w:tbl>
      <w:tblPr>
        <w:tblStyle w:val="2"/>
        <w:tblpPr w:leftFromText="180" w:rightFromText="180" w:vertAnchor="text" w:horzAnchor="margin" w:tblpXSpec="center" w:tblpY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4971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页面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首页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ogo、名称需更改为合和公司相关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drawing>
                <wp:inline distT="0" distB="0" distL="0" distR="0">
                  <wp:extent cx="682625" cy="245110"/>
                  <wp:effectExtent l="0" t="0" r="3175" b="2540"/>
                  <wp:docPr id="130038365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38365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49" cy="250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CRM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简明CRM，有效管理客户。支持对产品、客户、订单、合同、联系人等进行管理。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客户加产品形成订单，销售人员对客户进行沟通跟进，销售人员对客户进行沟通跟进，合同需要交付和回款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考勤管理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考勤请假报销，支持请假、加班、调休、出差、外出、报销，发布公告等功能。自动签到签退，考勤报表，节假日设置，考勤明细，补录审核，补录审核。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项目任务管理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项目任务，将事情跟踪到底。每人均可创建项目，项目团队管理，多人任务，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子任务，项目文档，看板视图，大纲视图，项目权限控制，批量添加任务，导入导出。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文档管理</w:t>
            </w:r>
          </w:p>
        </w:tc>
        <w:tc>
          <w:tcPr>
            <w:tcW w:w="49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文档管理，知识积累传承。每人都可创建文档库，文档库权限控制，文档分类，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文档权限控制，支持富文本，支持Markdown，多种视图浏览</w:t>
            </w:r>
          </w:p>
        </w:tc>
        <w:tc>
          <w:tcPr>
            <w:tcW w:w="492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记账管理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现金记账，记好第二本帐，现金帐号、借记卡和在线支付，账户信息管理，细分交易类型，导入导出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人力资源管理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对人员部门、工资、津贴、绩效、福利等进行管理，支持导出，支持生成工资。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阿米巴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支持阿米巴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管理后台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支持图形化系统配置管理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集成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支持集成第三方网页应用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首页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增加业务用章、财务资料、餐券使用、外协、采购、供应商入库等审批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增加相应审批，后续可根据变化自行添加新的使用审批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增加门户管理页面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创建统一的信息资源管理门户，员工通过门户快速检索查阅相关的公用文档、公共信息和通知公告等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增加资产管理页面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将资产信息、入库、领用、归还、转交、报修、盘点等进行全流程线上化管理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审批页</w:t>
            </w:r>
          </w:p>
        </w:tc>
        <w:tc>
          <w:tcPr>
            <w:tcW w:w="4971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数据关联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添加发票核验、附件上传功能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自动关联相关应用数据，敏捷变更业务流程，自动化流程执行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审批设置页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自定义审批内容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无需代码开发，管理员可根据需求自行设置审批提交物料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人力资源模块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“人力资源”二次加密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“人力资源模块”设置进入密码，有单独人力模块管理员权限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“人力资源模块”按序添加不同类别工作板块</w:t>
            </w:r>
          </w:p>
        </w:tc>
        <w:tc>
          <w:tcPr>
            <w:tcW w:w="4924" w:type="dxa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bdr w:val="single" w:color="000000" w:sz="4" w:space="0"/>
                <w:shd w:val="clear" w:color="auto" w:fill="FFFF0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337185</wp:posOffset>
                  </wp:positionV>
                  <wp:extent cx="2653030" cy="232410"/>
                  <wp:effectExtent l="0" t="0" r="13970" b="15240"/>
                  <wp:wrapNone/>
                  <wp:docPr id="1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1、“员工关系板块”功能：增加基础信息页面，填写以下字段：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其中，合同栏多留几行，以备后续有变更信息需录入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考勤模块放在“人力资源”下</w:t>
            </w:r>
          </w:p>
        </w:tc>
        <w:tc>
          <w:tcPr>
            <w:tcW w:w="4924" w:type="dxa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bdr w:val="single" w:color="000000" w:sz="4" w:space="0"/>
                <w:shd w:val="clear" w:color="auto" w:fill="FFFF0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294640</wp:posOffset>
                  </wp:positionV>
                  <wp:extent cx="2427605" cy="189230"/>
                  <wp:effectExtent l="0" t="0" r="10795" b="1270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2、考勤模块功能：增加考勤各种请假类型：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“人力资源模块”添加绩效管理功能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default"/>
                <w:sz w:val="18"/>
                <w:szCs w:val="18"/>
                <w:lang w:bidi="ar"/>
              </w:rPr>
              <w:t>3、“绩效考核板块”，增加提交及反馈功能：设置提交总结报告，或上传总结报告</w:t>
            </w:r>
            <w:r>
              <w:rPr>
                <w:rStyle w:val="7"/>
                <w:sz w:val="18"/>
                <w:szCs w:val="18"/>
                <w:lang w:bidi="ar"/>
              </w:rPr>
              <w:t>→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设置审批链→审批完成归档→绩效反馈时，人力可再次激活已归档的考核，返回考核人点击“确认，无异议”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“人力资源模块”添加薪酬管理功能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4-1、“薪酬板块”，增加定、调薪功能，可以适时维护员工薪酬调整的情况与记录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4-2、薪资维护项目根据公司实际情况，管理员可自行增减项目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“人力资源模块”添加干部管理功能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5、“干部管理板块”，增加上传干部任免文件功能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“人力资源模块”添加培训管理功能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6、“培训管理板块”，增加建立培训班、上传培训资料相关功能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“人力资源模块”添加离职管理功能</w:t>
            </w:r>
          </w:p>
        </w:tc>
        <w:tc>
          <w:tcPr>
            <w:tcW w:w="4924" w:type="dxa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bdr w:val="single" w:color="000000" w:sz="4" w:space="0"/>
                <w:shd w:val="clear" w:color="auto" w:fill="FFFF0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354330</wp:posOffset>
                  </wp:positionV>
                  <wp:extent cx="2423795" cy="361950"/>
                  <wp:effectExtent l="0" t="0" r="14605" b="0"/>
                  <wp:wrapNone/>
                  <wp:docPr id="1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7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“离职管理板块”，增加相关信息页面，填写以下字段：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固定资产、无形资产管理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1、固定资产、无形资产采购需求提请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2、固定资产、无形资产验收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3、固定资产、无形资产入账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4、固定资产、无形资产领用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5、固定资产、无形资产转接或退回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default"/>
                <w:sz w:val="18"/>
                <w:szCs w:val="18"/>
                <w:lang w:bidi="ar"/>
              </w:rPr>
              <w:t>1、各类审批需根据采购金额判断审批流，如：固定资产添置金额</w:t>
            </w:r>
            <w:r>
              <w:rPr>
                <w:rStyle w:val="8"/>
                <w:sz w:val="18"/>
                <w:szCs w:val="18"/>
                <w:lang w:bidi="ar"/>
              </w:rPr>
              <w:t>&lt;</w:t>
            </w:r>
            <w:r>
              <w:rPr>
                <w:rStyle w:val="7"/>
                <w:sz w:val="18"/>
                <w:szCs w:val="18"/>
                <w:lang w:bidi="ar"/>
              </w:rPr>
              <w:t>5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万元分管领导审批即可；5万元</w:t>
            </w:r>
            <w:r>
              <w:rPr>
                <w:rStyle w:val="7"/>
                <w:sz w:val="18"/>
                <w:szCs w:val="18"/>
                <w:lang w:bidi="ar"/>
              </w:rPr>
              <w:t>≤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固定资产添置金额&lt;50万元分管领导及总经理审批共同审批。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2、管理人员可查看员工所持有固定资产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3、所有申请及审批可打印-最终人工归档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公文管理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1、发文、发文稿纸、套红打印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发文稿纸格式固定，内容可编辑，可流程审批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2、发文小样根据套红确定格式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1、公文发文正文可撰写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2、发文稿纸格式固定，内容可编辑，部门内容可提供选择，流程有审批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3、发文小样根据套红确定格式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4、被抄送具体部门或人能见发文，并能反馈，如：“已传达给部门人员”或“已阅”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5、所有已阅、签字及反馈内容及时间可显示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6、小样可套红打印、发文稿纸可打印、已阅反馈内容可打印-最终人工归档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差旅费报销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1、出差申请审批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2、差旅服务商链接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3、差旅费用报销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1、差旅申请时间与目的地可选择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2、食宿费用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可根据员工职级判断标准并提示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3、差旅费用报销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①可实现PC端文件上传和手机端上传两种方式上传原始单据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②可实现发票真伪可查验、发票重复报销可查验及提示，单据上传页面金额可自动加计求和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③可根据员工差旅申请及行程单据自动引报销行程，行程可修改，行程需内置供选择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④报销单据页面有各单项求和功能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⑤如果选择超标准可自动匹配提级审批流程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⑥财务初审环节可更改单据</w:t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18"/>
                <w:szCs w:val="18"/>
                <w:lang w:bidi="ar"/>
              </w:rPr>
              <w:t>4、所有单据可打印-最终人工归档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财务报销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1、除差旅费其他报销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2、超期报销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1、可实现发票真伪可查验、发票重复报销可查验及提示，单据上传页面金额可自动加计求和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2、可根据发票日期判断超期，自动匹配提级审批流程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3、财务初审环节可更改单据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4、所有单据可打印-最终人工归档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月度资金预算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1、资金预算发布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2、资金预算办理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3、资金预算审批</w:t>
            </w:r>
            <w:bookmarkStart w:id="0" w:name="_GoBack"/>
            <w:bookmarkEnd w:id="0"/>
          </w:p>
        </w:tc>
        <w:tc>
          <w:tcPr>
            <w:tcW w:w="4924" w:type="dxa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1、资金预算发布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①、财务人员可编辑资金预算表格及上报时间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②、可实现选择具体部门或具体人员阅办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③、可实现首页提示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2、资金预算办理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①、阅办人员可编辑资金预算表格增减行及数据填报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②、填报数据可自动求和汇总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3、资金预算审批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①、审批人员同意或不同意可填写具体原因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4、临期或过期首页及办理页有提示功能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5、所有单据可打印-最终人工归档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财务记账系统共享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自动生成凭证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通过报销系统操作生成财务信息凭证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20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库存管理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办公用品库存管理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产品库存管理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公司办公用品验收、入库、出库、库存管理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公司产品生产、制作、验收、入库、出库、销售管理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共性需求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共性需求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所有流程添加“抄送记录”，并设置抄送流；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所有审批节点可自行添加；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可自行添加新的线上类目并设置新的审批流；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全部审批流可导出。</w:t>
            </w:r>
          </w:p>
        </w:tc>
      </w:tr>
    </w:tbl>
    <w:p>
      <w:pPr>
        <w:spacing w:line="564" w:lineRule="exact"/>
        <w:ind w:left="0" w:leftChars="0" w:firstLine="0" w:firstLineChars="0"/>
        <w:jc w:val="both"/>
      </w:pPr>
    </w:p>
    <w:sectPr>
      <w:pgSz w:w="16030" w:h="12490"/>
      <w:pgMar w:top="1281" w:right="1765" w:bottom="0" w:left="16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F2035"/>
    <w:multiLevelType w:val="singleLevel"/>
    <w:tmpl w:val="086F2035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2FDA7344"/>
    <w:multiLevelType w:val="singleLevel"/>
    <w:tmpl w:val="2FDA73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jAwOTNhNTE0ZWI1ODRmOGQ2NmQxZjA1YTIwYzQxMjAifQ=="/>
  </w:docVars>
  <w:rsids>
    <w:rsidRoot w:val="00000000"/>
    <w:rsid w:val="070E5AE1"/>
    <w:rsid w:val="224103D0"/>
    <w:rsid w:val="237F3DEA"/>
    <w:rsid w:val="23AB2B2B"/>
    <w:rsid w:val="28CC09C0"/>
    <w:rsid w:val="37786A2D"/>
    <w:rsid w:val="3CF556C2"/>
    <w:rsid w:val="4F6846FF"/>
    <w:rsid w:val="666630C3"/>
    <w:rsid w:val="69661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6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61"/>
    <w:basedOn w:val="3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284</Words>
  <Characters>299</Characters>
  <TotalTime>0</TotalTime>
  <ScaleCrop>false</ScaleCrop>
  <LinksUpToDate>false</LinksUpToDate>
  <CharactersWithSpaces>326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2024-04-29T12:00:00Z</dcterms:created>
  <dc:creator>Lenovo</dc:creator>
  <cp:lastModifiedBy>lzychn</cp:lastModifiedBy>
  <dcterms:modified xsi:type="dcterms:W3CDTF">2024-05-11T06:17:05Z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2024-04-29T12:00:06Z</vt:filetime>
  </property>
  <property fmtid="{D5CDD505-2E9C-101B-9397-08002B2CF9AE}" pid="4" name="UsrData">
    <vt:lpwstr>662f1b43ed990a001fa01b36wl</vt:lpwstr>
  </property>
  <property fmtid="{D5CDD505-2E9C-101B-9397-08002B2CF9AE}" pid="5" name="KSOProductBuildVer">
    <vt:lpwstr>2052-12.1.0.16910</vt:lpwstr>
  </property>
  <property fmtid="{D5CDD505-2E9C-101B-9397-08002B2CF9AE}" pid="6" name="ICV">
    <vt:lpwstr>F3DFFD43A1AF4C9DA5E6521F55408B32_12</vt:lpwstr>
  </property>
</Properties>
</file>