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r>
        <w:rPr>
          <w:rFonts w:hint="eastAsia"/>
        </w:rPr>
        <w:t xml:space="preserve"> </w:t>
      </w:r>
    </w:p>
    <w:p>
      <w:pPr>
        <w:ind w:firstLine="0" w:firstLineChars="0"/>
      </w:pPr>
    </w:p>
    <w:p>
      <w:pPr>
        <w:ind w:firstLine="0" w:firstLineChars="0"/>
      </w:pPr>
    </w:p>
    <w:p>
      <w:pPr>
        <w:ind w:firstLine="0" w:firstLineChars="0"/>
      </w:pPr>
    </w:p>
    <w:p>
      <w:pPr>
        <w:ind w:firstLine="0" w:firstLineChars="0"/>
      </w:pPr>
    </w:p>
    <w:p>
      <w:pPr>
        <w:pStyle w:val="41"/>
        <w:rPr>
          <w:rFonts w:ascii="方正小标宋简体" w:hAnsi="宋体" w:eastAsia="方正小标宋简体"/>
          <w:color w:val="000000"/>
          <w:sz w:val="72"/>
          <w:szCs w:val="72"/>
        </w:rPr>
      </w:pPr>
      <w:r>
        <w:rPr>
          <w:rFonts w:hint="eastAsia" w:ascii="方正小标宋简体" w:hAnsi="宋体" w:eastAsia="方正小标宋简体"/>
          <w:color w:val="000000"/>
          <w:sz w:val="72"/>
          <w:szCs w:val="72"/>
        </w:rPr>
        <w:t>202</w:t>
      </w:r>
      <w:r>
        <w:rPr>
          <w:rFonts w:hint="eastAsia" w:ascii="方正小标宋简体" w:hAnsi="宋体" w:eastAsia="方正小标宋简体"/>
          <w:color w:val="000000"/>
          <w:sz w:val="72"/>
          <w:szCs w:val="72"/>
          <w:lang w:val="en-US" w:eastAsia="zh-CN"/>
        </w:rPr>
        <w:t>3</w:t>
      </w:r>
      <w:r>
        <w:rPr>
          <w:rFonts w:hint="eastAsia" w:ascii="方正小标宋简体" w:hAnsi="宋体" w:eastAsia="方正小标宋简体"/>
          <w:color w:val="000000"/>
          <w:sz w:val="72"/>
          <w:szCs w:val="72"/>
        </w:rPr>
        <w:t>年</w:t>
      </w:r>
      <w:r>
        <w:rPr>
          <w:rFonts w:hint="eastAsia" w:ascii="方正小标宋简体" w:hAnsi="宋体" w:eastAsia="方正小标宋简体"/>
          <w:color w:val="000000"/>
          <w:sz w:val="72"/>
          <w:szCs w:val="72"/>
          <w:lang w:val="en-US" w:eastAsia="zh-CN"/>
        </w:rPr>
        <w:t>9</w:t>
      </w:r>
      <w:r>
        <w:rPr>
          <w:rFonts w:hint="eastAsia" w:ascii="方正小标宋简体" w:hAnsi="宋体" w:eastAsia="方正小标宋简体"/>
          <w:color w:val="000000"/>
          <w:sz w:val="72"/>
          <w:szCs w:val="72"/>
        </w:rPr>
        <w:t>月IT运维服务台</w:t>
      </w:r>
    </w:p>
    <w:p>
      <w:pPr>
        <w:pStyle w:val="41"/>
        <w:rPr>
          <w:rFonts w:hint="eastAsia" w:eastAsia="方正小标宋简体"/>
          <w:sz w:val="72"/>
          <w:szCs w:val="72"/>
          <w:lang w:eastAsia="zh-CN"/>
        </w:rPr>
      </w:pPr>
      <w:r>
        <w:rPr>
          <w:rFonts w:hint="eastAsia" w:ascii="方正小标宋简体" w:hAnsi="宋体" w:eastAsia="方正小标宋简体"/>
          <w:color w:val="000000"/>
          <w:sz w:val="72"/>
          <w:szCs w:val="72"/>
        </w:rPr>
        <w:t>运行</w:t>
      </w:r>
      <w:r>
        <w:rPr>
          <w:rFonts w:hint="eastAsia" w:ascii="方正小标宋简体" w:hAnsi="宋体" w:eastAsia="方正小标宋简体"/>
          <w:color w:val="000000"/>
          <w:sz w:val="72"/>
          <w:szCs w:val="72"/>
          <w:lang w:eastAsia="zh-CN"/>
        </w:rPr>
        <w:t>汇报</w:t>
      </w:r>
    </w:p>
    <w:p>
      <w:pPr>
        <w:ind w:firstLine="0" w:firstLineChars="0"/>
      </w:pPr>
    </w:p>
    <w:p>
      <w:pPr>
        <w:ind w:firstLine="0" w:firstLineChars="0"/>
      </w:pPr>
    </w:p>
    <w:p>
      <w:pPr>
        <w:ind w:firstLine="0" w:firstLineChars="0"/>
      </w:pPr>
    </w:p>
    <w:p>
      <w:pPr>
        <w:ind w:firstLine="0" w:firstLineChars="0"/>
      </w:pPr>
    </w:p>
    <w:p>
      <w:pPr>
        <w:ind w:firstLine="0" w:firstLineChars="0"/>
        <w:jc w:val="center"/>
      </w:pPr>
      <w:r>
        <w:drawing>
          <wp:inline distT="0" distB="0" distL="0" distR="0">
            <wp:extent cx="1303655" cy="1167130"/>
            <wp:effectExtent l="0" t="0" r="10795"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2" cstate="print"/>
                    <a:srcRect/>
                    <a:stretch>
                      <a:fillRect/>
                    </a:stretch>
                  </pic:blipFill>
                  <pic:spPr>
                    <a:xfrm>
                      <a:off x="0" y="0"/>
                      <a:ext cx="1303655" cy="1167130"/>
                    </a:xfrm>
                    <a:prstGeom prst="rect">
                      <a:avLst/>
                    </a:prstGeom>
                    <a:noFill/>
                    <a:ln w="9525">
                      <a:noFill/>
                      <a:miter lim="800000"/>
                      <a:headEnd/>
                      <a:tailEnd/>
                    </a:ln>
                  </pic:spPr>
                </pic:pic>
              </a:graphicData>
            </a:graphic>
          </wp:inline>
        </w:drawing>
      </w:r>
    </w:p>
    <w:p>
      <w:pPr>
        <w:ind w:firstLine="3480" w:firstLineChars="1450"/>
        <w:jc w:val="center"/>
      </w:pPr>
    </w:p>
    <w:p>
      <w:pPr>
        <w:ind w:firstLine="3480" w:firstLineChars="1450"/>
      </w:pPr>
    </w:p>
    <w:p>
      <w:pPr>
        <w:ind w:firstLine="3480" w:firstLineChars="1450"/>
      </w:pPr>
    </w:p>
    <w:p>
      <w:pPr>
        <w:ind w:firstLine="3480" w:firstLineChars="1450"/>
      </w:pPr>
    </w:p>
    <w:p>
      <w:pPr>
        <w:ind w:firstLine="3480" w:firstLineChars="1450"/>
      </w:pPr>
    </w:p>
    <w:p>
      <w:pPr>
        <w:ind w:firstLine="3480" w:firstLineChars="1450"/>
      </w:pPr>
    </w:p>
    <w:p>
      <w:pPr>
        <w:ind w:firstLine="3480" w:firstLineChars="1450"/>
      </w:pPr>
    </w:p>
    <w:p>
      <w:pPr>
        <w:ind w:firstLine="3480" w:firstLineChars="1450"/>
      </w:pPr>
    </w:p>
    <w:p>
      <w:pPr>
        <w:ind w:firstLine="3480" w:firstLineChars="1450"/>
      </w:pPr>
    </w:p>
    <w:p>
      <w:pPr>
        <w:ind w:firstLine="0" w:firstLineChars="0"/>
      </w:pPr>
    </w:p>
    <w:p>
      <w:pPr>
        <w:ind w:firstLine="0" w:firstLineChars="0"/>
      </w:pPr>
    </w:p>
    <w:p>
      <w:pPr>
        <w:ind w:firstLine="0" w:firstLineChars="0"/>
        <w:rPr>
          <w:b/>
          <w:bCs/>
          <w:sz w:val="30"/>
          <w:szCs w:val="30"/>
        </w:rPr>
      </w:pPr>
    </w:p>
    <w:sdt>
      <w:sdtPr>
        <w:rPr>
          <w:rFonts w:ascii="宋体" w:hAnsi="宋体" w:eastAsia="宋体" w:cs="Times New Roman"/>
          <w:kern w:val="2"/>
          <w:sz w:val="21"/>
          <w:szCs w:val="24"/>
          <w:lang w:val="en-US" w:eastAsia="zh-CN" w:bidi="ar-SA"/>
        </w:rPr>
        <w:id w:val="147472509"/>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8"/>
            <w:tabs>
              <w:tab w:val="right" w:leader="dot" w:pos="10204"/>
            </w:tabs>
            <w:rPr>
              <w:b/>
            </w:rPr>
          </w:pPr>
          <w:r>
            <w:fldChar w:fldCharType="begin"/>
          </w:r>
          <w:r>
            <w:instrText xml:space="preserve">TOC \o "1-2" \h \u </w:instrText>
          </w:r>
          <w:r>
            <w:fldChar w:fldCharType="separate"/>
          </w:r>
          <w:r>
            <w:rPr>
              <w:b/>
            </w:rPr>
            <w:fldChar w:fldCharType="begin"/>
          </w:r>
          <w:r>
            <w:rPr>
              <w:b/>
            </w:rPr>
            <w:instrText xml:space="preserve"> HYPERLINK \l _Toc31878 </w:instrText>
          </w:r>
          <w:r>
            <w:rPr>
              <w:b/>
            </w:rPr>
            <w:fldChar w:fldCharType="separate"/>
          </w:r>
          <w:r>
            <w:rPr>
              <w:rFonts w:hint="default" w:ascii="Verdana" w:hAnsi="Verdana" w:eastAsia="华文中宋"/>
              <w:b/>
              <w:lang w:val="en-US"/>
            </w:rPr>
            <w:t xml:space="preserve">第一章 </w:t>
          </w:r>
          <w:r>
            <w:rPr>
              <w:rFonts w:hint="eastAsia"/>
              <w:b/>
            </w:rPr>
            <w:t>日常维护</w:t>
          </w:r>
          <w:r>
            <w:rPr>
              <w:rFonts w:hint="eastAsia"/>
              <w:b/>
              <w:lang w:eastAsia="zh-CN"/>
            </w:rPr>
            <w:t>服务</w:t>
          </w:r>
          <w:r>
            <w:rPr>
              <w:b/>
            </w:rPr>
            <w:tab/>
          </w:r>
          <w:r>
            <w:rPr>
              <w:b/>
            </w:rPr>
            <w:fldChar w:fldCharType="begin"/>
          </w:r>
          <w:r>
            <w:rPr>
              <w:b/>
            </w:rPr>
            <w:instrText xml:space="preserve"> PAGEREF _Toc31878 \h </w:instrText>
          </w:r>
          <w:r>
            <w:rPr>
              <w:b/>
            </w:rPr>
            <w:fldChar w:fldCharType="separate"/>
          </w:r>
          <w:r>
            <w:rPr>
              <w:b/>
            </w:rPr>
            <w:t>3</w:t>
          </w:r>
          <w:r>
            <w:rPr>
              <w:b/>
            </w:rPr>
            <w:fldChar w:fldCharType="end"/>
          </w:r>
          <w:r>
            <w:rPr>
              <w:b/>
            </w:rPr>
            <w:fldChar w:fldCharType="end"/>
          </w:r>
        </w:p>
        <w:p>
          <w:pPr>
            <w:pStyle w:val="89"/>
            <w:tabs>
              <w:tab w:val="right" w:leader="dot" w:pos="10204"/>
            </w:tabs>
          </w:pPr>
          <w:r>
            <w:fldChar w:fldCharType="begin"/>
          </w:r>
          <w:r>
            <w:instrText xml:space="preserve"> HYPERLINK \l _Toc16302 </w:instrText>
          </w:r>
          <w:r>
            <w:fldChar w:fldCharType="separate"/>
          </w:r>
          <w:r>
            <w:rPr>
              <w:rFonts w:hint="eastAsia"/>
            </w:rPr>
            <w:t>1.1 服务台设备维护</w:t>
          </w:r>
          <w:r>
            <w:tab/>
          </w:r>
          <w:r>
            <w:fldChar w:fldCharType="begin"/>
          </w:r>
          <w:r>
            <w:instrText xml:space="preserve"> PAGEREF _Toc16302 \h </w:instrText>
          </w:r>
          <w:r>
            <w:fldChar w:fldCharType="separate"/>
          </w:r>
          <w:r>
            <w:t>3</w:t>
          </w:r>
          <w:r>
            <w:fldChar w:fldCharType="end"/>
          </w:r>
          <w:r>
            <w:fldChar w:fldCharType="end"/>
          </w:r>
        </w:p>
        <w:p>
          <w:pPr>
            <w:pStyle w:val="89"/>
            <w:tabs>
              <w:tab w:val="right" w:leader="dot" w:pos="10204"/>
            </w:tabs>
          </w:pPr>
          <w:r>
            <w:fldChar w:fldCharType="begin"/>
          </w:r>
          <w:r>
            <w:instrText xml:space="preserve"> HYPERLINK \l _Toc288 </w:instrText>
          </w:r>
          <w:r>
            <w:fldChar w:fldCharType="separate"/>
          </w:r>
          <w:r>
            <w:rPr>
              <w:rFonts w:hint="eastAsia"/>
            </w:rPr>
            <w:t>1.2 业务流程维护</w:t>
          </w:r>
          <w:r>
            <w:tab/>
          </w:r>
          <w:r>
            <w:fldChar w:fldCharType="begin"/>
          </w:r>
          <w:r>
            <w:instrText xml:space="preserve"> PAGEREF _Toc288 \h </w:instrText>
          </w:r>
          <w:r>
            <w:fldChar w:fldCharType="separate"/>
          </w:r>
          <w:r>
            <w:t>4</w:t>
          </w:r>
          <w:r>
            <w:fldChar w:fldCharType="end"/>
          </w:r>
          <w:r>
            <w:fldChar w:fldCharType="end"/>
          </w:r>
        </w:p>
        <w:p>
          <w:pPr>
            <w:pStyle w:val="89"/>
            <w:tabs>
              <w:tab w:val="right" w:leader="dot" w:pos="10204"/>
            </w:tabs>
          </w:pPr>
          <w:r>
            <w:fldChar w:fldCharType="begin"/>
          </w:r>
          <w:r>
            <w:instrText xml:space="preserve"> HYPERLINK \l _Toc700 </w:instrText>
          </w:r>
          <w:r>
            <w:fldChar w:fldCharType="separate"/>
          </w:r>
          <w:r>
            <w:rPr>
              <w:rFonts w:hint="eastAsia"/>
              <w:lang w:val="en-US" w:eastAsia="zh-CN"/>
            </w:rPr>
            <w:t>1.3 业务接口维护</w:t>
          </w:r>
          <w:r>
            <w:tab/>
          </w:r>
          <w:r>
            <w:fldChar w:fldCharType="begin"/>
          </w:r>
          <w:r>
            <w:instrText xml:space="preserve"> PAGEREF _Toc700 \h </w:instrText>
          </w:r>
          <w:r>
            <w:fldChar w:fldCharType="separate"/>
          </w:r>
          <w:r>
            <w:t>5</w:t>
          </w:r>
          <w:r>
            <w:fldChar w:fldCharType="end"/>
          </w:r>
          <w:r>
            <w:fldChar w:fldCharType="end"/>
          </w:r>
        </w:p>
        <w:p>
          <w:pPr>
            <w:pStyle w:val="89"/>
            <w:tabs>
              <w:tab w:val="right" w:leader="dot" w:pos="10204"/>
            </w:tabs>
          </w:pPr>
          <w:r>
            <w:fldChar w:fldCharType="begin"/>
          </w:r>
          <w:r>
            <w:instrText xml:space="preserve"> HYPERLINK \l _Toc14337 </w:instrText>
          </w:r>
          <w:r>
            <w:fldChar w:fldCharType="separate"/>
          </w:r>
          <w:r>
            <w:rPr>
              <w:rFonts w:hint="eastAsia"/>
              <w:lang w:val="en-US" w:eastAsia="zh-CN"/>
            </w:rPr>
            <w:t>1.4 其他功能维护</w:t>
          </w:r>
          <w:r>
            <w:tab/>
          </w:r>
          <w:r>
            <w:fldChar w:fldCharType="begin"/>
          </w:r>
          <w:r>
            <w:instrText xml:space="preserve"> PAGEREF _Toc14337 \h </w:instrText>
          </w:r>
          <w:r>
            <w:fldChar w:fldCharType="separate"/>
          </w:r>
          <w:r>
            <w:t>5</w:t>
          </w:r>
          <w:r>
            <w:fldChar w:fldCharType="end"/>
          </w:r>
          <w:r>
            <w:fldChar w:fldCharType="end"/>
          </w:r>
        </w:p>
        <w:p>
          <w:pPr>
            <w:pStyle w:val="89"/>
            <w:tabs>
              <w:tab w:val="right" w:leader="dot" w:pos="10204"/>
            </w:tabs>
          </w:pPr>
          <w:r>
            <w:fldChar w:fldCharType="begin"/>
          </w:r>
          <w:r>
            <w:instrText xml:space="preserve"> HYPERLINK \l _Toc1559 </w:instrText>
          </w:r>
          <w:r>
            <w:fldChar w:fldCharType="separate"/>
          </w:r>
          <w:r>
            <w:rPr>
              <w:rFonts w:hint="eastAsia"/>
              <w:lang w:val="en-US" w:eastAsia="zh-CN"/>
            </w:rPr>
            <w:t>1.5 调整办公电话导流功能</w:t>
          </w:r>
          <w:r>
            <w:tab/>
          </w:r>
          <w:r>
            <w:fldChar w:fldCharType="begin"/>
          </w:r>
          <w:r>
            <w:instrText xml:space="preserve"> PAGEREF _Toc1559 \h </w:instrText>
          </w:r>
          <w:r>
            <w:fldChar w:fldCharType="separate"/>
          </w:r>
          <w:r>
            <w:t>5</w:t>
          </w:r>
          <w:r>
            <w:fldChar w:fldCharType="end"/>
          </w:r>
          <w:r>
            <w:fldChar w:fldCharType="end"/>
          </w:r>
        </w:p>
        <w:p>
          <w:pPr>
            <w:pStyle w:val="89"/>
            <w:tabs>
              <w:tab w:val="right" w:leader="dot" w:pos="10204"/>
            </w:tabs>
          </w:pPr>
          <w:r>
            <w:fldChar w:fldCharType="begin"/>
          </w:r>
          <w:r>
            <w:instrText xml:space="preserve"> HYPERLINK \l _Toc15768 </w:instrText>
          </w:r>
          <w:r>
            <w:fldChar w:fldCharType="separate"/>
          </w:r>
          <w:r>
            <w:rPr>
              <w:rFonts w:hint="eastAsia"/>
              <w:lang w:val="en-US" w:eastAsia="zh-CN"/>
            </w:rPr>
            <w:t>1.6 系统功能完善</w:t>
          </w:r>
          <w:r>
            <w:tab/>
          </w:r>
          <w:r>
            <w:fldChar w:fldCharType="begin"/>
          </w:r>
          <w:r>
            <w:instrText xml:space="preserve"> PAGEREF _Toc15768 \h </w:instrText>
          </w:r>
          <w:r>
            <w:fldChar w:fldCharType="separate"/>
          </w:r>
          <w:r>
            <w:t>7</w:t>
          </w:r>
          <w:r>
            <w:fldChar w:fldCharType="end"/>
          </w:r>
          <w:r>
            <w:fldChar w:fldCharType="end"/>
          </w:r>
        </w:p>
        <w:p>
          <w:pPr>
            <w:pStyle w:val="89"/>
            <w:tabs>
              <w:tab w:val="right" w:leader="dot" w:pos="10204"/>
            </w:tabs>
          </w:pPr>
          <w:r>
            <w:fldChar w:fldCharType="begin"/>
          </w:r>
          <w:r>
            <w:instrText xml:space="preserve"> HYPERLINK \l _Toc12155 </w:instrText>
          </w:r>
          <w:r>
            <w:fldChar w:fldCharType="separate"/>
          </w:r>
          <w:r>
            <w:rPr>
              <w:rFonts w:hint="eastAsia"/>
              <w:lang w:val="en-US" w:eastAsia="zh-CN"/>
            </w:rPr>
            <w:t>1.7 各类问题处理</w:t>
          </w:r>
          <w:r>
            <w:tab/>
          </w:r>
          <w:r>
            <w:fldChar w:fldCharType="begin"/>
          </w:r>
          <w:r>
            <w:instrText xml:space="preserve"> PAGEREF _Toc12155 \h </w:instrText>
          </w:r>
          <w:r>
            <w:fldChar w:fldCharType="separate"/>
          </w:r>
          <w:r>
            <w:t>8</w:t>
          </w:r>
          <w:r>
            <w:fldChar w:fldCharType="end"/>
          </w:r>
          <w:r>
            <w:fldChar w:fldCharType="end"/>
          </w:r>
        </w:p>
        <w:p>
          <w:pPr>
            <w:pStyle w:val="89"/>
            <w:tabs>
              <w:tab w:val="right" w:leader="dot" w:pos="10204"/>
            </w:tabs>
          </w:pPr>
          <w:r>
            <w:fldChar w:fldCharType="begin"/>
          </w:r>
          <w:r>
            <w:instrText xml:space="preserve"> HYPERLINK \l _Toc22418 </w:instrText>
          </w:r>
          <w:r>
            <w:fldChar w:fldCharType="separate"/>
          </w:r>
          <w:r>
            <w:rPr>
              <w:rFonts w:hint="eastAsia"/>
            </w:rPr>
            <w:t xml:space="preserve">1.8 </w:t>
          </w:r>
          <w:r>
            <w:rPr>
              <w:rFonts w:hint="eastAsia"/>
              <w:lang w:val="en-US" w:eastAsia="zh-CN"/>
            </w:rPr>
            <w:t>ITIM综合运维管理平台培训</w:t>
          </w:r>
          <w:r>
            <w:tab/>
          </w:r>
          <w:r>
            <w:fldChar w:fldCharType="begin"/>
          </w:r>
          <w:r>
            <w:instrText xml:space="preserve"> PAGEREF _Toc22418 \h </w:instrText>
          </w:r>
          <w:r>
            <w:fldChar w:fldCharType="separate"/>
          </w:r>
          <w:r>
            <w:t>9</w:t>
          </w:r>
          <w:r>
            <w:fldChar w:fldCharType="end"/>
          </w:r>
          <w:r>
            <w:fldChar w:fldCharType="end"/>
          </w:r>
        </w:p>
        <w:p>
          <w:pPr>
            <w:pStyle w:val="89"/>
            <w:tabs>
              <w:tab w:val="right" w:leader="dot" w:pos="10204"/>
            </w:tabs>
          </w:pPr>
          <w:r>
            <w:fldChar w:fldCharType="begin"/>
          </w:r>
          <w:r>
            <w:instrText xml:space="preserve"> HYPERLINK \l _Toc20795 </w:instrText>
          </w:r>
          <w:r>
            <w:fldChar w:fldCharType="separate"/>
          </w:r>
          <w:r>
            <w:rPr>
              <w:rFonts w:hint="eastAsia"/>
              <w:lang w:val="en-US" w:eastAsia="zh-CN"/>
            </w:rPr>
            <w:t>1.9 信息安全工作支持</w:t>
          </w:r>
          <w:r>
            <w:tab/>
          </w:r>
          <w:r>
            <w:fldChar w:fldCharType="begin"/>
          </w:r>
          <w:r>
            <w:instrText xml:space="preserve"> PAGEREF _Toc20795 \h </w:instrText>
          </w:r>
          <w:r>
            <w:fldChar w:fldCharType="separate"/>
          </w:r>
          <w:r>
            <w:t>9</w:t>
          </w:r>
          <w:r>
            <w:fldChar w:fldCharType="end"/>
          </w:r>
          <w:r>
            <w:fldChar w:fldCharType="end"/>
          </w:r>
        </w:p>
        <w:p>
          <w:pPr>
            <w:pStyle w:val="88"/>
            <w:tabs>
              <w:tab w:val="right" w:leader="dot" w:pos="10204"/>
            </w:tabs>
            <w:rPr>
              <w:b/>
            </w:rPr>
          </w:pPr>
          <w:r>
            <w:rPr>
              <w:b/>
            </w:rPr>
            <w:fldChar w:fldCharType="begin"/>
          </w:r>
          <w:r>
            <w:rPr>
              <w:b/>
            </w:rPr>
            <w:instrText xml:space="preserve"> HYPERLINK \l _Toc3304 </w:instrText>
          </w:r>
          <w:r>
            <w:rPr>
              <w:b/>
            </w:rPr>
            <w:fldChar w:fldCharType="separate"/>
          </w:r>
          <w:r>
            <w:rPr>
              <w:rFonts w:hint="default" w:ascii="Verdana" w:hAnsi="Verdana" w:eastAsia="华文中宋"/>
              <w:b/>
              <w:lang w:val="en-US" w:eastAsia="zh-CN"/>
            </w:rPr>
            <w:t xml:space="preserve">第二章 </w:t>
          </w:r>
          <w:r>
            <w:rPr>
              <w:rFonts w:hint="eastAsia" w:eastAsia="宋体"/>
              <w:b/>
              <w:lang w:val="en-US" w:eastAsia="zh-CN"/>
            </w:rPr>
            <w:t>2023年9月各系统运维分析报告</w:t>
          </w:r>
          <w:r>
            <w:rPr>
              <w:b/>
            </w:rPr>
            <w:tab/>
          </w:r>
          <w:r>
            <w:rPr>
              <w:b/>
            </w:rPr>
            <w:fldChar w:fldCharType="begin"/>
          </w:r>
          <w:r>
            <w:rPr>
              <w:b/>
            </w:rPr>
            <w:instrText xml:space="preserve"> PAGEREF _Toc3304 \h </w:instrText>
          </w:r>
          <w:r>
            <w:rPr>
              <w:b/>
            </w:rPr>
            <w:fldChar w:fldCharType="separate"/>
          </w:r>
          <w:r>
            <w:rPr>
              <w:b/>
            </w:rPr>
            <w:t>9</w:t>
          </w:r>
          <w:r>
            <w:rPr>
              <w:b/>
            </w:rPr>
            <w:fldChar w:fldCharType="end"/>
          </w:r>
          <w:r>
            <w:rPr>
              <w:b/>
            </w:rPr>
            <w:fldChar w:fldCharType="end"/>
          </w:r>
        </w:p>
        <w:p>
          <w:pPr>
            <w:pStyle w:val="89"/>
            <w:tabs>
              <w:tab w:val="right" w:leader="dot" w:pos="10204"/>
            </w:tabs>
          </w:pPr>
          <w:r>
            <w:fldChar w:fldCharType="begin"/>
          </w:r>
          <w:r>
            <w:instrText xml:space="preserve"> HYPERLINK \l _Toc9364 </w:instrText>
          </w:r>
          <w:r>
            <w:fldChar w:fldCharType="separate"/>
          </w:r>
          <w:r>
            <w:rPr>
              <w:rFonts w:hint="eastAsia" w:eastAsia="宋体"/>
              <w:lang w:eastAsia="zh-CN"/>
            </w:rPr>
            <w:t xml:space="preserve">2.1 </w:t>
          </w:r>
          <w:r>
            <w:rPr>
              <w:rFonts w:hint="default" w:eastAsia="宋体"/>
              <w:lang w:eastAsia="zh-CN"/>
            </w:rPr>
            <w:t>总体</w:t>
          </w:r>
          <w:r>
            <w:rPr>
              <w:rFonts w:hint="default"/>
              <w:lang w:eastAsia="zh-CN"/>
            </w:rPr>
            <w:t>情况</w:t>
          </w:r>
          <w:r>
            <w:tab/>
          </w:r>
          <w:r>
            <w:fldChar w:fldCharType="begin"/>
          </w:r>
          <w:r>
            <w:instrText xml:space="preserve"> PAGEREF _Toc9364 \h </w:instrText>
          </w:r>
          <w:r>
            <w:fldChar w:fldCharType="separate"/>
          </w:r>
          <w:r>
            <w:t>9</w:t>
          </w:r>
          <w:r>
            <w:fldChar w:fldCharType="end"/>
          </w:r>
          <w:r>
            <w:fldChar w:fldCharType="end"/>
          </w:r>
        </w:p>
        <w:p>
          <w:pPr>
            <w:pStyle w:val="89"/>
            <w:tabs>
              <w:tab w:val="right" w:leader="dot" w:pos="10204"/>
            </w:tabs>
          </w:pPr>
          <w:r>
            <w:fldChar w:fldCharType="begin"/>
          </w:r>
          <w:r>
            <w:instrText xml:space="preserve"> HYPERLINK \l _Toc28517 </w:instrText>
          </w:r>
          <w:r>
            <w:fldChar w:fldCharType="separate"/>
          </w:r>
          <w:r>
            <w:rPr>
              <w:rFonts w:hint="eastAsia"/>
            </w:rPr>
            <w:t xml:space="preserve">2.1.1 </w:t>
          </w:r>
          <w:r>
            <w:rPr>
              <w:rFonts w:hint="default"/>
            </w:rPr>
            <w:t>服务台受理情况</w:t>
          </w:r>
          <w:r>
            <w:tab/>
          </w:r>
          <w:r>
            <w:fldChar w:fldCharType="begin"/>
          </w:r>
          <w:r>
            <w:instrText xml:space="preserve"> PAGEREF _Toc28517 \h </w:instrText>
          </w:r>
          <w:r>
            <w:fldChar w:fldCharType="separate"/>
          </w:r>
          <w:r>
            <w:t>9</w:t>
          </w:r>
          <w:r>
            <w:fldChar w:fldCharType="end"/>
          </w:r>
          <w:r>
            <w:fldChar w:fldCharType="end"/>
          </w:r>
        </w:p>
        <w:p>
          <w:pPr>
            <w:pStyle w:val="89"/>
            <w:tabs>
              <w:tab w:val="right" w:leader="dot" w:pos="10204"/>
            </w:tabs>
          </w:pPr>
          <w:r>
            <w:fldChar w:fldCharType="begin"/>
          </w:r>
          <w:r>
            <w:instrText xml:space="preserve"> HYPERLINK \l _Toc17316 </w:instrText>
          </w:r>
          <w:r>
            <w:fldChar w:fldCharType="separate"/>
          </w:r>
          <w:r>
            <w:rPr>
              <w:rFonts w:hint="eastAsia"/>
            </w:rPr>
            <w:t xml:space="preserve">2.1.2 </w:t>
          </w:r>
          <w:r>
            <w:rPr>
              <w:rFonts w:hint="default"/>
            </w:rPr>
            <w:t>工程师发起的工单</w:t>
          </w:r>
          <w:r>
            <w:tab/>
          </w:r>
          <w:r>
            <w:fldChar w:fldCharType="begin"/>
          </w:r>
          <w:r>
            <w:instrText xml:space="preserve"> PAGEREF _Toc17316 \h </w:instrText>
          </w:r>
          <w:r>
            <w:fldChar w:fldCharType="separate"/>
          </w:r>
          <w:r>
            <w:t>10</w:t>
          </w:r>
          <w:r>
            <w:fldChar w:fldCharType="end"/>
          </w:r>
          <w:r>
            <w:fldChar w:fldCharType="end"/>
          </w:r>
        </w:p>
        <w:p>
          <w:pPr>
            <w:pStyle w:val="89"/>
            <w:tabs>
              <w:tab w:val="right" w:leader="dot" w:pos="10204"/>
            </w:tabs>
          </w:pPr>
          <w:r>
            <w:fldChar w:fldCharType="begin"/>
          </w:r>
          <w:r>
            <w:instrText xml:space="preserve"> HYPERLINK \l _Toc10818 </w:instrText>
          </w:r>
          <w:r>
            <w:fldChar w:fldCharType="separate"/>
          </w:r>
          <w:r>
            <w:rPr>
              <w:rFonts w:hint="eastAsia"/>
            </w:rPr>
            <w:t xml:space="preserve">2.1.3 </w:t>
          </w:r>
          <w:r>
            <w:rPr>
              <w:rFonts w:hint="default"/>
            </w:rPr>
            <w:t>每月申告对比情况</w:t>
          </w:r>
          <w:r>
            <w:tab/>
          </w:r>
          <w:r>
            <w:fldChar w:fldCharType="begin"/>
          </w:r>
          <w:r>
            <w:instrText xml:space="preserve"> PAGEREF _Toc10818 \h </w:instrText>
          </w:r>
          <w:r>
            <w:fldChar w:fldCharType="separate"/>
          </w:r>
          <w:r>
            <w:t>11</w:t>
          </w:r>
          <w:r>
            <w:fldChar w:fldCharType="end"/>
          </w:r>
          <w:r>
            <w:fldChar w:fldCharType="end"/>
          </w:r>
        </w:p>
        <w:p>
          <w:pPr>
            <w:pStyle w:val="89"/>
            <w:tabs>
              <w:tab w:val="right" w:leader="dot" w:pos="10204"/>
            </w:tabs>
          </w:pPr>
          <w:r>
            <w:fldChar w:fldCharType="begin"/>
          </w:r>
          <w:r>
            <w:instrText xml:space="preserve"> HYPERLINK \l _Toc2053 </w:instrText>
          </w:r>
          <w:r>
            <w:fldChar w:fldCharType="separate"/>
          </w:r>
          <w:r>
            <w:rPr>
              <w:rFonts w:hint="eastAsia" w:eastAsia="宋体"/>
            </w:rPr>
            <w:t xml:space="preserve">2.2 </w:t>
          </w:r>
          <w:r>
            <w:rPr>
              <w:rFonts w:hint="default" w:eastAsia="宋体"/>
            </w:rPr>
            <w:t>事件工单分析</w:t>
          </w:r>
          <w:r>
            <w:tab/>
          </w:r>
          <w:r>
            <w:fldChar w:fldCharType="begin"/>
          </w:r>
          <w:r>
            <w:instrText xml:space="preserve"> PAGEREF _Toc2053 \h </w:instrText>
          </w:r>
          <w:r>
            <w:fldChar w:fldCharType="separate"/>
          </w:r>
          <w:r>
            <w:t>12</w:t>
          </w:r>
          <w:r>
            <w:fldChar w:fldCharType="end"/>
          </w:r>
          <w:r>
            <w:fldChar w:fldCharType="end"/>
          </w:r>
        </w:p>
        <w:p>
          <w:pPr>
            <w:pStyle w:val="89"/>
            <w:tabs>
              <w:tab w:val="right" w:leader="dot" w:pos="10204"/>
            </w:tabs>
          </w:pPr>
          <w:r>
            <w:fldChar w:fldCharType="begin"/>
          </w:r>
          <w:r>
            <w:instrText xml:space="preserve"> HYPERLINK \l _Toc18129 </w:instrText>
          </w:r>
          <w:r>
            <w:fldChar w:fldCharType="separate"/>
          </w:r>
          <w:r>
            <w:rPr>
              <w:rFonts w:hint="eastAsia"/>
              <w:szCs w:val="28"/>
            </w:rPr>
            <w:t>2.2.1 服务台事件工单运维业务分布情况</w:t>
          </w:r>
          <w:r>
            <w:tab/>
          </w:r>
          <w:r>
            <w:fldChar w:fldCharType="begin"/>
          </w:r>
          <w:r>
            <w:instrText xml:space="preserve"> PAGEREF _Toc18129 \h </w:instrText>
          </w:r>
          <w:r>
            <w:fldChar w:fldCharType="separate"/>
          </w:r>
          <w:r>
            <w:t>12</w:t>
          </w:r>
          <w:r>
            <w:fldChar w:fldCharType="end"/>
          </w:r>
          <w:r>
            <w:fldChar w:fldCharType="end"/>
          </w:r>
        </w:p>
        <w:p>
          <w:pPr>
            <w:pStyle w:val="89"/>
            <w:tabs>
              <w:tab w:val="right" w:leader="dot" w:pos="10204"/>
            </w:tabs>
          </w:pPr>
          <w:r>
            <w:fldChar w:fldCharType="begin"/>
          </w:r>
          <w:r>
            <w:instrText xml:space="preserve"> HYPERLINK \l _Toc7009 </w:instrText>
          </w:r>
          <w:r>
            <w:fldChar w:fldCharType="separate"/>
          </w:r>
          <w:r>
            <w:rPr>
              <w:rFonts w:hint="eastAsia"/>
              <w:szCs w:val="28"/>
            </w:rPr>
            <w:t>2.2.2 全省各服务台的受理情况</w:t>
          </w:r>
          <w:r>
            <w:tab/>
          </w:r>
          <w:r>
            <w:fldChar w:fldCharType="begin"/>
          </w:r>
          <w:r>
            <w:instrText xml:space="preserve"> PAGEREF _Toc7009 \h </w:instrText>
          </w:r>
          <w:r>
            <w:fldChar w:fldCharType="separate"/>
          </w:r>
          <w:r>
            <w:t>12</w:t>
          </w:r>
          <w:r>
            <w:fldChar w:fldCharType="end"/>
          </w:r>
          <w:r>
            <w:fldChar w:fldCharType="end"/>
          </w:r>
        </w:p>
        <w:p>
          <w:pPr>
            <w:pStyle w:val="89"/>
            <w:tabs>
              <w:tab w:val="right" w:leader="dot" w:pos="10204"/>
            </w:tabs>
          </w:pPr>
          <w:r>
            <w:fldChar w:fldCharType="begin"/>
          </w:r>
          <w:r>
            <w:instrText xml:space="preserve"> HYPERLINK \l _Toc24394 </w:instrText>
          </w:r>
          <w:r>
            <w:fldChar w:fldCharType="separate"/>
          </w:r>
          <w:r>
            <w:rPr>
              <w:rFonts w:hint="eastAsia"/>
              <w:szCs w:val="28"/>
            </w:rPr>
            <w:t>2.2.3 公司本部事件工单来源（按部门）统计</w:t>
          </w:r>
          <w:r>
            <w:tab/>
          </w:r>
          <w:r>
            <w:fldChar w:fldCharType="begin"/>
          </w:r>
          <w:r>
            <w:instrText xml:space="preserve"> PAGEREF _Toc24394 \h </w:instrText>
          </w:r>
          <w:r>
            <w:fldChar w:fldCharType="separate"/>
          </w:r>
          <w:r>
            <w:t>13</w:t>
          </w:r>
          <w:r>
            <w:fldChar w:fldCharType="end"/>
          </w:r>
          <w:r>
            <w:fldChar w:fldCharType="end"/>
          </w:r>
        </w:p>
        <w:p>
          <w:pPr>
            <w:pStyle w:val="89"/>
            <w:tabs>
              <w:tab w:val="right" w:leader="dot" w:pos="10204"/>
            </w:tabs>
          </w:pPr>
          <w:r>
            <w:fldChar w:fldCharType="begin"/>
          </w:r>
          <w:r>
            <w:instrText xml:space="preserve"> HYPERLINK \l _Toc12659 </w:instrText>
          </w:r>
          <w:r>
            <w:fldChar w:fldCharType="separate"/>
          </w:r>
          <w:r>
            <w:rPr>
              <w:rFonts w:hint="eastAsia"/>
              <w:szCs w:val="28"/>
            </w:rPr>
            <w:t>2.2.4 服务台事件工单内容分析</w:t>
          </w:r>
          <w:r>
            <w:tab/>
          </w:r>
          <w:r>
            <w:fldChar w:fldCharType="begin"/>
          </w:r>
          <w:r>
            <w:instrText xml:space="preserve"> PAGEREF _Toc12659 \h </w:instrText>
          </w:r>
          <w:r>
            <w:fldChar w:fldCharType="separate"/>
          </w:r>
          <w:r>
            <w:t>14</w:t>
          </w:r>
          <w:r>
            <w:fldChar w:fldCharType="end"/>
          </w:r>
          <w:r>
            <w:fldChar w:fldCharType="end"/>
          </w:r>
        </w:p>
        <w:p>
          <w:pPr>
            <w:pStyle w:val="89"/>
            <w:tabs>
              <w:tab w:val="right" w:leader="dot" w:pos="10204"/>
            </w:tabs>
          </w:pPr>
          <w:r>
            <w:fldChar w:fldCharType="begin"/>
          </w:r>
          <w:r>
            <w:instrText xml:space="preserve"> HYPERLINK \l _Toc31032 </w:instrText>
          </w:r>
          <w:r>
            <w:fldChar w:fldCharType="separate"/>
          </w:r>
          <w:r>
            <w:rPr>
              <w:rFonts w:hint="eastAsia"/>
              <w:szCs w:val="28"/>
            </w:rPr>
            <w:t>2.2.5 事件工单处理情况</w:t>
          </w:r>
          <w:r>
            <w:tab/>
          </w:r>
          <w:r>
            <w:fldChar w:fldCharType="begin"/>
          </w:r>
          <w:r>
            <w:instrText xml:space="preserve"> PAGEREF _Toc31032 \h </w:instrText>
          </w:r>
          <w:r>
            <w:fldChar w:fldCharType="separate"/>
          </w:r>
          <w:r>
            <w:t>19</w:t>
          </w:r>
          <w:r>
            <w:fldChar w:fldCharType="end"/>
          </w:r>
          <w:r>
            <w:fldChar w:fldCharType="end"/>
          </w:r>
        </w:p>
        <w:p>
          <w:pPr>
            <w:pStyle w:val="89"/>
            <w:tabs>
              <w:tab w:val="right" w:leader="dot" w:pos="10204"/>
            </w:tabs>
          </w:pPr>
          <w:r>
            <w:fldChar w:fldCharType="begin"/>
          </w:r>
          <w:r>
            <w:instrText xml:space="preserve"> HYPERLINK \l _Toc24408 </w:instrText>
          </w:r>
          <w:r>
            <w:fldChar w:fldCharType="separate"/>
          </w:r>
          <w:r>
            <w:rPr>
              <w:rFonts w:hint="eastAsia"/>
            </w:rPr>
            <w:t xml:space="preserve">2.3 </w:t>
          </w:r>
          <w:r>
            <w:rPr>
              <w:rFonts w:hint="default"/>
              <w:lang w:val="en-US" w:eastAsia="zh-CN"/>
            </w:rPr>
            <w:t>变更工单分析</w:t>
          </w:r>
          <w:r>
            <w:tab/>
          </w:r>
          <w:r>
            <w:fldChar w:fldCharType="begin"/>
          </w:r>
          <w:r>
            <w:instrText xml:space="preserve"> PAGEREF _Toc24408 \h </w:instrText>
          </w:r>
          <w:r>
            <w:fldChar w:fldCharType="separate"/>
          </w:r>
          <w:r>
            <w:t>21</w:t>
          </w:r>
          <w:r>
            <w:fldChar w:fldCharType="end"/>
          </w:r>
          <w:r>
            <w:fldChar w:fldCharType="end"/>
          </w:r>
        </w:p>
        <w:p>
          <w:pPr>
            <w:pStyle w:val="89"/>
            <w:tabs>
              <w:tab w:val="right" w:leader="dot" w:pos="10204"/>
            </w:tabs>
          </w:pPr>
          <w:r>
            <w:fldChar w:fldCharType="begin"/>
          </w:r>
          <w:r>
            <w:instrText xml:space="preserve"> HYPERLINK \l _Toc19483 </w:instrText>
          </w:r>
          <w:r>
            <w:fldChar w:fldCharType="separate"/>
          </w:r>
          <w:r>
            <w:rPr>
              <w:rFonts w:hint="eastAsia"/>
            </w:rPr>
            <w:t xml:space="preserve">2.3.1 </w:t>
          </w:r>
          <w:r>
            <w:rPr>
              <w:rFonts w:hint="eastAsia"/>
              <w:lang w:eastAsia="zh-CN"/>
            </w:rPr>
            <w:t>服务台变更工单处理情况</w:t>
          </w:r>
          <w:r>
            <w:tab/>
          </w:r>
          <w:r>
            <w:fldChar w:fldCharType="begin"/>
          </w:r>
          <w:r>
            <w:instrText xml:space="preserve"> PAGEREF _Toc19483 \h </w:instrText>
          </w:r>
          <w:r>
            <w:fldChar w:fldCharType="separate"/>
          </w:r>
          <w:r>
            <w:t>21</w:t>
          </w:r>
          <w:r>
            <w:fldChar w:fldCharType="end"/>
          </w:r>
          <w:r>
            <w:fldChar w:fldCharType="end"/>
          </w:r>
        </w:p>
        <w:p>
          <w:pPr>
            <w:pStyle w:val="89"/>
            <w:tabs>
              <w:tab w:val="right" w:leader="dot" w:pos="10204"/>
            </w:tabs>
          </w:pPr>
          <w:r>
            <w:fldChar w:fldCharType="begin"/>
          </w:r>
          <w:r>
            <w:instrText xml:space="preserve"> HYPERLINK \l _Toc25116 </w:instrText>
          </w:r>
          <w:r>
            <w:fldChar w:fldCharType="separate"/>
          </w:r>
          <w:r>
            <w:rPr>
              <w:rFonts w:hint="eastAsia"/>
              <w:lang w:val="en-US" w:eastAsia="zh-CN"/>
            </w:rPr>
            <w:t xml:space="preserve">2.3.3 </w:t>
          </w:r>
          <w:r>
            <w:rPr>
              <w:rFonts w:hint="eastAsia"/>
              <w:lang w:eastAsia="zh-CN"/>
            </w:rPr>
            <w:t>服务台变更工单业务运维分布及待处理情况</w:t>
          </w:r>
          <w:r>
            <w:tab/>
          </w:r>
          <w:r>
            <w:fldChar w:fldCharType="begin"/>
          </w:r>
          <w:r>
            <w:instrText xml:space="preserve"> PAGEREF _Toc25116 \h </w:instrText>
          </w:r>
          <w:r>
            <w:fldChar w:fldCharType="separate"/>
          </w:r>
          <w:r>
            <w:t>23</w:t>
          </w:r>
          <w:r>
            <w:fldChar w:fldCharType="end"/>
          </w:r>
          <w:r>
            <w:fldChar w:fldCharType="end"/>
          </w:r>
        </w:p>
        <w:p>
          <w:pPr>
            <w:pStyle w:val="89"/>
            <w:tabs>
              <w:tab w:val="right" w:leader="dot" w:pos="10204"/>
            </w:tabs>
          </w:pPr>
          <w:r>
            <w:fldChar w:fldCharType="begin"/>
          </w:r>
          <w:r>
            <w:instrText xml:space="preserve"> HYPERLINK \l _Toc7727 </w:instrText>
          </w:r>
          <w:r>
            <w:fldChar w:fldCharType="separate"/>
          </w:r>
          <w:r>
            <w:rPr>
              <w:rFonts w:hint="eastAsia" w:eastAsia="宋体"/>
            </w:rPr>
            <w:t xml:space="preserve">2.4 </w:t>
          </w:r>
          <w:r>
            <w:rPr>
              <w:rFonts w:hint="default" w:eastAsia="宋体"/>
              <w:lang w:val="en-US" w:eastAsia="zh-CN"/>
            </w:rPr>
            <w:t>任务工单分析</w:t>
          </w:r>
          <w:r>
            <w:tab/>
          </w:r>
          <w:r>
            <w:fldChar w:fldCharType="begin"/>
          </w:r>
          <w:r>
            <w:instrText xml:space="preserve"> PAGEREF _Toc7727 \h </w:instrText>
          </w:r>
          <w:r>
            <w:fldChar w:fldCharType="separate"/>
          </w:r>
          <w:r>
            <w:t>23</w:t>
          </w:r>
          <w:r>
            <w:fldChar w:fldCharType="end"/>
          </w:r>
          <w:r>
            <w:fldChar w:fldCharType="end"/>
          </w:r>
        </w:p>
        <w:p>
          <w:pPr>
            <w:pStyle w:val="89"/>
            <w:tabs>
              <w:tab w:val="right" w:leader="dot" w:pos="10204"/>
            </w:tabs>
          </w:pPr>
          <w:r>
            <w:fldChar w:fldCharType="begin"/>
          </w:r>
          <w:r>
            <w:instrText xml:space="preserve"> HYPERLINK \l _Toc30430 </w:instrText>
          </w:r>
          <w:r>
            <w:fldChar w:fldCharType="separate"/>
          </w:r>
          <w:r>
            <w:rPr>
              <w:rFonts w:hint="eastAsia"/>
              <w:lang w:val="en-US" w:eastAsia="zh-CN"/>
            </w:rPr>
            <w:t xml:space="preserve">2.4.1 </w:t>
          </w:r>
          <w:r>
            <w:rPr>
              <w:rFonts w:hint="default"/>
              <w:lang w:eastAsia="zh-CN"/>
            </w:rPr>
            <w:t>服务台任务跟踪情况</w:t>
          </w:r>
          <w:r>
            <w:tab/>
          </w:r>
          <w:r>
            <w:fldChar w:fldCharType="begin"/>
          </w:r>
          <w:r>
            <w:instrText xml:space="preserve"> PAGEREF _Toc30430 \h </w:instrText>
          </w:r>
          <w:r>
            <w:fldChar w:fldCharType="separate"/>
          </w:r>
          <w:r>
            <w:t>23</w:t>
          </w:r>
          <w:r>
            <w:fldChar w:fldCharType="end"/>
          </w:r>
          <w:r>
            <w:fldChar w:fldCharType="end"/>
          </w:r>
        </w:p>
        <w:p>
          <w:pPr>
            <w:pStyle w:val="89"/>
            <w:tabs>
              <w:tab w:val="right" w:leader="dot" w:pos="10204"/>
            </w:tabs>
          </w:pPr>
          <w:r>
            <w:fldChar w:fldCharType="begin"/>
          </w:r>
          <w:r>
            <w:instrText xml:space="preserve"> HYPERLINK \l _Toc28810 </w:instrText>
          </w:r>
          <w:r>
            <w:fldChar w:fldCharType="separate"/>
          </w:r>
          <w:r>
            <w:rPr>
              <w:rFonts w:hint="eastAsia"/>
              <w:lang w:val="en-US" w:eastAsia="zh-CN"/>
            </w:rPr>
            <w:t>2.4.2 任务跟踪业务运维分布及待处理情况</w:t>
          </w:r>
          <w:r>
            <w:tab/>
          </w:r>
          <w:r>
            <w:fldChar w:fldCharType="begin"/>
          </w:r>
          <w:r>
            <w:instrText xml:space="preserve"> PAGEREF _Toc28810 \h </w:instrText>
          </w:r>
          <w:r>
            <w:fldChar w:fldCharType="separate"/>
          </w:r>
          <w:r>
            <w:t>24</w:t>
          </w:r>
          <w:r>
            <w:fldChar w:fldCharType="end"/>
          </w:r>
          <w:r>
            <w:fldChar w:fldCharType="end"/>
          </w:r>
        </w:p>
        <w:p>
          <w:pPr>
            <w:pStyle w:val="89"/>
            <w:tabs>
              <w:tab w:val="right" w:leader="dot" w:pos="10204"/>
            </w:tabs>
          </w:pPr>
          <w:r>
            <w:fldChar w:fldCharType="begin"/>
          </w:r>
          <w:r>
            <w:instrText xml:space="preserve"> HYPERLINK \l _Toc14605 </w:instrText>
          </w:r>
          <w:r>
            <w:fldChar w:fldCharType="separate"/>
          </w:r>
          <w:r>
            <w:rPr>
              <w:rFonts w:hint="eastAsia" w:eastAsia="宋体"/>
              <w:lang w:val="en-US" w:eastAsia="zh-CN"/>
            </w:rPr>
            <w:t xml:space="preserve">2.5 </w:t>
          </w:r>
          <w:r>
            <w:rPr>
              <w:rFonts w:hint="default" w:eastAsia="宋体"/>
              <w:lang w:val="en-US" w:eastAsia="zh-CN"/>
            </w:rPr>
            <w:t>文档管理情况</w:t>
          </w:r>
          <w:r>
            <w:tab/>
          </w:r>
          <w:r>
            <w:fldChar w:fldCharType="begin"/>
          </w:r>
          <w:r>
            <w:instrText xml:space="preserve"> PAGEREF _Toc14605 \h </w:instrText>
          </w:r>
          <w:r>
            <w:fldChar w:fldCharType="separate"/>
          </w:r>
          <w:r>
            <w:t>25</w:t>
          </w:r>
          <w:r>
            <w:fldChar w:fldCharType="end"/>
          </w:r>
          <w:r>
            <w:fldChar w:fldCharType="end"/>
          </w:r>
        </w:p>
        <w:p>
          <w:pPr>
            <w:pStyle w:val="89"/>
            <w:tabs>
              <w:tab w:val="right" w:leader="dot" w:pos="10204"/>
            </w:tabs>
          </w:pPr>
          <w:r>
            <w:fldChar w:fldCharType="begin"/>
          </w:r>
          <w:r>
            <w:instrText xml:space="preserve"> HYPERLINK \l _Toc15583 </w:instrText>
          </w:r>
          <w:r>
            <w:fldChar w:fldCharType="separate"/>
          </w:r>
          <w:r>
            <w:rPr>
              <w:rFonts w:hint="eastAsia"/>
              <w:lang w:val="en-US" w:eastAsia="zh-CN"/>
            </w:rPr>
            <w:t xml:space="preserve">2.5.1 </w:t>
          </w:r>
          <w:r>
            <w:rPr>
              <w:rFonts w:hint="default"/>
              <w:lang w:val="en-US" w:eastAsia="zh-CN"/>
            </w:rPr>
            <w:t>文档新增情况</w:t>
          </w:r>
          <w:r>
            <w:tab/>
          </w:r>
          <w:r>
            <w:fldChar w:fldCharType="begin"/>
          </w:r>
          <w:r>
            <w:instrText xml:space="preserve"> PAGEREF _Toc15583 \h </w:instrText>
          </w:r>
          <w:r>
            <w:fldChar w:fldCharType="separate"/>
          </w:r>
          <w:r>
            <w:t>25</w:t>
          </w:r>
          <w:r>
            <w:fldChar w:fldCharType="end"/>
          </w:r>
          <w:r>
            <w:fldChar w:fldCharType="end"/>
          </w:r>
        </w:p>
        <w:p>
          <w:pPr>
            <w:pStyle w:val="89"/>
            <w:tabs>
              <w:tab w:val="right" w:leader="dot" w:pos="10204"/>
            </w:tabs>
          </w:pPr>
          <w:r>
            <w:fldChar w:fldCharType="begin"/>
          </w:r>
          <w:r>
            <w:instrText xml:space="preserve"> HYPERLINK \l _Toc24453 </w:instrText>
          </w:r>
          <w:r>
            <w:fldChar w:fldCharType="separate"/>
          </w:r>
          <w:r>
            <w:rPr>
              <w:rFonts w:hint="eastAsia"/>
              <w:lang w:val="en-US" w:eastAsia="zh-CN"/>
            </w:rPr>
            <w:t>2.5.2 文档版本更新情况（</w:t>
          </w:r>
          <w:r>
            <w:rPr>
              <w:rFonts w:hint="default"/>
              <w:bCs/>
              <w:szCs w:val="32"/>
              <w:lang w:val="en-US" w:eastAsia="zh-CN"/>
            </w:rPr>
            <w:t>本月暂无文档版本更新。</w:t>
          </w:r>
          <w:r>
            <w:rPr>
              <w:rFonts w:hint="eastAsia"/>
              <w:lang w:val="en-US" w:eastAsia="zh-CN"/>
            </w:rPr>
            <w:t>）</w:t>
          </w:r>
          <w:r>
            <w:tab/>
          </w:r>
          <w:r>
            <w:fldChar w:fldCharType="begin"/>
          </w:r>
          <w:r>
            <w:instrText xml:space="preserve"> PAGEREF _Toc24453 \h </w:instrText>
          </w:r>
          <w:r>
            <w:fldChar w:fldCharType="separate"/>
          </w:r>
          <w:r>
            <w:t>26</w:t>
          </w:r>
          <w:r>
            <w:fldChar w:fldCharType="end"/>
          </w:r>
          <w:r>
            <w:fldChar w:fldCharType="end"/>
          </w:r>
        </w:p>
        <w:p>
          <w:pPr>
            <w:pStyle w:val="89"/>
            <w:tabs>
              <w:tab w:val="right" w:leader="dot" w:pos="10204"/>
            </w:tabs>
          </w:pPr>
          <w:r>
            <w:fldChar w:fldCharType="begin"/>
          </w:r>
          <w:r>
            <w:instrText xml:space="preserve"> HYPERLINK \l _Toc23214 </w:instrText>
          </w:r>
          <w:r>
            <w:fldChar w:fldCharType="separate"/>
          </w:r>
          <w:r>
            <w:rPr>
              <w:rFonts w:hint="eastAsia" w:eastAsia="宋体"/>
            </w:rPr>
            <w:t xml:space="preserve">2.6 </w:t>
          </w:r>
          <w:r>
            <w:rPr>
              <w:rFonts w:hint="default" w:eastAsia="宋体"/>
            </w:rPr>
            <w:t>服务台日常工作情况</w:t>
          </w:r>
          <w:r>
            <w:tab/>
          </w:r>
          <w:r>
            <w:fldChar w:fldCharType="begin"/>
          </w:r>
          <w:r>
            <w:instrText xml:space="preserve"> PAGEREF _Toc23214 \h </w:instrText>
          </w:r>
          <w:r>
            <w:fldChar w:fldCharType="separate"/>
          </w:r>
          <w:r>
            <w:t>26</w:t>
          </w:r>
          <w:r>
            <w:fldChar w:fldCharType="end"/>
          </w:r>
          <w:r>
            <w:fldChar w:fldCharType="end"/>
          </w:r>
        </w:p>
        <w:p>
          <w:pPr>
            <w:pStyle w:val="89"/>
            <w:tabs>
              <w:tab w:val="right" w:leader="dot" w:pos="10204"/>
            </w:tabs>
          </w:pPr>
          <w:r>
            <w:fldChar w:fldCharType="begin"/>
          </w:r>
          <w:r>
            <w:instrText xml:space="preserve"> HYPERLINK \l _Toc14229 </w:instrText>
          </w:r>
          <w:r>
            <w:fldChar w:fldCharType="separate"/>
          </w:r>
          <w:r>
            <w:rPr>
              <w:rFonts w:hint="eastAsia"/>
            </w:rPr>
            <w:t>2.6.1 服务台考勤情况</w:t>
          </w:r>
          <w:r>
            <w:tab/>
          </w:r>
          <w:r>
            <w:fldChar w:fldCharType="begin"/>
          </w:r>
          <w:r>
            <w:instrText xml:space="preserve"> PAGEREF _Toc14229 \h </w:instrText>
          </w:r>
          <w:r>
            <w:fldChar w:fldCharType="separate"/>
          </w:r>
          <w:r>
            <w:t>26</w:t>
          </w:r>
          <w:r>
            <w:fldChar w:fldCharType="end"/>
          </w:r>
          <w:r>
            <w:fldChar w:fldCharType="end"/>
          </w:r>
        </w:p>
        <w:p>
          <w:pPr>
            <w:pStyle w:val="89"/>
            <w:tabs>
              <w:tab w:val="right" w:leader="dot" w:pos="10204"/>
            </w:tabs>
          </w:pPr>
          <w:r>
            <w:fldChar w:fldCharType="begin"/>
          </w:r>
          <w:r>
            <w:instrText xml:space="preserve"> HYPERLINK \l _Toc3755 </w:instrText>
          </w:r>
          <w:r>
            <w:fldChar w:fldCharType="separate"/>
          </w:r>
          <w:r>
            <w:rPr>
              <w:rFonts w:hint="eastAsia"/>
            </w:rPr>
            <w:t>2.6.2 服务台应答分析</w:t>
          </w:r>
          <w:r>
            <w:tab/>
          </w:r>
          <w:r>
            <w:fldChar w:fldCharType="begin"/>
          </w:r>
          <w:r>
            <w:instrText xml:space="preserve"> PAGEREF _Toc3755 \h </w:instrText>
          </w:r>
          <w:r>
            <w:fldChar w:fldCharType="separate"/>
          </w:r>
          <w:r>
            <w:t>27</w:t>
          </w:r>
          <w:r>
            <w:fldChar w:fldCharType="end"/>
          </w:r>
          <w:r>
            <w:fldChar w:fldCharType="end"/>
          </w:r>
        </w:p>
        <w:p>
          <w:pPr>
            <w:pStyle w:val="89"/>
            <w:tabs>
              <w:tab w:val="right" w:leader="dot" w:pos="10204"/>
            </w:tabs>
          </w:pPr>
          <w:r>
            <w:fldChar w:fldCharType="begin"/>
          </w:r>
          <w:r>
            <w:instrText xml:space="preserve"> HYPERLINK \l _Toc30005 </w:instrText>
          </w:r>
          <w:r>
            <w:fldChar w:fldCharType="separate"/>
          </w:r>
          <w:r>
            <w:rPr>
              <w:rFonts w:hint="eastAsia"/>
            </w:rPr>
            <w:t>2.6.3 服务台来电分析</w:t>
          </w:r>
          <w:r>
            <w:tab/>
          </w:r>
          <w:r>
            <w:fldChar w:fldCharType="begin"/>
          </w:r>
          <w:r>
            <w:instrText xml:space="preserve"> PAGEREF _Toc30005 \h </w:instrText>
          </w:r>
          <w:r>
            <w:fldChar w:fldCharType="separate"/>
          </w:r>
          <w:r>
            <w:t>27</w:t>
          </w:r>
          <w:r>
            <w:fldChar w:fldCharType="end"/>
          </w:r>
          <w:r>
            <w:fldChar w:fldCharType="end"/>
          </w:r>
        </w:p>
        <w:p>
          <w:pPr>
            <w:pStyle w:val="89"/>
            <w:tabs>
              <w:tab w:val="right" w:leader="dot" w:pos="10204"/>
            </w:tabs>
          </w:pPr>
          <w:r>
            <w:fldChar w:fldCharType="begin"/>
          </w:r>
          <w:r>
            <w:instrText xml:space="preserve"> HYPERLINK \l _Toc7840 </w:instrText>
          </w:r>
          <w:r>
            <w:fldChar w:fldCharType="separate"/>
          </w:r>
          <w:r>
            <w:rPr>
              <w:rFonts w:hint="eastAsia"/>
            </w:rPr>
            <w:t>2.6.4 服务台排队未接电话分析</w:t>
          </w:r>
          <w:r>
            <w:tab/>
          </w:r>
          <w:r>
            <w:fldChar w:fldCharType="begin"/>
          </w:r>
          <w:r>
            <w:instrText xml:space="preserve"> PAGEREF _Toc7840 \h </w:instrText>
          </w:r>
          <w:r>
            <w:fldChar w:fldCharType="separate"/>
          </w:r>
          <w:r>
            <w:t>28</w:t>
          </w:r>
          <w:r>
            <w:fldChar w:fldCharType="end"/>
          </w:r>
          <w:r>
            <w:fldChar w:fldCharType="end"/>
          </w:r>
        </w:p>
        <w:p>
          <w:pPr>
            <w:pStyle w:val="89"/>
            <w:tabs>
              <w:tab w:val="right" w:leader="dot" w:pos="10204"/>
            </w:tabs>
          </w:pPr>
          <w:r>
            <w:fldChar w:fldCharType="begin"/>
          </w:r>
          <w:r>
            <w:instrText xml:space="preserve"> HYPERLINK \l _Toc27129 </w:instrText>
          </w:r>
          <w:r>
            <w:fldChar w:fldCharType="separate"/>
          </w:r>
          <w:r>
            <w:rPr>
              <w:rFonts w:hint="default" w:ascii="Wingdings" w:hAnsi="Wingdings" w:eastAsia="宋体" w:cs="Times New Roman"/>
              <w:szCs w:val="44"/>
              <w:lang w:val="en-US" w:eastAsia="zh-CN"/>
            </w:rPr>
            <w:t xml:space="preserve"> </w:t>
          </w:r>
          <w:r>
            <w:rPr>
              <w:rFonts w:hint="default" w:ascii="Arial" w:hAnsi="Arial" w:eastAsia="宋体"/>
              <w:szCs w:val="44"/>
            </w:rPr>
            <w:t>分析</w:t>
          </w:r>
          <w:r>
            <w:rPr>
              <w:rFonts w:hint="eastAsia" w:eastAsia="宋体"/>
              <w:szCs w:val="44"/>
              <w:lang w:eastAsia="zh-CN"/>
            </w:rPr>
            <w:t>总结</w:t>
          </w:r>
          <w:r>
            <w:tab/>
          </w:r>
          <w:r>
            <w:fldChar w:fldCharType="begin"/>
          </w:r>
          <w:r>
            <w:instrText xml:space="preserve"> PAGEREF _Toc27129 \h </w:instrText>
          </w:r>
          <w:r>
            <w:fldChar w:fldCharType="separate"/>
          </w:r>
          <w:r>
            <w:t>29</w:t>
          </w:r>
          <w:r>
            <w:fldChar w:fldCharType="end"/>
          </w:r>
          <w:r>
            <w:fldChar w:fldCharType="end"/>
          </w:r>
        </w:p>
        <w:p>
          <w:pPr>
            <w:pStyle w:val="88"/>
            <w:tabs>
              <w:tab w:val="right" w:leader="dot" w:pos="10204"/>
            </w:tabs>
            <w:rPr>
              <w:b/>
            </w:rPr>
          </w:pPr>
          <w:r>
            <w:rPr>
              <w:b/>
            </w:rPr>
            <w:fldChar w:fldCharType="begin"/>
          </w:r>
          <w:r>
            <w:rPr>
              <w:b/>
            </w:rPr>
            <w:instrText xml:space="preserve"> HYPERLINK \l _Toc21780 </w:instrText>
          </w:r>
          <w:r>
            <w:rPr>
              <w:b/>
            </w:rPr>
            <w:fldChar w:fldCharType="separate"/>
          </w:r>
          <w:r>
            <w:rPr>
              <w:rFonts w:hint="default" w:ascii="Verdana" w:hAnsi="Verdana" w:eastAsia="华文中宋"/>
              <w:b/>
              <w:lang w:val="en-US"/>
            </w:rPr>
            <w:t xml:space="preserve">第三章 </w:t>
          </w:r>
          <w:r>
            <w:rPr>
              <w:rFonts w:hint="eastAsia"/>
              <w:b/>
            </w:rPr>
            <w:t>小结和建议</w:t>
          </w:r>
          <w:r>
            <w:rPr>
              <w:b/>
            </w:rPr>
            <w:tab/>
          </w:r>
          <w:r>
            <w:rPr>
              <w:b/>
            </w:rPr>
            <w:fldChar w:fldCharType="begin"/>
          </w:r>
          <w:r>
            <w:rPr>
              <w:b/>
            </w:rPr>
            <w:instrText xml:space="preserve"> PAGEREF _Toc21780 \h </w:instrText>
          </w:r>
          <w:r>
            <w:rPr>
              <w:b/>
            </w:rPr>
            <w:fldChar w:fldCharType="separate"/>
          </w:r>
          <w:r>
            <w:rPr>
              <w:b/>
            </w:rPr>
            <w:t>30</w:t>
          </w:r>
          <w:r>
            <w:rPr>
              <w:b/>
            </w:rPr>
            <w:fldChar w:fldCharType="end"/>
          </w:r>
          <w:r>
            <w:rPr>
              <w:b/>
            </w:rPr>
            <w:fldChar w:fldCharType="end"/>
          </w:r>
        </w:p>
        <w:p>
          <w:pPr>
            <w:pStyle w:val="88"/>
            <w:tabs>
              <w:tab w:val="right" w:leader="dot" w:pos="10204"/>
            </w:tabs>
            <w:rPr>
              <w:b/>
            </w:rPr>
          </w:pPr>
          <w:r>
            <w:rPr>
              <w:b/>
            </w:rPr>
            <w:fldChar w:fldCharType="begin"/>
          </w:r>
          <w:r>
            <w:rPr>
              <w:b/>
            </w:rPr>
            <w:instrText xml:space="preserve"> HYPERLINK \l _Toc127 </w:instrText>
          </w:r>
          <w:r>
            <w:rPr>
              <w:b/>
            </w:rPr>
            <w:fldChar w:fldCharType="separate"/>
          </w:r>
          <w:r>
            <w:rPr>
              <w:rFonts w:hint="default" w:ascii="Verdana" w:hAnsi="Verdana" w:eastAsia="华文中宋"/>
              <w:b/>
              <w:lang w:val="en-US"/>
            </w:rPr>
            <w:t xml:space="preserve">第四章 </w:t>
          </w:r>
          <w:r>
            <w:rPr>
              <w:rFonts w:hint="eastAsia"/>
              <w:b/>
              <w:lang w:eastAsia="zh-CN"/>
            </w:rPr>
            <w:t>交付签字</w:t>
          </w:r>
          <w:r>
            <w:rPr>
              <w:b/>
            </w:rPr>
            <w:tab/>
          </w:r>
          <w:r>
            <w:rPr>
              <w:b/>
            </w:rPr>
            <w:fldChar w:fldCharType="begin"/>
          </w:r>
          <w:r>
            <w:rPr>
              <w:b/>
            </w:rPr>
            <w:instrText xml:space="preserve"> PAGEREF _Toc127 \h </w:instrText>
          </w:r>
          <w:r>
            <w:rPr>
              <w:b/>
            </w:rPr>
            <w:fldChar w:fldCharType="separate"/>
          </w:r>
          <w:r>
            <w:rPr>
              <w:b/>
            </w:rPr>
            <w:t>32</w:t>
          </w:r>
          <w:r>
            <w:rPr>
              <w:b/>
            </w:rPr>
            <w:fldChar w:fldCharType="end"/>
          </w:r>
          <w:r>
            <w:rPr>
              <w:b/>
            </w:rPr>
            <w:fldChar w:fldCharType="end"/>
          </w:r>
        </w:p>
        <w:p>
          <w:r>
            <w:rPr>
              <w:b/>
            </w:rPr>
            <w:fldChar w:fldCharType="end"/>
          </w:r>
        </w:p>
      </w:sdtContent>
    </w:sdt>
    <w:p>
      <w:pPr>
        <w:pStyle w:val="66"/>
        <w:numPr>
          <w:ilvl w:val="0"/>
          <w:numId w:val="0"/>
        </w:numPr>
        <w:ind w:leftChars="0"/>
        <w:rPr>
          <w:rFonts w:hint="eastAsia" w:ascii="宋体" w:hAnsi="宋体"/>
          <w:color w:val="984807" w:themeColor="accent6" w:themeShade="80"/>
          <w:sz w:val="32"/>
          <w:szCs w:val="32"/>
          <w:lang w:eastAsia="zh-CN"/>
        </w:rPr>
      </w:pPr>
    </w:p>
    <w:p>
      <w:pPr>
        <w:pStyle w:val="66"/>
        <w:numPr>
          <w:ilvl w:val="0"/>
          <w:numId w:val="0"/>
        </w:numPr>
        <w:ind w:leftChars="0"/>
        <w:rPr>
          <w:rFonts w:hint="eastAsia" w:ascii="宋体" w:hAnsi="宋体"/>
          <w:color w:val="984807" w:themeColor="accent6" w:themeShade="80"/>
          <w:sz w:val="32"/>
          <w:szCs w:val="32"/>
          <w:lang w:eastAsia="zh-CN"/>
        </w:rPr>
      </w:pPr>
    </w:p>
    <w:p>
      <w:pPr>
        <w:pStyle w:val="66"/>
        <w:numPr>
          <w:ilvl w:val="0"/>
          <w:numId w:val="0"/>
        </w:numPr>
        <w:ind w:leftChars="0"/>
        <w:rPr>
          <w:rFonts w:hint="eastAsia" w:ascii="宋体" w:hAnsi="宋体"/>
          <w:color w:val="984807" w:themeColor="accent6" w:themeShade="80"/>
          <w:sz w:val="32"/>
          <w:szCs w:val="32"/>
          <w:lang w:eastAsia="zh-CN"/>
        </w:rPr>
      </w:pPr>
    </w:p>
    <w:p>
      <w:pPr>
        <w:pStyle w:val="3"/>
        <w:spacing w:after="468"/>
      </w:pPr>
      <w:bookmarkStart w:id="0" w:name="_Toc31878"/>
      <w:r>
        <w:rPr>
          <w:rFonts w:hint="eastAsia"/>
        </w:rPr>
        <w:t>日常维护</w:t>
      </w:r>
      <w:r>
        <w:rPr>
          <w:rFonts w:hint="eastAsia"/>
          <w:lang w:eastAsia="zh-CN"/>
        </w:rPr>
        <w:t>服务</w:t>
      </w:r>
      <w:bookmarkEnd w:id="0"/>
    </w:p>
    <w:p>
      <w:pPr>
        <w:pStyle w:val="4"/>
        <w:bidi w:val="0"/>
        <w:rPr>
          <w:rFonts w:hint="eastAsia"/>
        </w:rPr>
      </w:pPr>
      <w:bookmarkStart w:id="1" w:name="_Toc16302"/>
      <w:r>
        <w:rPr>
          <w:rFonts w:hint="eastAsia"/>
        </w:rPr>
        <w:t>服务台设备维护</w:t>
      </w:r>
      <w:bookmarkEnd w:id="1"/>
    </w:p>
    <w:p>
      <w:pPr>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目前各厂及公司都建立了呼叫终端，为了保障用户顺利呼入咨询问题，需对服务台硬件设备进行维护。设备</w:t>
      </w:r>
      <w:r>
        <w:rPr>
          <w:rFonts w:hint="eastAsia" w:ascii="仿宋_GB2312" w:hAnsi="仿宋" w:eastAsia="仿宋_GB2312"/>
          <w:sz w:val="28"/>
          <w:szCs w:val="28"/>
          <w:lang w:eastAsia="zh-CN"/>
        </w:rPr>
        <w:t>本月情况</w:t>
      </w:r>
      <w:r>
        <w:rPr>
          <w:rFonts w:hint="eastAsia" w:ascii="仿宋_GB2312" w:hAnsi="仿宋" w:eastAsia="仿宋_GB2312"/>
          <w:sz w:val="28"/>
          <w:szCs w:val="28"/>
        </w:rPr>
        <w:t>如下：</w:t>
      </w:r>
    </w:p>
    <w:tbl>
      <w:tblPr>
        <w:tblStyle w:val="34"/>
        <w:tblpPr w:leftFromText="180" w:rightFromText="180" w:vertAnchor="text" w:horzAnchor="page" w:tblpX="917" w:tblpY="485"/>
        <w:tblOverlap w:val="never"/>
        <w:tblW w:w="10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067"/>
        <w:gridCol w:w="4296"/>
        <w:gridCol w:w="112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0" w:type="dxa"/>
            <w:tcBorders>
              <w:top w:val="single" w:color="auto" w:sz="8" w:space="0"/>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序号</w:t>
            </w:r>
          </w:p>
        </w:tc>
        <w:tc>
          <w:tcPr>
            <w:tcW w:w="3067" w:type="dxa"/>
            <w:tcBorders>
              <w:top w:val="single" w:color="auto" w:sz="8" w:space="0"/>
              <w:left w:val="nil"/>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名称</w:t>
            </w:r>
          </w:p>
        </w:tc>
        <w:tc>
          <w:tcPr>
            <w:tcW w:w="4296" w:type="dxa"/>
            <w:tcBorders>
              <w:top w:val="single" w:color="auto" w:sz="8" w:space="0"/>
              <w:left w:val="nil"/>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资产型号</w:t>
            </w:r>
          </w:p>
        </w:tc>
        <w:tc>
          <w:tcPr>
            <w:tcW w:w="1126" w:type="dxa"/>
            <w:tcBorders>
              <w:top w:val="single" w:color="auto" w:sz="8" w:space="0"/>
              <w:left w:val="nil"/>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数量</w:t>
            </w:r>
          </w:p>
        </w:tc>
        <w:tc>
          <w:tcPr>
            <w:tcW w:w="1246" w:type="dxa"/>
            <w:tcBorders>
              <w:top w:val="single" w:color="auto" w:sz="8" w:space="0"/>
              <w:left w:val="nil"/>
              <w:bottom w:val="single" w:color="000000" w:sz="8" w:space="0"/>
              <w:right w:val="single" w:color="auto" w:sz="8" w:space="0"/>
            </w:tcBorders>
            <w:vAlign w:val="center"/>
          </w:tcPr>
          <w:p>
            <w:pPr>
              <w:widowControl/>
              <w:spacing w:line="360" w:lineRule="auto"/>
              <w:ind w:left="0" w:leftChars="0" w:firstLine="0" w:firstLineChars="0"/>
              <w:jc w:val="center"/>
              <w:rPr>
                <w:rFonts w:hint="eastAsia" w:ascii="宋体" w:hAnsi="宋体" w:eastAsia="宋体" w:cs="宋体"/>
                <w:kern w:val="0"/>
                <w:szCs w:val="21"/>
                <w:lang w:eastAsia="zh-CN"/>
              </w:rPr>
            </w:pPr>
            <w:r>
              <w:rPr>
                <w:rFonts w:hint="eastAsia" w:ascii="宋体" w:hAnsi="宋体" w:cs="宋体"/>
                <w:kern w:val="0"/>
                <w:szCs w:val="21"/>
                <w:lang w:eastAsia="zh-CN"/>
              </w:rPr>
              <w:t>设备状态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080" w:type="dxa"/>
            <w:tcBorders>
              <w:top w:val="nil"/>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1</w:t>
            </w:r>
          </w:p>
        </w:tc>
        <w:tc>
          <w:tcPr>
            <w:tcW w:w="3067" w:type="dxa"/>
            <w:tcBorders>
              <w:top w:val="nil"/>
              <w:left w:val="nil"/>
              <w:bottom w:val="single" w:color="auto" w:sz="8" w:space="0"/>
              <w:right w:val="single" w:color="auto" w:sz="8" w:space="0"/>
            </w:tcBorders>
            <w:vAlign w:val="center"/>
          </w:tcPr>
          <w:p>
            <w:pPr>
              <w:widowControl/>
              <w:spacing w:line="360" w:lineRule="auto"/>
              <w:rPr>
                <w:rFonts w:ascii="宋体" w:hAnsi="宋体" w:cs="宋体"/>
                <w:kern w:val="0"/>
                <w:szCs w:val="21"/>
              </w:rPr>
            </w:pPr>
            <w:r>
              <w:rPr>
                <w:rFonts w:hint="eastAsia" w:ascii="宋体" w:hAnsi="宋体" w:cs="宋体"/>
                <w:kern w:val="0"/>
                <w:szCs w:val="21"/>
              </w:rPr>
              <w:t>交换机</w:t>
            </w:r>
          </w:p>
        </w:tc>
        <w:tc>
          <w:tcPr>
            <w:tcW w:w="429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AVAYA IP office 500</w:t>
            </w:r>
          </w:p>
        </w:tc>
        <w:tc>
          <w:tcPr>
            <w:tcW w:w="1126"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kern w:val="0"/>
                <w:szCs w:val="21"/>
              </w:rPr>
            </w:pPr>
            <w:r>
              <w:rPr>
                <w:rFonts w:hint="eastAsia" w:ascii="宋体" w:hAnsi="宋体" w:cs="宋体"/>
                <w:kern w:val="0"/>
                <w:szCs w:val="21"/>
              </w:rPr>
              <w:t>1</w:t>
            </w:r>
          </w:p>
        </w:tc>
        <w:tc>
          <w:tcPr>
            <w:tcW w:w="124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hint="eastAsia" w:ascii="宋体" w:hAnsi="宋体" w:eastAsia="宋体" w:cs="宋体"/>
                <w:kern w:val="0"/>
                <w:szCs w:val="21"/>
                <w:lang w:eastAsia="zh-CN"/>
              </w:rPr>
            </w:pPr>
            <w:r>
              <w:rPr>
                <w:rFonts w:hint="eastAsia" w:ascii="宋体" w:hAnsi="宋体" w:cs="宋体"/>
                <w:kern w:val="0"/>
                <w:szCs w:val="21"/>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080" w:type="dxa"/>
            <w:tcBorders>
              <w:top w:val="nil"/>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2</w:t>
            </w:r>
          </w:p>
        </w:tc>
        <w:tc>
          <w:tcPr>
            <w:tcW w:w="3067" w:type="dxa"/>
            <w:tcBorders>
              <w:top w:val="nil"/>
              <w:left w:val="nil"/>
              <w:bottom w:val="single" w:color="auto" w:sz="8" w:space="0"/>
              <w:right w:val="single" w:color="auto" w:sz="8" w:space="0"/>
            </w:tcBorders>
            <w:vAlign w:val="center"/>
          </w:tcPr>
          <w:p>
            <w:pPr>
              <w:widowControl/>
              <w:spacing w:line="360" w:lineRule="auto"/>
              <w:rPr>
                <w:rFonts w:ascii="宋体" w:hAnsi="宋体" w:cs="宋体"/>
                <w:kern w:val="0"/>
                <w:szCs w:val="21"/>
              </w:rPr>
            </w:pPr>
            <w:r>
              <w:rPr>
                <w:rFonts w:hint="eastAsia" w:ascii="宋体" w:hAnsi="宋体" w:cs="宋体"/>
                <w:kern w:val="0"/>
                <w:szCs w:val="21"/>
              </w:rPr>
              <w:t>DELL CTI服务器</w:t>
            </w:r>
          </w:p>
        </w:tc>
        <w:tc>
          <w:tcPr>
            <w:tcW w:w="429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DELL R720</w:t>
            </w:r>
          </w:p>
        </w:tc>
        <w:tc>
          <w:tcPr>
            <w:tcW w:w="1126"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kern w:val="0"/>
                <w:szCs w:val="21"/>
              </w:rPr>
            </w:pPr>
            <w:r>
              <w:rPr>
                <w:rFonts w:hint="eastAsia" w:ascii="宋体" w:hAnsi="宋体" w:cs="宋体"/>
                <w:kern w:val="0"/>
                <w:szCs w:val="21"/>
              </w:rPr>
              <w:t>2</w:t>
            </w:r>
          </w:p>
        </w:tc>
        <w:tc>
          <w:tcPr>
            <w:tcW w:w="124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hint="eastAsia" w:ascii="宋体" w:hAnsi="宋体" w:eastAsia="宋体" w:cs="宋体"/>
                <w:kern w:val="0"/>
                <w:szCs w:val="21"/>
                <w:lang w:eastAsia="zh-CN"/>
              </w:rPr>
            </w:pPr>
            <w:r>
              <w:rPr>
                <w:rFonts w:hint="eastAsia" w:ascii="宋体" w:hAnsi="宋体" w:cs="宋体"/>
                <w:kern w:val="0"/>
                <w:szCs w:val="21"/>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080" w:type="dxa"/>
            <w:tcBorders>
              <w:top w:val="nil"/>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3</w:t>
            </w:r>
          </w:p>
        </w:tc>
        <w:tc>
          <w:tcPr>
            <w:tcW w:w="3067" w:type="dxa"/>
            <w:tcBorders>
              <w:top w:val="nil"/>
              <w:left w:val="nil"/>
              <w:bottom w:val="single" w:color="auto" w:sz="8" w:space="0"/>
              <w:right w:val="single" w:color="auto" w:sz="8" w:space="0"/>
            </w:tcBorders>
            <w:vAlign w:val="center"/>
          </w:tcPr>
          <w:p>
            <w:pPr>
              <w:widowControl/>
              <w:spacing w:line="360" w:lineRule="auto"/>
              <w:rPr>
                <w:rFonts w:ascii="宋体" w:hAnsi="宋体" w:cs="宋体"/>
                <w:kern w:val="0"/>
                <w:szCs w:val="21"/>
              </w:rPr>
            </w:pPr>
            <w:r>
              <w:rPr>
                <w:rFonts w:hint="eastAsia" w:ascii="宋体" w:hAnsi="宋体" w:cs="宋体"/>
                <w:kern w:val="0"/>
                <w:szCs w:val="21"/>
              </w:rPr>
              <w:t>DELL抓包录音服务器</w:t>
            </w:r>
          </w:p>
        </w:tc>
        <w:tc>
          <w:tcPr>
            <w:tcW w:w="429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DELL R720</w:t>
            </w:r>
          </w:p>
        </w:tc>
        <w:tc>
          <w:tcPr>
            <w:tcW w:w="1126"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kern w:val="0"/>
                <w:szCs w:val="21"/>
              </w:rPr>
            </w:pPr>
            <w:r>
              <w:rPr>
                <w:rFonts w:hint="eastAsia" w:ascii="宋体" w:hAnsi="宋体" w:cs="宋体"/>
                <w:kern w:val="0"/>
                <w:szCs w:val="21"/>
              </w:rPr>
              <w:t>1</w:t>
            </w:r>
          </w:p>
        </w:tc>
        <w:tc>
          <w:tcPr>
            <w:tcW w:w="124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hint="eastAsia" w:ascii="宋体" w:hAnsi="宋体" w:eastAsia="宋体" w:cs="宋体"/>
                <w:kern w:val="0"/>
                <w:szCs w:val="21"/>
                <w:lang w:eastAsia="zh-CN"/>
              </w:rPr>
            </w:pPr>
            <w:r>
              <w:rPr>
                <w:rFonts w:hint="eastAsia" w:ascii="宋体" w:hAnsi="宋体" w:cs="宋体"/>
                <w:kern w:val="0"/>
                <w:szCs w:val="21"/>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80" w:type="dxa"/>
            <w:tcBorders>
              <w:top w:val="nil"/>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4</w:t>
            </w:r>
          </w:p>
        </w:tc>
        <w:tc>
          <w:tcPr>
            <w:tcW w:w="3067" w:type="dxa"/>
            <w:tcBorders>
              <w:top w:val="nil"/>
              <w:left w:val="nil"/>
              <w:bottom w:val="single" w:color="auto" w:sz="8" w:space="0"/>
              <w:right w:val="single" w:color="auto" w:sz="8" w:space="0"/>
            </w:tcBorders>
            <w:vAlign w:val="center"/>
          </w:tcPr>
          <w:p>
            <w:pPr>
              <w:widowControl/>
              <w:spacing w:line="360" w:lineRule="auto"/>
              <w:rPr>
                <w:rFonts w:ascii="宋体" w:hAnsi="宋体" w:cs="宋体"/>
                <w:kern w:val="0"/>
                <w:szCs w:val="21"/>
              </w:rPr>
            </w:pPr>
            <w:r>
              <w:rPr>
                <w:rFonts w:hint="eastAsia" w:ascii="宋体" w:hAnsi="宋体" w:cs="宋体"/>
                <w:kern w:val="0"/>
                <w:szCs w:val="21"/>
              </w:rPr>
              <w:t>IVR服务器</w:t>
            </w:r>
          </w:p>
        </w:tc>
        <w:tc>
          <w:tcPr>
            <w:tcW w:w="429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研华 IPC610H（含三汇语音卡）</w:t>
            </w:r>
          </w:p>
        </w:tc>
        <w:tc>
          <w:tcPr>
            <w:tcW w:w="1126"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kern w:val="0"/>
                <w:szCs w:val="21"/>
              </w:rPr>
            </w:pPr>
            <w:r>
              <w:rPr>
                <w:rFonts w:hint="eastAsia" w:ascii="宋体" w:hAnsi="宋体" w:cs="宋体"/>
                <w:kern w:val="0"/>
                <w:szCs w:val="21"/>
              </w:rPr>
              <w:t>2</w:t>
            </w:r>
          </w:p>
        </w:tc>
        <w:tc>
          <w:tcPr>
            <w:tcW w:w="124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hint="eastAsia" w:ascii="宋体" w:hAnsi="宋体" w:eastAsia="宋体" w:cs="宋体"/>
                <w:kern w:val="0"/>
                <w:szCs w:val="21"/>
                <w:lang w:eastAsia="zh-CN"/>
              </w:rPr>
            </w:pPr>
            <w:r>
              <w:rPr>
                <w:rFonts w:hint="eastAsia" w:ascii="宋体" w:hAnsi="宋体" w:cs="宋体"/>
                <w:kern w:val="0"/>
                <w:szCs w:val="21"/>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80" w:type="dxa"/>
            <w:tcBorders>
              <w:top w:val="nil"/>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5</w:t>
            </w:r>
          </w:p>
        </w:tc>
        <w:tc>
          <w:tcPr>
            <w:tcW w:w="3067" w:type="dxa"/>
            <w:tcBorders>
              <w:top w:val="nil"/>
              <w:left w:val="nil"/>
              <w:bottom w:val="single" w:color="auto" w:sz="8" w:space="0"/>
              <w:right w:val="single" w:color="auto" w:sz="8" w:space="0"/>
            </w:tcBorders>
            <w:vAlign w:val="center"/>
          </w:tcPr>
          <w:p>
            <w:pPr>
              <w:widowControl/>
              <w:spacing w:line="360" w:lineRule="auto"/>
              <w:rPr>
                <w:rFonts w:ascii="宋体" w:hAnsi="宋体" w:cs="宋体"/>
                <w:kern w:val="0"/>
                <w:szCs w:val="21"/>
              </w:rPr>
            </w:pPr>
            <w:r>
              <w:rPr>
                <w:rFonts w:hint="eastAsia" w:ascii="宋体" w:hAnsi="宋体" w:cs="宋体"/>
                <w:kern w:val="0"/>
                <w:szCs w:val="21"/>
              </w:rPr>
              <w:t>IVR服务器语音板卡</w:t>
            </w:r>
          </w:p>
        </w:tc>
        <w:tc>
          <w:tcPr>
            <w:tcW w:w="429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三汇模拟中继卡</w:t>
            </w:r>
          </w:p>
        </w:tc>
        <w:tc>
          <w:tcPr>
            <w:tcW w:w="1126"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kern w:val="0"/>
                <w:szCs w:val="21"/>
              </w:rPr>
            </w:pPr>
            <w:r>
              <w:rPr>
                <w:rFonts w:hint="eastAsia" w:ascii="宋体" w:hAnsi="宋体" w:cs="宋体"/>
                <w:kern w:val="0"/>
                <w:szCs w:val="21"/>
              </w:rPr>
              <w:t>2</w:t>
            </w:r>
          </w:p>
        </w:tc>
        <w:tc>
          <w:tcPr>
            <w:tcW w:w="124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hint="eastAsia" w:ascii="宋体" w:hAnsi="宋体" w:cs="宋体"/>
                <w:kern w:val="0"/>
                <w:szCs w:val="21"/>
              </w:rPr>
            </w:pPr>
            <w:r>
              <w:rPr>
                <w:rFonts w:hint="eastAsia" w:ascii="宋体" w:hAnsi="宋体" w:cs="宋体"/>
                <w:kern w:val="0"/>
                <w:szCs w:val="21"/>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080" w:type="dxa"/>
            <w:tcBorders>
              <w:top w:val="nil"/>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6</w:t>
            </w:r>
          </w:p>
        </w:tc>
        <w:tc>
          <w:tcPr>
            <w:tcW w:w="3067" w:type="dxa"/>
            <w:tcBorders>
              <w:top w:val="nil"/>
              <w:left w:val="nil"/>
              <w:bottom w:val="single" w:color="auto" w:sz="8" w:space="0"/>
              <w:right w:val="single" w:color="auto" w:sz="8" w:space="0"/>
            </w:tcBorders>
            <w:vAlign w:val="center"/>
          </w:tcPr>
          <w:p>
            <w:pPr>
              <w:widowControl/>
              <w:spacing w:line="360" w:lineRule="auto"/>
              <w:rPr>
                <w:rFonts w:ascii="宋体" w:hAnsi="宋体" w:cs="宋体"/>
                <w:kern w:val="0"/>
                <w:szCs w:val="21"/>
              </w:rPr>
            </w:pPr>
            <w:r>
              <w:rPr>
                <w:rFonts w:hint="eastAsia" w:ascii="宋体" w:hAnsi="宋体" w:cs="宋体"/>
                <w:kern w:val="0"/>
                <w:szCs w:val="21"/>
              </w:rPr>
              <w:t>机柜（呼叫中心）</w:t>
            </w:r>
          </w:p>
        </w:tc>
        <w:tc>
          <w:tcPr>
            <w:tcW w:w="4296" w:type="dxa"/>
            <w:tcBorders>
              <w:top w:val="nil"/>
              <w:left w:val="nil"/>
              <w:bottom w:val="single" w:color="auto" w:sz="8" w:space="0"/>
              <w:right w:val="single" w:color="auto" w:sz="8" w:space="0"/>
            </w:tcBorders>
            <w:vAlign w:val="center"/>
          </w:tcPr>
          <w:p>
            <w:pPr>
              <w:widowControl/>
              <w:spacing w:line="360" w:lineRule="auto"/>
              <w:jc w:val="center"/>
              <w:rPr>
                <w:rFonts w:ascii="宋体" w:hAnsi="宋体" w:cs="宋体"/>
                <w:kern w:val="0"/>
                <w:szCs w:val="21"/>
              </w:rPr>
            </w:pPr>
          </w:p>
        </w:tc>
        <w:tc>
          <w:tcPr>
            <w:tcW w:w="1126"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kern w:val="0"/>
                <w:szCs w:val="21"/>
              </w:rPr>
            </w:pPr>
            <w:r>
              <w:rPr>
                <w:rFonts w:hint="eastAsia" w:ascii="宋体" w:hAnsi="宋体" w:cs="宋体"/>
                <w:kern w:val="0"/>
                <w:szCs w:val="21"/>
              </w:rPr>
              <w:t>1</w:t>
            </w:r>
          </w:p>
        </w:tc>
        <w:tc>
          <w:tcPr>
            <w:tcW w:w="124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hint="eastAsia" w:ascii="宋体" w:hAnsi="宋体" w:cs="宋体"/>
                <w:kern w:val="0"/>
                <w:szCs w:val="21"/>
              </w:rPr>
            </w:pPr>
            <w:r>
              <w:rPr>
                <w:rFonts w:hint="eastAsia" w:ascii="宋体" w:hAnsi="宋体" w:cs="宋体"/>
                <w:kern w:val="0"/>
                <w:szCs w:val="21"/>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080" w:type="dxa"/>
            <w:tcBorders>
              <w:top w:val="nil"/>
              <w:left w:val="single" w:color="auto" w:sz="8" w:space="0"/>
              <w:bottom w:val="single" w:color="000000"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7</w:t>
            </w:r>
          </w:p>
        </w:tc>
        <w:tc>
          <w:tcPr>
            <w:tcW w:w="3067" w:type="dxa"/>
            <w:tcBorders>
              <w:top w:val="nil"/>
              <w:left w:val="nil"/>
              <w:bottom w:val="single" w:color="auto" w:sz="8" w:space="0"/>
              <w:right w:val="single" w:color="auto" w:sz="8" w:space="0"/>
            </w:tcBorders>
            <w:vAlign w:val="center"/>
          </w:tcPr>
          <w:p>
            <w:pPr>
              <w:widowControl/>
              <w:spacing w:line="360" w:lineRule="auto"/>
              <w:rPr>
                <w:rFonts w:ascii="宋体" w:hAnsi="宋体" w:cs="宋体"/>
                <w:kern w:val="0"/>
                <w:szCs w:val="21"/>
              </w:rPr>
            </w:pPr>
            <w:r>
              <w:rPr>
                <w:rFonts w:hint="eastAsia" w:ascii="宋体" w:hAnsi="宋体" w:cs="宋体"/>
                <w:kern w:val="0"/>
                <w:szCs w:val="21"/>
              </w:rPr>
              <w:t>坐席话机</w:t>
            </w:r>
          </w:p>
        </w:tc>
        <w:tc>
          <w:tcPr>
            <w:tcW w:w="429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ascii="宋体" w:hAnsi="宋体" w:cs="宋体"/>
                <w:kern w:val="0"/>
                <w:szCs w:val="21"/>
              </w:rPr>
            </w:pPr>
            <w:r>
              <w:rPr>
                <w:rFonts w:hint="eastAsia" w:ascii="宋体" w:hAnsi="宋体" w:cs="宋体"/>
                <w:kern w:val="0"/>
                <w:szCs w:val="21"/>
              </w:rPr>
              <w:t>AVAYA IP PHONE 1608-I BLK 1608-I IP电话</w:t>
            </w:r>
          </w:p>
        </w:tc>
        <w:tc>
          <w:tcPr>
            <w:tcW w:w="1126"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kern w:val="0"/>
                <w:szCs w:val="21"/>
              </w:rPr>
            </w:pPr>
            <w:r>
              <w:rPr>
                <w:rFonts w:hint="eastAsia" w:ascii="宋体" w:hAnsi="宋体" w:cs="宋体"/>
                <w:kern w:val="0"/>
                <w:szCs w:val="21"/>
              </w:rPr>
              <w:t>2</w:t>
            </w:r>
            <w:r>
              <w:rPr>
                <w:rFonts w:ascii="宋体" w:hAnsi="宋体" w:cs="宋体"/>
                <w:kern w:val="0"/>
                <w:szCs w:val="21"/>
              </w:rPr>
              <w:t>8</w:t>
            </w:r>
          </w:p>
        </w:tc>
        <w:tc>
          <w:tcPr>
            <w:tcW w:w="1246" w:type="dxa"/>
            <w:tcBorders>
              <w:top w:val="nil"/>
              <w:left w:val="nil"/>
              <w:bottom w:val="single" w:color="auto" w:sz="8" w:space="0"/>
              <w:right w:val="single" w:color="auto" w:sz="8" w:space="0"/>
            </w:tcBorders>
            <w:vAlign w:val="center"/>
          </w:tcPr>
          <w:p>
            <w:pPr>
              <w:widowControl/>
              <w:spacing w:line="360" w:lineRule="auto"/>
              <w:ind w:left="0" w:leftChars="0" w:firstLine="0" w:firstLineChars="0"/>
              <w:jc w:val="center"/>
              <w:rPr>
                <w:rFonts w:hint="eastAsia" w:ascii="宋体" w:hAnsi="宋体" w:cs="宋体"/>
                <w:kern w:val="0"/>
                <w:szCs w:val="21"/>
              </w:rPr>
            </w:pPr>
            <w:r>
              <w:rPr>
                <w:rFonts w:hint="eastAsia" w:ascii="宋体" w:hAnsi="宋体" w:cs="宋体"/>
                <w:kern w:val="0"/>
                <w:szCs w:val="21"/>
                <w:lang w:eastAsia="zh-CN"/>
              </w:rPr>
              <w:t>正常</w:t>
            </w:r>
          </w:p>
        </w:tc>
      </w:tr>
    </w:tbl>
    <w:p>
      <w:pPr>
        <w:pStyle w:val="2"/>
        <w:keepNext w:val="0"/>
        <w:keepLines w:val="0"/>
        <w:pageBreakBefore w:val="0"/>
        <w:widowControl/>
        <w:kinsoku/>
        <w:wordWrap/>
        <w:overflowPunct/>
        <w:topLinePunct w:val="0"/>
        <w:autoSpaceDE/>
        <w:autoSpaceDN/>
        <w:bidi w:val="0"/>
        <w:adjustRightInd/>
        <w:snapToGrid/>
        <w:ind w:firstLine="560" w:firstLineChars="200"/>
        <w:textAlignment w:val="auto"/>
        <w:rPr>
          <w:rFonts w:hint="eastAsia" w:ascii="仿宋_GB2312" w:hAnsi="仿宋" w:eastAsia="仿宋_GB2312" w:cs="Times New Roman"/>
          <w:color w:val="FF0000"/>
          <w:kern w:val="2"/>
          <w:sz w:val="28"/>
          <w:szCs w:val="28"/>
          <w:lang w:val="en-US" w:eastAsia="zh-CN" w:bidi="ar-SA"/>
        </w:rPr>
      </w:pPr>
      <w:r>
        <w:rPr>
          <w:rFonts w:hint="eastAsia" w:ascii="仿宋_GB2312" w:hAnsi="仿宋" w:eastAsia="仿宋_GB2312" w:cs="Times New Roman"/>
          <w:color w:val="FF0000"/>
          <w:kern w:val="2"/>
          <w:sz w:val="28"/>
          <w:szCs w:val="28"/>
          <w:lang w:val="en-US" w:eastAsia="zh-CN" w:bidi="ar-SA"/>
        </w:rPr>
        <w:t>本月服务台设备无故障发生。</w:t>
      </w:r>
    </w:p>
    <w:p>
      <w:pPr>
        <w:pStyle w:val="4"/>
        <w:bidi w:val="0"/>
        <w:rPr>
          <w:rFonts w:hint="eastAsia"/>
        </w:rPr>
      </w:pPr>
      <w:bookmarkStart w:id="2" w:name="_Toc288"/>
      <w:r>
        <w:rPr>
          <w:rFonts w:hint="eastAsia"/>
        </w:rPr>
        <w:t>业务流程维护</w:t>
      </w:r>
      <w:bookmarkEnd w:id="2"/>
    </w:p>
    <w:p>
      <w:pPr>
        <w:spacing w:line="360" w:lineRule="auto"/>
        <w:ind w:firstLine="560" w:firstLineChars="200"/>
        <w:rPr>
          <w:rFonts w:hint="eastAsia"/>
        </w:rPr>
      </w:pPr>
      <w:r>
        <w:rPr>
          <w:rFonts w:hint="eastAsia" w:ascii="仿宋_GB2312" w:hAnsi="仿宋" w:eastAsia="仿宋_GB2312"/>
          <w:sz w:val="28"/>
          <w:szCs w:val="28"/>
        </w:rPr>
        <w:t>目前综合运维管理平台有事件管理、问题管理、变更管理、任务管理、配置管理、运维大屏等功能模块，涵盖信息化日常工作的各个方面。随着信息化业务的不断发展和变化，配合广东中烟对这些流程不断地同步完善和优化。</w:t>
      </w:r>
    </w:p>
    <w:p>
      <w:pPr>
        <w:pStyle w:val="2"/>
        <w:ind w:firstLine="560" w:firstLineChars="200"/>
        <w:rPr>
          <w:rFonts w:hint="eastAsia" w:ascii="仿宋_GB2312" w:hAnsi="仿宋" w:eastAsia="仿宋_GB2312"/>
          <w:sz w:val="28"/>
          <w:szCs w:val="28"/>
          <w:lang w:eastAsia="zh-CN"/>
        </w:rPr>
      </w:pPr>
      <w:r>
        <w:rPr>
          <w:rFonts w:hint="eastAsia" w:ascii="仿宋_GB2312" w:hAnsi="仿宋" w:eastAsia="仿宋_GB2312"/>
          <w:sz w:val="28"/>
          <w:szCs w:val="28"/>
          <w:lang w:eastAsia="zh-CN"/>
        </w:rPr>
        <w:t>本月具体维护工作如下：</w:t>
      </w:r>
    </w:p>
    <w:tbl>
      <w:tblPr>
        <w:tblStyle w:val="35"/>
        <w:tblW w:w="101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02"/>
        <w:gridCol w:w="1933"/>
        <w:gridCol w:w="2950"/>
        <w:gridCol w:w="1540"/>
        <w:gridCol w:w="1198"/>
        <w:gridCol w:w="13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5" w:hRule="atLeast"/>
        </w:trPr>
        <w:tc>
          <w:tcPr>
            <w:tcW w:w="1202" w:type="dxa"/>
            <w:shd w:val="clear" w:color="auto" w:fill="B8CCE4" w:themeFill="accent1" w:themeFillTint="66"/>
            <w:vAlign w:val="top"/>
          </w:tcPr>
          <w:p>
            <w:pPr>
              <w:spacing w:line="360" w:lineRule="auto"/>
              <w:ind w:left="0" w:leftChars="0" w:firstLine="211" w:firstLineChars="100"/>
              <w:jc w:val="both"/>
              <w:rPr>
                <w:rFonts w:asciiTheme="minorEastAsia" w:hAnsiTheme="minorEastAsia"/>
                <w:b/>
                <w:sz w:val="21"/>
                <w:szCs w:val="21"/>
                <w:highlight w:val="none"/>
              </w:rPr>
            </w:pPr>
            <w:r>
              <w:rPr>
                <w:rFonts w:hint="eastAsia" w:asciiTheme="minorEastAsia" w:hAnsiTheme="minorEastAsia"/>
                <w:b/>
                <w:sz w:val="21"/>
                <w:szCs w:val="21"/>
                <w:highlight w:val="none"/>
              </w:rPr>
              <w:t>序号</w:t>
            </w:r>
          </w:p>
        </w:tc>
        <w:tc>
          <w:tcPr>
            <w:tcW w:w="1933" w:type="dxa"/>
            <w:shd w:val="clear" w:color="auto" w:fill="B8CCE4" w:themeFill="accent1" w:themeFillTint="66"/>
            <w:vAlign w:val="top"/>
          </w:tcPr>
          <w:p>
            <w:pPr>
              <w:spacing w:line="360" w:lineRule="auto"/>
              <w:ind w:firstLine="632" w:firstLineChars="300"/>
              <w:rPr>
                <w:rFonts w:asciiTheme="minorEastAsia" w:hAnsiTheme="minorEastAsia"/>
                <w:b/>
                <w:sz w:val="21"/>
                <w:szCs w:val="21"/>
                <w:highlight w:val="none"/>
              </w:rPr>
            </w:pPr>
            <w:r>
              <w:rPr>
                <w:rFonts w:hint="eastAsia" w:asciiTheme="minorEastAsia" w:hAnsiTheme="minorEastAsia"/>
                <w:b/>
                <w:sz w:val="21"/>
                <w:szCs w:val="21"/>
                <w:highlight w:val="none"/>
              </w:rPr>
              <w:t>日期</w:t>
            </w:r>
          </w:p>
        </w:tc>
        <w:tc>
          <w:tcPr>
            <w:tcW w:w="2950" w:type="dxa"/>
            <w:shd w:val="clear" w:color="auto" w:fill="B8CCE4" w:themeFill="accent1" w:themeFillTint="66"/>
            <w:vAlign w:val="top"/>
          </w:tcPr>
          <w:p>
            <w:pPr>
              <w:spacing w:line="360" w:lineRule="auto"/>
              <w:ind w:firstLine="632" w:firstLineChars="300"/>
              <w:rPr>
                <w:rFonts w:asciiTheme="minorEastAsia" w:hAnsiTheme="minorEastAsia"/>
                <w:b/>
                <w:sz w:val="21"/>
                <w:szCs w:val="21"/>
                <w:highlight w:val="none"/>
              </w:rPr>
            </w:pPr>
            <w:r>
              <w:rPr>
                <w:rFonts w:asciiTheme="minorEastAsia" w:hAnsiTheme="minorEastAsia"/>
                <w:b/>
                <w:sz w:val="21"/>
                <w:szCs w:val="21"/>
                <w:highlight w:val="none"/>
              </w:rPr>
              <w:t>运维事项</w:t>
            </w:r>
          </w:p>
        </w:tc>
        <w:tc>
          <w:tcPr>
            <w:tcW w:w="1540" w:type="dxa"/>
            <w:shd w:val="clear" w:color="auto" w:fill="B8CCE4" w:themeFill="accent1" w:themeFillTint="66"/>
            <w:vAlign w:val="top"/>
          </w:tcPr>
          <w:p>
            <w:pPr>
              <w:spacing w:line="360" w:lineRule="auto"/>
              <w:ind w:left="0" w:leftChars="0" w:firstLine="0" w:firstLineChars="0"/>
              <w:rPr>
                <w:rFonts w:asciiTheme="minorEastAsia" w:hAnsiTheme="minorEastAsia"/>
                <w:b/>
                <w:sz w:val="21"/>
                <w:szCs w:val="21"/>
                <w:highlight w:val="none"/>
              </w:rPr>
            </w:pPr>
            <w:r>
              <w:rPr>
                <w:rFonts w:asciiTheme="minorEastAsia" w:hAnsiTheme="minorEastAsia"/>
                <w:b/>
                <w:sz w:val="21"/>
                <w:szCs w:val="21"/>
                <w:highlight w:val="none"/>
              </w:rPr>
              <w:t>处理过程</w:t>
            </w:r>
          </w:p>
        </w:tc>
        <w:tc>
          <w:tcPr>
            <w:tcW w:w="1198" w:type="dxa"/>
            <w:shd w:val="clear" w:color="auto" w:fill="B8CCE4" w:themeFill="accent1" w:themeFillTint="66"/>
            <w:vAlign w:val="top"/>
          </w:tcPr>
          <w:p>
            <w:pPr>
              <w:spacing w:line="360" w:lineRule="auto"/>
              <w:ind w:left="0" w:leftChars="0" w:firstLine="211" w:firstLineChars="100"/>
              <w:jc w:val="both"/>
              <w:rPr>
                <w:rFonts w:asciiTheme="minorEastAsia" w:hAnsiTheme="minorEastAsia"/>
                <w:b/>
                <w:sz w:val="21"/>
                <w:szCs w:val="21"/>
                <w:highlight w:val="none"/>
              </w:rPr>
            </w:pPr>
            <w:r>
              <w:rPr>
                <w:rFonts w:hint="eastAsia" w:asciiTheme="minorEastAsia" w:hAnsiTheme="minorEastAsia"/>
                <w:b/>
                <w:sz w:val="21"/>
                <w:szCs w:val="21"/>
                <w:highlight w:val="none"/>
              </w:rPr>
              <w:t>状态</w:t>
            </w:r>
          </w:p>
        </w:tc>
        <w:tc>
          <w:tcPr>
            <w:tcW w:w="1334" w:type="dxa"/>
            <w:shd w:val="clear" w:color="auto" w:fill="B8CCE4" w:themeFill="accent1" w:themeFillTint="66"/>
            <w:vAlign w:val="top"/>
          </w:tcPr>
          <w:p>
            <w:pPr>
              <w:spacing w:line="360" w:lineRule="auto"/>
              <w:ind w:left="0" w:leftChars="0" w:firstLine="211" w:firstLineChars="100"/>
              <w:rPr>
                <w:rFonts w:asciiTheme="minorEastAsia" w:hAnsiTheme="minorEastAsia"/>
                <w:b/>
                <w:sz w:val="21"/>
                <w:szCs w:val="21"/>
                <w:highlight w:val="none"/>
              </w:rPr>
            </w:pPr>
            <w:r>
              <w:rPr>
                <w:rFonts w:hint="eastAsia" w:asciiTheme="minorEastAsia" w:hAnsiTheme="minorEastAsia"/>
                <w:b/>
                <w:sz w:val="21"/>
                <w:szCs w:val="21"/>
                <w:highlight w:val="none"/>
                <w:lang w:eastAsia="zh-CN"/>
              </w:rPr>
              <w:t>处理</w:t>
            </w:r>
            <w:r>
              <w:rPr>
                <w:rFonts w:hint="eastAsia" w:asciiTheme="minorEastAsia" w:hAnsiTheme="minorEastAsia"/>
                <w:b/>
                <w:sz w:val="21"/>
                <w:szCs w:val="21"/>
                <w:highlight w:val="none"/>
              </w:rPr>
              <w:t>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8" w:hRule="atLeast"/>
        </w:trPr>
        <w:tc>
          <w:tcPr>
            <w:tcW w:w="1202" w:type="dxa"/>
            <w:shd w:val="clear" w:color="auto" w:fill="auto"/>
            <w:vAlign w:val="top"/>
          </w:tcPr>
          <w:p>
            <w:pPr>
              <w:numPr>
                <w:ilvl w:val="0"/>
                <w:numId w:val="4"/>
              </w:numPr>
              <w:spacing w:line="360" w:lineRule="auto"/>
              <w:ind w:left="425" w:leftChars="0" w:hanging="425" w:firstLineChars="0"/>
              <w:jc w:val="center"/>
              <w:rPr>
                <w:rFonts w:hint="eastAsia" w:asciiTheme="minorEastAsia" w:hAnsiTheme="minorEastAsia"/>
                <w:b w:val="0"/>
                <w:bCs/>
                <w:sz w:val="21"/>
                <w:szCs w:val="21"/>
                <w:highlight w:val="none"/>
              </w:rPr>
            </w:pPr>
          </w:p>
        </w:tc>
        <w:tc>
          <w:tcPr>
            <w:tcW w:w="1933" w:type="dxa"/>
            <w:shd w:val="clear" w:color="auto" w:fill="auto"/>
            <w:vAlign w:val="top"/>
          </w:tcPr>
          <w:p>
            <w:pPr>
              <w:spacing w:line="360" w:lineRule="auto"/>
              <w:rPr>
                <w:rFonts w:hint="default" w:eastAsia="宋体" w:asciiTheme="minorEastAsia" w:hAnsiTheme="minorEastAsia"/>
                <w:b/>
                <w:sz w:val="21"/>
                <w:szCs w:val="21"/>
                <w:highlight w:val="none"/>
                <w:lang w:val="en-US" w:eastAsia="zh-CN"/>
              </w:rPr>
            </w:pPr>
            <w:r>
              <w:rPr>
                <w:rFonts w:hint="eastAsia" w:ascii="Segoe UI Symbol" w:hAnsi="Segoe UI Symbol" w:eastAsiaTheme="minorEastAsia" w:cstheme="minorBidi"/>
                <w:color w:val="666666"/>
                <w:kern w:val="2"/>
                <w:sz w:val="21"/>
                <w:szCs w:val="21"/>
                <w:shd w:val="clear" w:color="auto" w:fill="FFFFFF"/>
                <w:lang w:val="en-US" w:eastAsia="zh-CN" w:bidi="ar-SA"/>
              </w:rPr>
              <w:t>2023/8/29</w:t>
            </w:r>
          </w:p>
        </w:tc>
        <w:tc>
          <w:tcPr>
            <w:tcW w:w="2950" w:type="dxa"/>
            <w:shd w:val="clear" w:color="auto" w:fill="auto"/>
            <w:vAlign w:val="top"/>
          </w:tcPr>
          <w:p>
            <w:pPr>
              <w:spacing w:line="360" w:lineRule="auto"/>
              <w:ind w:left="0" w:leftChars="0" w:firstLine="0" w:firstLineChars="0"/>
              <w:rPr>
                <w:rFonts w:hint="eastAsia" w:eastAsia="宋体" w:asciiTheme="minorEastAsia" w:hAnsiTheme="minorEastAsia"/>
                <w:b/>
                <w:sz w:val="21"/>
                <w:szCs w:val="21"/>
                <w:highlight w:val="none"/>
                <w:lang w:eastAsia="zh-CN"/>
              </w:rPr>
            </w:pPr>
            <w:r>
              <w:rPr>
                <w:rFonts w:hint="eastAsia" w:ascii="Segoe UI Symbol" w:hAnsi="Segoe UI Symbol" w:eastAsiaTheme="minorEastAsia" w:cstheme="minorBidi"/>
                <w:b w:val="0"/>
                <w:color w:val="666666"/>
                <w:sz w:val="21"/>
                <w:szCs w:val="21"/>
                <w:highlight w:val="none"/>
                <w:shd w:val="clear" w:color="auto" w:fill="FFFFFF"/>
                <w:lang w:eastAsia="zh-CN"/>
              </w:rPr>
              <w:t>新增肖文睿账号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68" w:hRule="atLeast"/>
        </w:trPr>
        <w:tc>
          <w:tcPr>
            <w:tcW w:w="1202" w:type="dxa"/>
            <w:shd w:val="clear" w:color="auto" w:fill="auto"/>
            <w:vAlign w:val="top"/>
          </w:tcPr>
          <w:p>
            <w:pPr>
              <w:numPr>
                <w:ilvl w:val="0"/>
                <w:numId w:val="4"/>
              </w:numPr>
              <w:spacing w:line="360" w:lineRule="auto"/>
              <w:ind w:left="425" w:leftChars="0" w:hanging="425" w:firstLineChars="0"/>
              <w:jc w:val="center"/>
              <w:rPr>
                <w:rFonts w:hint="eastAsia" w:asciiTheme="minorEastAsia" w:hAnsiTheme="minorEastAsia"/>
                <w:b w:val="0"/>
                <w:bCs/>
                <w:sz w:val="21"/>
                <w:szCs w:val="21"/>
                <w:highlight w:val="none"/>
              </w:rPr>
            </w:pPr>
          </w:p>
        </w:tc>
        <w:tc>
          <w:tcPr>
            <w:tcW w:w="1933" w:type="dxa"/>
            <w:shd w:val="clear" w:color="auto" w:fill="auto"/>
            <w:vAlign w:val="top"/>
          </w:tcPr>
          <w:p>
            <w:pPr>
              <w:spacing w:line="360" w:lineRule="auto"/>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新增韩进、陈基思账号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2023/9/4</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新增周培源、赖莹莹等4个账号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2023/9/5</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新增轩子赫账号，协助桌面删除有误工单</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2023/9/6</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新增郑畑账号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2023/9/7</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新增文瑜、郑洁怡账号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2023/9/8</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新增李文婧账号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2023/9/11</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新增张超鹏、徐文达、林志成账号，删除标题为“北村烟叶仓申请开通VPN账号”的变更工单</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3"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2023/9/15</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协助桌面删除有误工单</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3"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2023/9/18</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协助桌面删除有误工单</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2023/9/19</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新增梁华欢、叶佳娜账号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8"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2023/9/22</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新增徐敏账号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3" w:hRule="atLeast"/>
        </w:trPr>
        <w:tc>
          <w:tcPr>
            <w:tcW w:w="1202" w:type="dxa"/>
            <w:shd w:val="clear" w:color="auto" w:fill="auto"/>
            <w:vAlign w:val="top"/>
          </w:tcPr>
          <w:p>
            <w:pPr>
              <w:pStyle w:val="66"/>
              <w:numPr>
                <w:ilvl w:val="0"/>
                <w:numId w:val="4"/>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2023/9/25</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协助删除周厚琼的有误工单</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bl>
    <w:p>
      <w:pPr>
        <w:pStyle w:val="4"/>
        <w:bidi w:val="0"/>
        <w:rPr>
          <w:rFonts w:hint="eastAsia"/>
          <w:lang w:val="en-US" w:eastAsia="zh-CN"/>
        </w:rPr>
      </w:pPr>
      <w:bookmarkStart w:id="3" w:name="_Toc700"/>
      <w:r>
        <w:rPr>
          <w:rFonts w:hint="eastAsia"/>
          <w:lang w:val="en-US" w:eastAsia="zh-CN"/>
        </w:rPr>
        <w:t>业务接口维护</w:t>
      </w:r>
      <w:bookmarkEnd w:id="3"/>
    </w:p>
    <w:p>
      <w:pPr>
        <w:spacing w:line="360" w:lineRule="auto"/>
        <w:ind w:firstLine="560" w:firstLineChars="200"/>
        <w:rPr>
          <w:rFonts w:hint="eastAsia" w:ascii="仿宋_GB2312" w:hAnsi="仿宋" w:eastAsia="仿宋_GB2312"/>
          <w:sz w:val="28"/>
          <w:szCs w:val="28"/>
        </w:rPr>
      </w:pPr>
      <w:r>
        <w:rPr>
          <w:rFonts w:hint="eastAsia" w:ascii="仿宋_GB2312" w:hAnsi="仿宋" w:eastAsia="仿宋_GB2312"/>
          <w:sz w:val="28"/>
          <w:szCs w:val="28"/>
        </w:rPr>
        <w:t>综合运维管理平台与办公协同、安管平台、数据交换平台都有相应的接口对接，需要随时根据业务的变化和对应要求进行维护优化。</w:t>
      </w:r>
    </w:p>
    <w:p>
      <w:pPr>
        <w:pStyle w:val="2"/>
        <w:ind w:firstLine="560" w:firstLineChars="200"/>
        <w:rPr>
          <w:rFonts w:hint="eastAsia" w:eastAsia="仿宋_GB2312"/>
          <w:lang w:eastAsia="zh-CN"/>
        </w:rPr>
      </w:pPr>
      <w:r>
        <w:rPr>
          <w:rFonts w:hint="eastAsia" w:ascii="仿宋_GB2312" w:hAnsi="仿宋" w:eastAsia="仿宋_GB2312"/>
          <w:sz w:val="28"/>
          <w:szCs w:val="28"/>
          <w:lang w:eastAsia="zh-CN"/>
        </w:rPr>
        <w:t>接口系统情况如下：</w:t>
      </w:r>
    </w:p>
    <w:tbl>
      <w:tblPr>
        <w:tblStyle w:val="35"/>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809"/>
        <w:gridCol w:w="4629"/>
        <w:gridCol w:w="1849"/>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pStyle w:val="2"/>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序号</w:t>
            </w:r>
          </w:p>
        </w:tc>
        <w:tc>
          <w:tcPr>
            <w:tcW w:w="1809" w:type="dxa"/>
          </w:tcPr>
          <w:p>
            <w:pPr>
              <w:pStyle w:val="2"/>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接口系统</w:t>
            </w:r>
          </w:p>
        </w:tc>
        <w:tc>
          <w:tcPr>
            <w:tcW w:w="4629" w:type="dxa"/>
          </w:tcPr>
          <w:p>
            <w:pPr>
              <w:pStyle w:val="2"/>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接口描述</w:t>
            </w:r>
          </w:p>
        </w:tc>
        <w:tc>
          <w:tcPr>
            <w:tcW w:w="1849" w:type="dxa"/>
          </w:tcPr>
          <w:p>
            <w:pPr>
              <w:pStyle w:val="2"/>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数据类型</w:t>
            </w:r>
          </w:p>
        </w:tc>
        <w:tc>
          <w:tcPr>
            <w:tcW w:w="1271" w:type="dxa"/>
          </w:tcPr>
          <w:p>
            <w:pPr>
              <w:pStyle w:val="2"/>
              <w:jc w:val="center"/>
              <w:rPr>
                <w:rFonts w:hint="eastAsia" w:ascii="宋体" w:hAnsi="宋体" w:cs="宋体"/>
                <w:sz w:val="24"/>
                <w:szCs w:val="24"/>
                <w:u w:val="none"/>
                <w:vertAlign w:val="baseline"/>
                <w:lang w:eastAsia="zh-CN"/>
              </w:rPr>
            </w:pPr>
            <w:r>
              <w:rPr>
                <w:rFonts w:hint="eastAsia" w:ascii="宋体" w:hAnsi="宋体" w:cs="宋体"/>
                <w:sz w:val="24"/>
                <w:szCs w:val="24"/>
                <w:u w:val="none"/>
                <w:vertAlign w:val="baseline"/>
                <w:lang w:eastAsia="zh-CN"/>
              </w:rPr>
              <w:t>接口</w:t>
            </w:r>
            <w:r>
              <w:rPr>
                <w:rFonts w:hint="eastAsia" w:ascii="宋体" w:hAnsi="宋体" w:cs="宋体"/>
                <w:kern w:val="0"/>
                <w:sz w:val="24"/>
                <w:szCs w:val="24"/>
                <w:u w:val="none"/>
                <w:lang w:eastAsia="zh-CN"/>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60" w:type="dxa"/>
          </w:tcPr>
          <w:p>
            <w:pPr>
              <w:pStyle w:val="2"/>
              <w:numPr>
                <w:ilvl w:val="0"/>
                <w:numId w:val="5"/>
              </w:numPr>
              <w:ind w:left="665" w:leftChars="0" w:hanging="425" w:firstLineChars="0"/>
              <w:rPr>
                <w:rFonts w:hint="eastAsia" w:ascii="宋体" w:hAnsi="宋体" w:eastAsia="宋体" w:cs="宋体"/>
                <w:sz w:val="24"/>
                <w:szCs w:val="24"/>
                <w:vertAlign w:val="baseline"/>
                <w:lang w:val="en-US" w:eastAsia="zh-CN"/>
              </w:rPr>
            </w:pPr>
          </w:p>
        </w:tc>
        <w:tc>
          <w:tcPr>
            <w:tcW w:w="1809" w:type="dxa"/>
            <w:vAlign w:val="center"/>
          </w:tcPr>
          <w:p>
            <w:pPr>
              <w:pStyle w:val="2"/>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办公协同</w:t>
            </w:r>
          </w:p>
        </w:tc>
        <w:tc>
          <w:tcPr>
            <w:tcW w:w="4629" w:type="dxa"/>
          </w:tcPr>
          <w:p>
            <w:pPr>
              <w:pStyle w:val="2"/>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ITIL系统接收OA下发服务、OA下发ITIL更新变更处理流程</w:t>
            </w:r>
          </w:p>
        </w:tc>
        <w:tc>
          <w:tcPr>
            <w:tcW w:w="1849" w:type="dxa"/>
            <w:vAlign w:val="center"/>
          </w:tcPr>
          <w:p>
            <w:pPr>
              <w:pStyle w:val="2"/>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XML、JSON</w:t>
            </w:r>
          </w:p>
        </w:tc>
        <w:tc>
          <w:tcPr>
            <w:tcW w:w="1271" w:type="dxa"/>
            <w:vAlign w:val="center"/>
          </w:tcPr>
          <w:p>
            <w:pPr>
              <w:pStyle w:val="2"/>
              <w:jc w:val="center"/>
              <w:rPr>
                <w:rFonts w:hint="eastAsia" w:ascii="宋体" w:hAnsi="宋体" w:cs="宋体"/>
                <w:sz w:val="24"/>
                <w:szCs w:val="24"/>
                <w:u w:val="none"/>
                <w:vertAlign w:val="baseline"/>
                <w:lang w:val="en-US" w:eastAsia="zh-CN"/>
              </w:rPr>
            </w:pPr>
            <w:r>
              <w:rPr>
                <w:rFonts w:hint="eastAsia" w:ascii="宋体" w:hAnsi="宋体" w:cs="宋体"/>
                <w:kern w:val="0"/>
                <w:sz w:val="24"/>
                <w:szCs w:val="24"/>
                <w:u w:val="none"/>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pStyle w:val="2"/>
              <w:numPr>
                <w:ilvl w:val="0"/>
                <w:numId w:val="5"/>
              </w:numPr>
              <w:ind w:left="665" w:leftChars="0" w:hanging="425" w:firstLineChars="0"/>
              <w:rPr>
                <w:rFonts w:hint="eastAsia" w:ascii="宋体" w:hAnsi="宋体" w:eastAsia="宋体" w:cs="宋体"/>
                <w:sz w:val="24"/>
                <w:szCs w:val="24"/>
                <w:vertAlign w:val="baseline"/>
                <w:lang w:val="en-US" w:eastAsia="zh-CN"/>
              </w:rPr>
            </w:pPr>
          </w:p>
        </w:tc>
        <w:tc>
          <w:tcPr>
            <w:tcW w:w="1809" w:type="dxa"/>
            <w:vAlign w:val="center"/>
          </w:tcPr>
          <w:p>
            <w:pPr>
              <w:pStyle w:val="2"/>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安管平台</w:t>
            </w:r>
          </w:p>
        </w:tc>
        <w:tc>
          <w:tcPr>
            <w:tcW w:w="4629" w:type="dxa"/>
          </w:tcPr>
          <w:p>
            <w:pPr>
              <w:pStyle w:val="2"/>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IT运维系统eventld)，即/api/event/declare-only-service-name 接口返回的content中的eventld</w:t>
            </w:r>
          </w:p>
        </w:tc>
        <w:tc>
          <w:tcPr>
            <w:tcW w:w="1849" w:type="dxa"/>
            <w:vAlign w:val="center"/>
          </w:tcPr>
          <w:p>
            <w:pPr>
              <w:pStyle w:val="2"/>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JSON</w:t>
            </w:r>
          </w:p>
        </w:tc>
        <w:tc>
          <w:tcPr>
            <w:tcW w:w="1271" w:type="dxa"/>
            <w:vAlign w:val="center"/>
          </w:tcPr>
          <w:p>
            <w:pPr>
              <w:pStyle w:val="2"/>
              <w:jc w:val="center"/>
              <w:rPr>
                <w:rFonts w:hint="eastAsia" w:ascii="宋体" w:hAnsi="宋体" w:eastAsia="宋体" w:cs="宋体"/>
                <w:sz w:val="24"/>
                <w:szCs w:val="24"/>
                <w:u w:val="none"/>
                <w:vertAlign w:val="baseline"/>
                <w:lang w:val="en-US" w:eastAsia="zh-CN"/>
              </w:rPr>
            </w:pPr>
            <w:r>
              <w:rPr>
                <w:rFonts w:hint="eastAsia" w:ascii="宋体" w:hAnsi="宋体" w:cs="宋体"/>
                <w:kern w:val="0"/>
                <w:sz w:val="24"/>
                <w:szCs w:val="24"/>
                <w:u w:val="none"/>
                <w:lang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Pr>
          <w:p>
            <w:pPr>
              <w:pStyle w:val="2"/>
              <w:numPr>
                <w:ilvl w:val="0"/>
                <w:numId w:val="5"/>
              </w:numPr>
              <w:ind w:left="665" w:leftChars="0" w:hanging="425" w:firstLineChars="0"/>
              <w:rPr>
                <w:rFonts w:hint="eastAsia" w:ascii="宋体" w:hAnsi="宋体" w:eastAsia="宋体" w:cs="宋体"/>
                <w:sz w:val="24"/>
                <w:szCs w:val="24"/>
                <w:vertAlign w:val="baseline"/>
                <w:lang w:val="en-US" w:eastAsia="zh-CN"/>
              </w:rPr>
            </w:pPr>
          </w:p>
        </w:tc>
        <w:tc>
          <w:tcPr>
            <w:tcW w:w="1809" w:type="dxa"/>
            <w:vAlign w:val="center"/>
          </w:tcPr>
          <w:p>
            <w:pPr>
              <w:pStyle w:val="2"/>
              <w:ind w:firstLine="0" w:firstLineChars="0"/>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数据交换平台</w:t>
            </w:r>
          </w:p>
        </w:tc>
        <w:tc>
          <w:tcPr>
            <w:tcW w:w="4629" w:type="dxa"/>
          </w:tcPr>
          <w:p>
            <w:pPr>
              <w:pStyle w:val="2"/>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通过登录门户一键登录跳转</w:t>
            </w:r>
          </w:p>
        </w:tc>
        <w:tc>
          <w:tcPr>
            <w:tcW w:w="1849" w:type="dxa"/>
            <w:vAlign w:val="center"/>
          </w:tcPr>
          <w:p>
            <w:pPr>
              <w:pStyle w:val="2"/>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JSON</w:t>
            </w:r>
          </w:p>
        </w:tc>
        <w:tc>
          <w:tcPr>
            <w:tcW w:w="1271" w:type="dxa"/>
            <w:vAlign w:val="center"/>
          </w:tcPr>
          <w:p>
            <w:pPr>
              <w:pStyle w:val="2"/>
              <w:jc w:val="center"/>
              <w:rPr>
                <w:rFonts w:hint="eastAsia" w:ascii="宋体" w:hAnsi="宋体" w:cs="宋体"/>
                <w:sz w:val="24"/>
                <w:szCs w:val="24"/>
                <w:u w:val="none"/>
                <w:vertAlign w:val="baseline"/>
                <w:lang w:val="en-US" w:eastAsia="zh-CN"/>
              </w:rPr>
            </w:pPr>
            <w:r>
              <w:rPr>
                <w:rFonts w:hint="eastAsia" w:ascii="宋体" w:hAnsi="宋体" w:cs="宋体"/>
                <w:kern w:val="0"/>
                <w:sz w:val="24"/>
                <w:szCs w:val="24"/>
                <w:u w:val="none"/>
                <w:lang w:eastAsia="zh-CN"/>
              </w:rPr>
              <w:t>正常</w:t>
            </w:r>
          </w:p>
        </w:tc>
      </w:tr>
    </w:tbl>
    <w:p>
      <w:pPr>
        <w:pStyle w:val="4"/>
        <w:bidi w:val="0"/>
        <w:rPr>
          <w:rFonts w:hint="eastAsia"/>
          <w:lang w:val="en-US" w:eastAsia="zh-CN"/>
        </w:rPr>
      </w:pPr>
      <w:bookmarkStart w:id="4" w:name="_Toc14337"/>
      <w:r>
        <w:rPr>
          <w:rFonts w:hint="eastAsia"/>
          <w:lang w:val="en-US" w:eastAsia="zh-CN"/>
        </w:rPr>
        <w:t>其他功能维护</w:t>
      </w:r>
      <w:bookmarkEnd w:id="4"/>
    </w:p>
    <w:p>
      <w:pPr>
        <w:numPr>
          <w:ilvl w:val="0"/>
          <w:numId w:val="6"/>
        </w:numPr>
        <w:spacing w:line="360" w:lineRule="auto"/>
        <w:ind w:firstLine="562" w:firstLineChars="200"/>
        <w:rPr>
          <w:rFonts w:ascii="仿宋_GB2312" w:hAnsi="仿宋" w:eastAsia="仿宋_GB2312" w:cs="宋体"/>
          <w:sz w:val="28"/>
          <w:szCs w:val="28"/>
        </w:rPr>
      </w:pPr>
      <w:r>
        <w:rPr>
          <w:rFonts w:hint="eastAsia" w:ascii="仿宋_GB2312" w:hAnsi="仿宋" w:eastAsia="仿宋_GB2312" w:cs="宋体"/>
          <w:b/>
          <w:sz w:val="28"/>
          <w:szCs w:val="28"/>
        </w:rPr>
        <w:t>信息化平台页面集成：</w:t>
      </w:r>
      <w:r>
        <w:rPr>
          <w:rFonts w:hint="eastAsia" w:ascii="仿宋_GB2312" w:hAnsi="仿宋" w:eastAsia="仿宋_GB2312" w:cs="宋体"/>
          <w:sz w:val="28"/>
          <w:szCs w:val="28"/>
        </w:rPr>
        <w:t>持续整合运维服务入口，配合维护和新增信息化平台系统，实现通过</w:t>
      </w:r>
      <w:r>
        <w:rPr>
          <w:rFonts w:ascii="仿宋_GB2312" w:hAnsi="仿宋" w:eastAsia="仿宋_GB2312" w:cs="宋体"/>
          <w:sz w:val="28"/>
          <w:szCs w:val="28"/>
        </w:rPr>
        <w:t>IT运维平台统一界面可访问多个系统，减少多个系统切换查看操作。</w:t>
      </w:r>
    </w:p>
    <w:p>
      <w:pPr>
        <w:pStyle w:val="2"/>
        <w:ind w:firstLine="560" w:firstLineChars="200"/>
        <w:rPr>
          <w:rFonts w:hint="eastAsia" w:ascii="仿宋_GB2312" w:hAnsi="仿宋" w:eastAsia="仿宋_GB2312" w:cs="Times New Roman"/>
          <w:color w:val="auto"/>
          <w:sz w:val="28"/>
          <w:szCs w:val="28"/>
          <w:lang w:eastAsia="zh-CN"/>
        </w:rPr>
      </w:pPr>
      <w:r>
        <w:rPr>
          <w:rFonts w:hint="eastAsia" w:ascii="仿宋_GB2312" w:hAnsi="仿宋" w:eastAsia="仿宋_GB2312" w:cs="Times New Roman"/>
          <w:color w:val="auto"/>
          <w:sz w:val="28"/>
          <w:szCs w:val="28"/>
          <w:lang w:eastAsia="zh-CN"/>
        </w:rPr>
        <w:t>本月未有</w:t>
      </w:r>
      <w:r>
        <w:rPr>
          <w:rFonts w:hint="eastAsia" w:ascii="仿宋_GB2312" w:hAnsi="仿宋" w:eastAsia="仿宋_GB2312" w:cs="Times New Roman"/>
          <w:sz w:val="28"/>
          <w:szCs w:val="28"/>
          <w:lang w:eastAsia="zh-CN"/>
        </w:rPr>
        <w:t>该项</w:t>
      </w:r>
      <w:r>
        <w:rPr>
          <w:rFonts w:hint="eastAsia" w:ascii="仿宋_GB2312" w:hAnsi="仿宋" w:eastAsia="仿宋_GB2312" w:cs="Times New Roman"/>
          <w:color w:val="auto"/>
          <w:sz w:val="28"/>
          <w:szCs w:val="28"/>
          <w:lang w:eastAsia="zh-CN"/>
        </w:rPr>
        <w:t>维护工作</w:t>
      </w:r>
      <w:r>
        <w:rPr>
          <w:rFonts w:hint="eastAsia" w:ascii="仿宋_GB2312" w:hAnsi="仿宋" w:eastAsia="仿宋_GB2312" w:cs="Times New Roman"/>
          <w:sz w:val="28"/>
          <w:szCs w:val="28"/>
          <w:lang w:eastAsia="zh-CN"/>
        </w:rPr>
        <w:t>发生</w:t>
      </w:r>
      <w:r>
        <w:rPr>
          <w:rFonts w:hint="eastAsia" w:ascii="仿宋_GB2312" w:hAnsi="仿宋" w:eastAsia="仿宋_GB2312" w:cs="Times New Roman"/>
          <w:color w:val="auto"/>
          <w:sz w:val="28"/>
          <w:szCs w:val="28"/>
          <w:lang w:eastAsia="zh-CN"/>
        </w:rPr>
        <w:t>。</w:t>
      </w:r>
    </w:p>
    <w:p>
      <w:pPr>
        <w:numPr>
          <w:ilvl w:val="0"/>
          <w:numId w:val="6"/>
        </w:numPr>
        <w:spacing w:line="360" w:lineRule="auto"/>
        <w:ind w:firstLine="562" w:firstLineChars="200"/>
        <w:rPr>
          <w:rFonts w:ascii="仿宋_GB2312" w:hAnsi="仿宋" w:eastAsia="仿宋_GB2312" w:cs="宋体"/>
          <w:b/>
          <w:sz w:val="28"/>
          <w:szCs w:val="28"/>
        </w:rPr>
      </w:pPr>
      <w:r>
        <w:rPr>
          <w:rFonts w:hint="eastAsia" w:ascii="仿宋_GB2312" w:hAnsi="仿宋" w:eastAsia="仿宋_GB2312" w:cs="宋体"/>
          <w:b/>
          <w:sz w:val="28"/>
          <w:szCs w:val="28"/>
        </w:rPr>
        <w:t>信息化文档管理：</w:t>
      </w:r>
      <w:r>
        <w:rPr>
          <w:rFonts w:hint="eastAsia" w:ascii="仿宋_GB2312" w:hAnsi="仿宋" w:eastAsia="仿宋_GB2312" w:cs="宋体"/>
          <w:sz w:val="28"/>
          <w:szCs w:val="28"/>
        </w:rPr>
        <w:t>根据实际工作需求，持续维护文档类别，授权对应文档访问权限，丰富相关知识文档。</w:t>
      </w:r>
    </w:p>
    <w:p>
      <w:pPr>
        <w:pStyle w:val="2"/>
        <w:ind w:firstLine="560" w:firstLineChars="200"/>
        <w:rPr>
          <w:rFonts w:hint="eastAsia" w:ascii="仿宋_GB2312" w:hAnsi="仿宋" w:eastAsia="仿宋_GB2312" w:cs="Times New Roman"/>
          <w:sz w:val="28"/>
          <w:szCs w:val="28"/>
          <w:lang w:eastAsia="zh-CN"/>
        </w:rPr>
      </w:pPr>
      <w:r>
        <w:rPr>
          <w:rFonts w:hint="eastAsia" w:ascii="仿宋_GB2312" w:hAnsi="仿宋" w:eastAsia="仿宋_GB2312" w:cs="Times New Roman"/>
          <w:sz w:val="28"/>
          <w:szCs w:val="28"/>
          <w:lang w:eastAsia="zh-CN"/>
        </w:rPr>
        <w:t>本月未有该项维护工作发生。</w:t>
      </w:r>
    </w:p>
    <w:p>
      <w:pPr>
        <w:numPr>
          <w:ilvl w:val="0"/>
          <w:numId w:val="6"/>
        </w:numPr>
        <w:spacing w:line="360" w:lineRule="auto"/>
        <w:ind w:firstLine="562" w:firstLineChars="200"/>
        <w:rPr>
          <w:rFonts w:ascii="仿宋_GB2312" w:hAnsi="仿宋" w:eastAsia="仿宋_GB2312" w:cs="宋体"/>
          <w:sz w:val="28"/>
          <w:szCs w:val="28"/>
        </w:rPr>
      </w:pPr>
      <w:r>
        <w:rPr>
          <w:rFonts w:hint="eastAsia" w:ascii="仿宋_GB2312" w:hAnsi="仿宋" w:eastAsia="仿宋_GB2312" w:cs="宋体"/>
          <w:b/>
          <w:sz w:val="28"/>
          <w:szCs w:val="28"/>
        </w:rPr>
        <w:t>信息化内容汇总：</w:t>
      </w:r>
      <w:r>
        <w:rPr>
          <w:rFonts w:hint="eastAsia" w:ascii="仿宋_GB2312" w:hAnsi="仿宋" w:eastAsia="仿宋_GB2312" w:cs="宋体"/>
          <w:sz w:val="28"/>
          <w:szCs w:val="28"/>
        </w:rPr>
        <w:t>配合将信息安全要求进行梳理维护至系统中进行下发汇总。</w:t>
      </w:r>
    </w:p>
    <w:p>
      <w:pPr>
        <w:pStyle w:val="2"/>
        <w:ind w:firstLine="560" w:firstLineChars="200"/>
        <w:rPr>
          <w:rFonts w:hint="eastAsia" w:ascii="仿宋_GB2312" w:hAnsi="仿宋" w:eastAsia="仿宋_GB2312" w:cs="Times New Roman"/>
          <w:sz w:val="28"/>
          <w:szCs w:val="28"/>
          <w:lang w:eastAsia="zh-CN"/>
        </w:rPr>
      </w:pPr>
      <w:r>
        <w:rPr>
          <w:rFonts w:hint="eastAsia" w:ascii="仿宋_GB2312" w:hAnsi="仿宋" w:eastAsia="仿宋_GB2312" w:cs="Times New Roman"/>
          <w:sz w:val="28"/>
          <w:szCs w:val="28"/>
          <w:lang w:eastAsia="zh-CN"/>
        </w:rPr>
        <w:t>本月未有该项维护工作发生。</w:t>
      </w:r>
    </w:p>
    <w:p>
      <w:pPr>
        <w:pStyle w:val="4"/>
        <w:bidi w:val="0"/>
        <w:rPr>
          <w:rFonts w:hint="eastAsia"/>
          <w:lang w:val="en-US" w:eastAsia="zh-CN"/>
        </w:rPr>
      </w:pPr>
      <w:bookmarkStart w:id="5" w:name="_Toc1559"/>
      <w:r>
        <w:rPr>
          <w:rFonts w:hint="eastAsia"/>
          <w:lang w:val="en-US" w:eastAsia="zh-CN"/>
        </w:rPr>
        <w:t>调整办公电话导流功能</w:t>
      </w:r>
      <w:bookmarkEnd w:id="5"/>
    </w:p>
    <w:p>
      <w:pPr>
        <w:spacing w:line="360" w:lineRule="auto"/>
        <w:ind w:firstLine="560" w:firstLineChars="200"/>
        <w:rPr>
          <w:rFonts w:ascii="仿宋_GB2312" w:hAnsi="仿宋" w:eastAsia="仿宋_GB2312"/>
          <w:sz w:val="28"/>
          <w:szCs w:val="28"/>
        </w:rPr>
      </w:pPr>
      <w:r>
        <w:rPr>
          <w:rFonts w:hint="eastAsia" w:ascii="仿宋_GB2312" w:hAnsi="仿宋" w:eastAsia="仿宋_GB2312"/>
          <w:sz w:val="28"/>
          <w:szCs w:val="28"/>
        </w:rPr>
        <w:t>结合公司本部人员分地点办公以及相关人员调整情况，完善现有系统办公电话接听导流服务功能，实现</w:t>
      </w:r>
      <w:r>
        <w:rPr>
          <w:rFonts w:ascii="仿宋_GB2312" w:hAnsi="仿宋" w:eastAsia="仿宋_GB2312"/>
          <w:sz w:val="28"/>
          <w:szCs w:val="28"/>
        </w:rPr>
        <w:t>IT运维服务的正确导流。</w:t>
      </w:r>
    </w:p>
    <w:p>
      <w:pPr>
        <w:pStyle w:val="2"/>
        <w:ind w:firstLine="560" w:firstLineChars="200"/>
        <w:rPr>
          <w:rFonts w:hint="eastAsia" w:ascii="仿宋_GB2312" w:hAnsi="仿宋" w:eastAsia="仿宋_GB2312" w:cs="Times New Roman"/>
          <w:sz w:val="28"/>
          <w:szCs w:val="28"/>
          <w:lang w:eastAsia="zh-CN"/>
        </w:rPr>
      </w:pPr>
      <w:r>
        <w:rPr>
          <w:rFonts w:hint="eastAsia" w:ascii="仿宋_GB2312" w:hAnsi="仿宋" w:eastAsia="仿宋_GB2312" w:cs="Times New Roman"/>
          <w:color w:val="auto"/>
          <w:sz w:val="28"/>
          <w:szCs w:val="28"/>
          <w:lang w:eastAsia="zh-CN"/>
        </w:rPr>
        <w:t>本月</w:t>
      </w:r>
      <w:r>
        <w:rPr>
          <w:rFonts w:hint="eastAsia" w:ascii="仿宋_GB2312" w:hAnsi="仿宋" w:eastAsia="仿宋_GB2312" w:cs="Times New Roman"/>
          <w:sz w:val="28"/>
          <w:szCs w:val="28"/>
          <w:lang w:eastAsia="zh-CN"/>
        </w:rPr>
        <w:t>具体</w:t>
      </w:r>
      <w:r>
        <w:rPr>
          <w:rFonts w:hint="eastAsia" w:ascii="仿宋_GB2312" w:hAnsi="仿宋" w:eastAsia="仿宋_GB2312" w:cs="Times New Roman"/>
          <w:color w:val="auto"/>
          <w:sz w:val="28"/>
          <w:szCs w:val="28"/>
          <w:lang w:eastAsia="zh-CN"/>
        </w:rPr>
        <w:t>维护工作</w:t>
      </w:r>
      <w:r>
        <w:rPr>
          <w:rFonts w:hint="eastAsia" w:ascii="仿宋_GB2312" w:hAnsi="仿宋" w:eastAsia="仿宋_GB2312" w:cs="Times New Roman"/>
          <w:sz w:val="28"/>
          <w:szCs w:val="28"/>
          <w:lang w:eastAsia="zh-CN"/>
        </w:rPr>
        <w:t>如下：</w:t>
      </w:r>
    </w:p>
    <w:tbl>
      <w:tblPr>
        <w:tblStyle w:val="35"/>
        <w:tblW w:w="1015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02"/>
        <w:gridCol w:w="1933"/>
        <w:gridCol w:w="2950"/>
        <w:gridCol w:w="1540"/>
        <w:gridCol w:w="1198"/>
        <w:gridCol w:w="13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85" w:hRule="atLeast"/>
        </w:trPr>
        <w:tc>
          <w:tcPr>
            <w:tcW w:w="1202" w:type="dxa"/>
            <w:shd w:val="clear" w:color="auto" w:fill="B8CCE4" w:themeFill="accent1" w:themeFillTint="66"/>
            <w:vAlign w:val="top"/>
          </w:tcPr>
          <w:p>
            <w:pPr>
              <w:spacing w:line="360" w:lineRule="auto"/>
              <w:ind w:left="0" w:leftChars="0" w:firstLine="211" w:firstLineChars="100"/>
              <w:jc w:val="both"/>
              <w:rPr>
                <w:rFonts w:asciiTheme="minorEastAsia" w:hAnsiTheme="minorEastAsia"/>
                <w:b/>
                <w:sz w:val="21"/>
                <w:szCs w:val="21"/>
                <w:highlight w:val="none"/>
              </w:rPr>
            </w:pPr>
            <w:r>
              <w:rPr>
                <w:rFonts w:hint="eastAsia" w:asciiTheme="minorEastAsia" w:hAnsiTheme="minorEastAsia"/>
                <w:b/>
                <w:sz w:val="21"/>
                <w:szCs w:val="21"/>
                <w:highlight w:val="none"/>
              </w:rPr>
              <w:t>序号</w:t>
            </w:r>
          </w:p>
        </w:tc>
        <w:tc>
          <w:tcPr>
            <w:tcW w:w="1933" w:type="dxa"/>
            <w:shd w:val="clear" w:color="auto" w:fill="B8CCE4" w:themeFill="accent1" w:themeFillTint="66"/>
            <w:vAlign w:val="top"/>
          </w:tcPr>
          <w:p>
            <w:pPr>
              <w:spacing w:line="360" w:lineRule="auto"/>
              <w:ind w:firstLine="632" w:firstLineChars="300"/>
              <w:rPr>
                <w:rFonts w:asciiTheme="minorEastAsia" w:hAnsiTheme="minorEastAsia"/>
                <w:b/>
                <w:sz w:val="21"/>
                <w:szCs w:val="21"/>
                <w:highlight w:val="none"/>
              </w:rPr>
            </w:pPr>
            <w:r>
              <w:rPr>
                <w:rFonts w:hint="eastAsia" w:asciiTheme="minorEastAsia" w:hAnsiTheme="minorEastAsia"/>
                <w:b/>
                <w:sz w:val="21"/>
                <w:szCs w:val="21"/>
                <w:highlight w:val="none"/>
              </w:rPr>
              <w:t>日期</w:t>
            </w:r>
          </w:p>
        </w:tc>
        <w:tc>
          <w:tcPr>
            <w:tcW w:w="2950" w:type="dxa"/>
            <w:shd w:val="clear" w:color="auto" w:fill="B8CCE4" w:themeFill="accent1" w:themeFillTint="66"/>
            <w:vAlign w:val="top"/>
          </w:tcPr>
          <w:p>
            <w:pPr>
              <w:spacing w:line="360" w:lineRule="auto"/>
              <w:ind w:firstLine="632" w:firstLineChars="300"/>
              <w:rPr>
                <w:rFonts w:asciiTheme="minorEastAsia" w:hAnsiTheme="minorEastAsia"/>
                <w:b/>
                <w:sz w:val="21"/>
                <w:szCs w:val="21"/>
                <w:highlight w:val="none"/>
              </w:rPr>
            </w:pPr>
            <w:r>
              <w:rPr>
                <w:rFonts w:asciiTheme="minorEastAsia" w:hAnsiTheme="minorEastAsia"/>
                <w:b/>
                <w:sz w:val="21"/>
                <w:szCs w:val="21"/>
                <w:highlight w:val="none"/>
              </w:rPr>
              <w:t>运维事项</w:t>
            </w:r>
          </w:p>
        </w:tc>
        <w:tc>
          <w:tcPr>
            <w:tcW w:w="1540" w:type="dxa"/>
            <w:shd w:val="clear" w:color="auto" w:fill="B8CCE4" w:themeFill="accent1" w:themeFillTint="66"/>
            <w:vAlign w:val="top"/>
          </w:tcPr>
          <w:p>
            <w:pPr>
              <w:spacing w:line="360" w:lineRule="auto"/>
              <w:ind w:left="0" w:leftChars="0" w:firstLine="0" w:firstLineChars="0"/>
              <w:rPr>
                <w:rFonts w:asciiTheme="minorEastAsia" w:hAnsiTheme="minorEastAsia"/>
                <w:b/>
                <w:sz w:val="21"/>
                <w:szCs w:val="21"/>
                <w:highlight w:val="none"/>
              </w:rPr>
            </w:pPr>
            <w:r>
              <w:rPr>
                <w:rFonts w:asciiTheme="minorEastAsia" w:hAnsiTheme="minorEastAsia"/>
                <w:b/>
                <w:sz w:val="21"/>
                <w:szCs w:val="21"/>
                <w:highlight w:val="none"/>
              </w:rPr>
              <w:t>处理过程</w:t>
            </w:r>
          </w:p>
        </w:tc>
        <w:tc>
          <w:tcPr>
            <w:tcW w:w="1198" w:type="dxa"/>
            <w:shd w:val="clear" w:color="auto" w:fill="B8CCE4" w:themeFill="accent1" w:themeFillTint="66"/>
            <w:vAlign w:val="top"/>
          </w:tcPr>
          <w:p>
            <w:pPr>
              <w:spacing w:line="360" w:lineRule="auto"/>
              <w:ind w:left="0" w:leftChars="0" w:firstLine="211" w:firstLineChars="100"/>
              <w:jc w:val="both"/>
              <w:rPr>
                <w:rFonts w:asciiTheme="minorEastAsia" w:hAnsiTheme="minorEastAsia"/>
                <w:b/>
                <w:sz w:val="21"/>
                <w:szCs w:val="21"/>
                <w:highlight w:val="none"/>
              </w:rPr>
            </w:pPr>
            <w:r>
              <w:rPr>
                <w:rFonts w:hint="eastAsia" w:asciiTheme="minorEastAsia" w:hAnsiTheme="minorEastAsia"/>
                <w:b/>
                <w:sz w:val="21"/>
                <w:szCs w:val="21"/>
                <w:highlight w:val="none"/>
              </w:rPr>
              <w:t>状态</w:t>
            </w:r>
          </w:p>
        </w:tc>
        <w:tc>
          <w:tcPr>
            <w:tcW w:w="1334" w:type="dxa"/>
            <w:shd w:val="clear" w:color="auto" w:fill="B8CCE4" w:themeFill="accent1" w:themeFillTint="66"/>
            <w:vAlign w:val="top"/>
          </w:tcPr>
          <w:p>
            <w:pPr>
              <w:spacing w:line="360" w:lineRule="auto"/>
              <w:ind w:left="0" w:leftChars="0" w:firstLine="211" w:firstLineChars="100"/>
              <w:rPr>
                <w:rFonts w:asciiTheme="minorEastAsia" w:hAnsiTheme="minorEastAsia"/>
                <w:b/>
                <w:sz w:val="21"/>
                <w:szCs w:val="21"/>
                <w:highlight w:val="none"/>
              </w:rPr>
            </w:pPr>
            <w:r>
              <w:rPr>
                <w:rFonts w:hint="eastAsia" w:asciiTheme="minorEastAsia" w:hAnsiTheme="minorEastAsia"/>
                <w:b/>
                <w:sz w:val="21"/>
                <w:szCs w:val="21"/>
                <w:highlight w:val="none"/>
                <w:lang w:eastAsia="zh-CN"/>
              </w:rPr>
              <w:t>处理</w:t>
            </w:r>
            <w:r>
              <w:rPr>
                <w:rFonts w:hint="eastAsia" w:asciiTheme="minorEastAsia" w:hAnsiTheme="minorEastAsia"/>
                <w:b/>
                <w:sz w:val="21"/>
                <w:szCs w:val="21"/>
                <w:highlight w:val="none"/>
              </w:rPr>
              <w:t>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3" w:hRule="atLeast"/>
        </w:trPr>
        <w:tc>
          <w:tcPr>
            <w:tcW w:w="1202" w:type="dxa"/>
            <w:shd w:val="clear" w:color="auto" w:fill="auto"/>
            <w:vAlign w:val="top"/>
          </w:tcPr>
          <w:p>
            <w:pPr>
              <w:numPr>
                <w:ilvl w:val="0"/>
                <w:numId w:val="7"/>
              </w:numPr>
              <w:spacing w:line="360" w:lineRule="auto"/>
              <w:ind w:left="425" w:leftChars="0" w:hanging="425" w:firstLineChars="0"/>
              <w:jc w:val="center"/>
              <w:rPr>
                <w:rFonts w:hint="eastAsia" w:asciiTheme="minorEastAsia" w:hAnsiTheme="minorEastAsia"/>
                <w:b w:val="0"/>
                <w:bCs/>
                <w:sz w:val="21"/>
                <w:szCs w:val="21"/>
                <w:highlight w:val="none"/>
              </w:rPr>
            </w:pPr>
          </w:p>
        </w:tc>
        <w:tc>
          <w:tcPr>
            <w:tcW w:w="1933" w:type="dxa"/>
            <w:shd w:val="clear" w:color="auto" w:fill="auto"/>
            <w:vAlign w:val="top"/>
          </w:tcPr>
          <w:p>
            <w:pPr>
              <w:spacing w:line="360" w:lineRule="auto"/>
              <w:rPr>
                <w:rFonts w:hint="default" w:eastAsia="宋体" w:asciiTheme="minorEastAsia" w:hAnsiTheme="minorEastAsia"/>
                <w:b/>
                <w:sz w:val="21"/>
                <w:szCs w:val="21"/>
                <w:highlight w:val="none"/>
                <w:lang w:val="en-US" w:eastAsia="zh-CN"/>
              </w:rPr>
            </w:pPr>
            <w:r>
              <w:rPr>
                <w:rFonts w:hint="eastAsia" w:ascii="Segoe UI Symbol" w:hAnsi="Segoe UI Symbol" w:eastAsiaTheme="minorEastAsia" w:cstheme="minorBidi"/>
                <w:color w:val="666666"/>
                <w:kern w:val="2"/>
                <w:sz w:val="21"/>
                <w:szCs w:val="21"/>
                <w:shd w:val="clear" w:color="auto" w:fill="FFFFFF"/>
                <w:lang w:val="en-US" w:eastAsia="zh-CN" w:bidi="ar-SA"/>
              </w:rPr>
              <w:t>2023/8/28</w:t>
            </w:r>
          </w:p>
        </w:tc>
        <w:tc>
          <w:tcPr>
            <w:tcW w:w="2950" w:type="dxa"/>
            <w:shd w:val="clear" w:color="auto" w:fill="auto"/>
            <w:vAlign w:val="top"/>
          </w:tcPr>
          <w:p>
            <w:pPr>
              <w:spacing w:line="360" w:lineRule="auto"/>
              <w:ind w:left="0" w:leftChars="0" w:firstLine="0" w:firstLineChars="0"/>
              <w:rPr>
                <w:rFonts w:hint="eastAsia" w:eastAsia="宋体" w:asciiTheme="minorEastAsia" w:hAnsiTheme="minorEastAsia"/>
                <w:b/>
                <w:sz w:val="21"/>
                <w:szCs w:val="21"/>
                <w:highlight w:val="none"/>
                <w:lang w:eastAsia="zh-CN"/>
              </w:rPr>
            </w:pPr>
            <w:r>
              <w:rPr>
                <w:rFonts w:hint="eastAsia" w:ascii="Segoe UI Symbol" w:hAnsi="Segoe UI Symbol" w:eastAsiaTheme="minorEastAsia" w:cstheme="minorBidi"/>
                <w:color w:val="666666"/>
                <w:kern w:val="2"/>
                <w:sz w:val="21"/>
                <w:szCs w:val="21"/>
                <w:shd w:val="clear" w:color="auto" w:fill="FFFFFF"/>
                <w:lang w:val="en-US" w:eastAsia="zh-CN" w:bidi="ar-SA"/>
              </w:rPr>
              <w:t>修改谢乐机的固话及地址，删除邓淦全的固话并备注退休，协助ERP处理登录itil系统报错404问题，关闭兼容性视图即可</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3" w:hRule="atLeast"/>
        </w:trPr>
        <w:tc>
          <w:tcPr>
            <w:tcW w:w="1202" w:type="dxa"/>
            <w:shd w:val="clear" w:color="auto" w:fill="auto"/>
            <w:vAlign w:val="top"/>
          </w:tcPr>
          <w:p>
            <w:pPr>
              <w:numPr>
                <w:ilvl w:val="0"/>
                <w:numId w:val="7"/>
              </w:numPr>
              <w:spacing w:line="360" w:lineRule="auto"/>
              <w:ind w:left="425" w:leftChars="0" w:hanging="425" w:firstLineChars="0"/>
              <w:jc w:val="center"/>
              <w:rPr>
                <w:rFonts w:hint="eastAsia" w:asciiTheme="minorEastAsia" w:hAnsiTheme="minorEastAsia"/>
                <w:b w:val="0"/>
                <w:bCs/>
                <w:sz w:val="21"/>
                <w:szCs w:val="21"/>
                <w:highlight w:val="none"/>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2023/8/29</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修改陈颖婕的固话，修改黎松森的归属部门</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8" w:hRule="atLeast"/>
        </w:trPr>
        <w:tc>
          <w:tcPr>
            <w:tcW w:w="1202" w:type="dxa"/>
            <w:shd w:val="clear" w:color="auto" w:fill="auto"/>
            <w:vAlign w:val="top"/>
          </w:tcPr>
          <w:p>
            <w:pPr>
              <w:numPr>
                <w:ilvl w:val="0"/>
                <w:numId w:val="7"/>
              </w:numPr>
              <w:spacing w:line="360" w:lineRule="auto"/>
              <w:ind w:left="425" w:leftChars="0" w:hanging="425" w:firstLineChars="0"/>
              <w:jc w:val="center"/>
              <w:rPr>
                <w:rFonts w:hint="eastAsia" w:asciiTheme="minorEastAsia" w:hAnsiTheme="minorEastAsia"/>
                <w:b w:val="0"/>
                <w:bCs/>
                <w:sz w:val="21"/>
                <w:szCs w:val="21"/>
                <w:highlight w:val="none"/>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2023/8/30</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新增谭泳辉手机号</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73" w:hRule="atLeast"/>
        </w:trPr>
        <w:tc>
          <w:tcPr>
            <w:tcW w:w="1202" w:type="dxa"/>
            <w:shd w:val="clear" w:color="auto" w:fill="auto"/>
            <w:vAlign w:val="top"/>
          </w:tcPr>
          <w:p>
            <w:pPr>
              <w:numPr>
                <w:ilvl w:val="0"/>
                <w:numId w:val="7"/>
              </w:numPr>
              <w:spacing w:line="360" w:lineRule="auto"/>
              <w:ind w:left="425" w:leftChars="0" w:hanging="425" w:firstLineChars="0"/>
              <w:jc w:val="center"/>
              <w:rPr>
                <w:rFonts w:hint="eastAsia" w:asciiTheme="minorEastAsia" w:hAnsiTheme="minorEastAsia"/>
                <w:b w:val="0"/>
                <w:bCs/>
                <w:sz w:val="21"/>
                <w:szCs w:val="21"/>
                <w:highlight w:val="none"/>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2023/8/31</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修改卢泉波固话，修改朱珊珊归属部门及固话</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13" w:hRule="atLeast"/>
        </w:trPr>
        <w:tc>
          <w:tcPr>
            <w:tcW w:w="1202" w:type="dxa"/>
            <w:shd w:val="clear" w:color="auto" w:fill="auto"/>
            <w:vAlign w:val="top"/>
          </w:tcPr>
          <w:p>
            <w:pPr>
              <w:numPr>
                <w:ilvl w:val="0"/>
                <w:numId w:val="7"/>
              </w:numPr>
              <w:spacing w:line="360" w:lineRule="auto"/>
              <w:ind w:left="425" w:leftChars="0" w:hanging="425" w:firstLineChars="0"/>
              <w:jc w:val="center"/>
              <w:rPr>
                <w:rFonts w:hint="eastAsia" w:asciiTheme="minorEastAsia" w:hAnsiTheme="minorEastAsia"/>
                <w:b w:val="0"/>
                <w:bCs/>
                <w:sz w:val="21"/>
                <w:szCs w:val="21"/>
                <w:highlight w:val="none"/>
              </w:rPr>
            </w:pPr>
          </w:p>
        </w:tc>
        <w:tc>
          <w:tcPr>
            <w:tcW w:w="1933" w:type="dxa"/>
            <w:shd w:val="clear" w:color="auto" w:fill="auto"/>
            <w:vAlign w:val="top"/>
          </w:tcPr>
          <w:p>
            <w:pPr>
              <w:spacing w:line="360" w:lineRule="auto"/>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新增外协组织创智物流删除黄丽萍固话并备注退休</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2023/9/4</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更新黄远征、杨文操、施长喜、钟锐、郑俊岳固话，修改苏小波等7个账号归属部门</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2023/9/5</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修改周培源、王俊文归属部门</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2023/9/6</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修改郭鳌义、覃倩倩的归属部门，更新郭碧霞地址</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2023/9/7</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更新朱伟雄及郭建勋的地址，补充朱诗义手机号信息</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Theme="minorEastAsia" w:hAnsiTheme="minorEastAsia" w:eastAsiaTheme="minorEastAsia" w:cstheme="minorBidi"/>
                <w:kern w:val="2"/>
                <w:sz w:val="21"/>
                <w:szCs w:val="21"/>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2023/9/8</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更新陈家贤固话</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2023/9/11</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修改龙嘉欣部门更新熊颖艳固话，删除孙茂勇固话</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2023/9/12</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更新罗文君的固话及地址</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2023/9/13</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更新申理政的手机号及地址信息，更新戴伟固话</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3"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2023/9/14</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修改方细玲归属部门</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2023/9/18</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修改刘宝森归属部门，新增梁增发、赵维亮地址信息</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2023/9/20</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德勤的登录名AC_BPC的名字原为李小侨改为喻婉君，服务器上的员工管理相应更改名字，ERP每个服务目录的事件经理相应更改陈谱欣跟杨高靖</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2023/9/22</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开通陈基思的权限（与翁的铭一致）</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2023/9/25</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服务目录-末端服务-会议服务下添加邱洁恒为一线工程师，新增李洁萍固话</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2023/9/26</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协助ERP调试ITIL登录报错（在IE模式下登录，关闭兼容性视图即可）</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8" w:hRule="atLeast"/>
        </w:trPr>
        <w:tc>
          <w:tcPr>
            <w:tcW w:w="1202" w:type="dxa"/>
            <w:shd w:val="clear" w:color="auto" w:fill="auto"/>
            <w:vAlign w:val="top"/>
          </w:tcPr>
          <w:p>
            <w:pPr>
              <w:pStyle w:val="66"/>
              <w:numPr>
                <w:ilvl w:val="0"/>
                <w:numId w:val="7"/>
              </w:numPr>
              <w:spacing w:line="360" w:lineRule="auto"/>
              <w:ind w:left="425" w:leftChars="0" w:hanging="425" w:firstLineChars="0"/>
              <w:jc w:val="center"/>
              <w:rPr>
                <w:rFonts w:hint="eastAsia" w:asciiTheme="minorEastAsia" w:hAnsiTheme="minorEastAsia" w:eastAsiaTheme="minorEastAsia" w:cstheme="minorBidi"/>
                <w:kern w:val="2"/>
                <w:sz w:val="21"/>
                <w:szCs w:val="22"/>
                <w:lang w:val="en-US" w:eastAsia="zh-CN" w:bidi="ar-SA"/>
              </w:rPr>
            </w:pPr>
          </w:p>
        </w:tc>
        <w:tc>
          <w:tcPr>
            <w:tcW w:w="1933" w:type="dxa"/>
            <w:shd w:val="clear" w:color="auto" w:fill="auto"/>
            <w:vAlign w:val="top"/>
          </w:tcPr>
          <w:p>
            <w:pPr>
              <w:spacing w:line="360" w:lineRule="auto"/>
              <w:rPr>
                <w:rFonts w:hint="default"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2023/9/27</w:t>
            </w:r>
          </w:p>
        </w:tc>
        <w:tc>
          <w:tcPr>
            <w:tcW w:w="295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更新郑洁怡固话，修改李云飞的归属部门</w:t>
            </w:r>
          </w:p>
        </w:tc>
        <w:tc>
          <w:tcPr>
            <w:tcW w:w="1540"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已处理</w:t>
            </w:r>
          </w:p>
        </w:tc>
        <w:tc>
          <w:tcPr>
            <w:tcW w:w="1198"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完成</w:t>
            </w:r>
          </w:p>
        </w:tc>
        <w:tc>
          <w:tcPr>
            <w:tcW w:w="1334" w:type="dxa"/>
            <w:shd w:val="clear" w:color="auto" w:fill="auto"/>
            <w:vAlign w:val="top"/>
          </w:tcPr>
          <w:p>
            <w:pPr>
              <w:spacing w:line="360" w:lineRule="auto"/>
              <w:ind w:left="0" w:leftChars="0" w:firstLine="0" w:firstLineChars="0"/>
              <w:rPr>
                <w:rFonts w:hint="eastAsia" w:ascii="Segoe UI Symbol" w:hAnsi="Segoe UI Symbol" w:eastAsiaTheme="minorEastAsia" w:cstheme="minorBidi"/>
                <w:color w:val="666666"/>
                <w:kern w:val="2"/>
                <w:sz w:val="21"/>
                <w:szCs w:val="21"/>
                <w:shd w:val="clear" w:color="auto" w:fill="FFFFFF"/>
                <w:lang w:val="en-US" w:eastAsia="zh-CN" w:bidi="ar-SA"/>
              </w:rPr>
            </w:pPr>
            <w:r>
              <w:rPr>
                <w:rFonts w:hint="eastAsia" w:ascii="Segoe UI Symbol" w:hAnsi="Segoe UI Symbol" w:eastAsiaTheme="minorEastAsia" w:cstheme="minorBidi"/>
                <w:color w:val="666666"/>
                <w:kern w:val="2"/>
                <w:sz w:val="21"/>
                <w:szCs w:val="21"/>
                <w:shd w:val="clear" w:color="auto" w:fill="FFFFFF"/>
                <w:lang w:val="en-US" w:eastAsia="zh-CN" w:bidi="ar-SA"/>
              </w:rPr>
              <w:t>梁敏霞</w:t>
            </w:r>
          </w:p>
        </w:tc>
      </w:tr>
    </w:tbl>
    <w:p>
      <w:pPr>
        <w:pStyle w:val="4"/>
        <w:bidi w:val="0"/>
        <w:rPr>
          <w:rFonts w:hint="eastAsia"/>
          <w:lang w:val="en-US" w:eastAsia="zh-CN"/>
        </w:rPr>
      </w:pPr>
      <w:bookmarkStart w:id="6" w:name="_Toc15768"/>
      <w:r>
        <w:rPr>
          <w:rFonts w:hint="eastAsia"/>
          <w:lang w:val="en-US" w:eastAsia="zh-CN"/>
        </w:rPr>
        <w:t>系统功能完善</w:t>
      </w:r>
      <w:bookmarkEnd w:id="6"/>
    </w:p>
    <w:p>
      <w:pPr>
        <w:spacing w:line="360" w:lineRule="auto"/>
        <w:ind w:firstLine="560" w:firstLineChars="200"/>
        <w:rPr>
          <w:rFonts w:hint="eastAsia" w:ascii="仿宋_GB2312" w:hAnsi="仿宋" w:eastAsia="仿宋_GB2312"/>
          <w:sz w:val="28"/>
          <w:szCs w:val="28"/>
        </w:rPr>
      </w:pPr>
      <w:r>
        <w:rPr>
          <w:rFonts w:hint="eastAsia" w:ascii="仿宋_GB2312" w:hAnsi="仿宋" w:eastAsia="仿宋_GB2312"/>
          <w:sz w:val="28"/>
          <w:szCs w:val="28"/>
        </w:rPr>
        <w:t>在信息中心部门的工作开展中，因实际工作的需要，需要对系统现有的功能进行完善，或者开发新功能以支撑其业务的开展。</w:t>
      </w:r>
    </w:p>
    <w:p>
      <w:pPr>
        <w:pStyle w:val="2"/>
        <w:ind w:firstLine="560" w:firstLineChars="200"/>
        <w:rPr>
          <w:rFonts w:hint="eastAsia" w:ascii="仿宋_GB2312" w:hAnsi="仿宋" w:eastAsia="仿宋_GB2312" w:cs="Times New Roman"/>
          <w:sz w:val="28"/>
          <w:szCs w:val="28"/>
          <w:lang w:eastAsia="zh-CN"/>
        </w:rPr>
      </w:pPr>
      <w:r>
        <w:rPr>
          <w:rFonts w:hint="eastAsia" w:ascii="仿宋_GB2312" w:hAnsi="仿宋" w:eastAsia="仿宋_GB2312" w:cs="Times New Roman"/>
          <w:sz w:val="28"/>
          <w:szCs w:val="28"/>
          <w:lang w:eastAsia="zh-CN"/>
        </w:rPr>
        <w:t>本月未有该项维护工作发生。</w:t>
      </w:r>
    </w:p>
    <w:p>
      <w:pPr>
        <w:pStyle w:val="4"/>
        <w:bidi w:val="0"/>
        <w:rPr>
          <w:rFonts w:hint="eastAsia"/>
          <w:lang w:val="en-US" w:eastAsia="zh-CN"/>
        </w:rPr>
      </w:pPr>
      <w:bookmarkStart w:id="7" w:name="_Toc12155"/>
      <w:r>
        <w:rPr>
          <w:rFonts w:hint="eastAsia"/>
          <w:lang w:val="en-US" w:eastAsia="zh-CN"/>
        </w:rPr>
        <w:t>各类问题处理</w:t>
      </w:r>
      <w:bookmarkEnd w:id="7"/>
    </w:p>
    <w:p>
      <w:pPr>
        <w:pStyle w:val="2"/>
        <w:ind w:firstLine="560" w:firstLineChars="200"/>
        <w:rPr>
          <w:rFonts w:hint="eastAsia" w:ascii="仿宋_GB2312" w:hAnsi="仿宋" w:eastAsia="仿宋_GB2312"/>
          <w:sz w:val="28"/>
          <w:szCs w:val="28"/>
        </w:rPr>
      </w:pPr>
      <w:r>
        <w:rPr>
          <w:rFonts w:hint="eastAsia" w:ascii="仿宋_GB2312" w:hAnsi="仿宋" w:eastAsia="仿宋_GB2312"/>
          <w:sz w:val="28"/>
          <w:szCs w:val="28"/>
        </w:rPr>
        <w:t>为保证系统的正常运行和用户使用系统的通畅性，需要中标人派驻场工程师随时协助解决系统问题和用户提出的各类问题，同时做好每天的应用系统和服务器巡检工作。在出现问题的时候，要求工程师能够以最快的速度进行响应，解决问题，确保系统运行稳定。</w:t>
      </w:r>
    </w:p>
    <w:p>
      <w:pPr>
        <w:pStyle w:val="2"/>
        <w:numPr>
          <w:ilvl w:val="0"/>
          <w:numId w:val="8"/>
        </w:numPr>
        <w:ind w:left="845" w:hanging="425" w:firstLineChars="0"/>
        <w:rPr>
          <w:rFonts w:hint="eastAsia" w:ascii="仿宋_GB2312" w:hAnsi="仿宋" w:eastAsia="仿宋_GB2312" w:cs="Times New Roman"/>
          <w:color w:val="auto"/>
          <w:sz w:val="28"/>
          <w:szCs w:val="28"/>
          <w:lang w:eastAsia="zh-CN"/>
        </w:rPr>
      </w:pPr>
      <w:r>
        <w:rPr>
          <w:rFonts w:hint="eastAsia" w:ascii="仿宋_GB2312" w:hAnsi="仿宋" w:eastAsia="仿宋_GB2312" w:cs="Times New Roman"/>
          <w:color w:val="auto"/>
          <w:sz w:val="28"/>
          <w:szCs w:val="28"/>
          <w:lang w:eastAsia="zh-CN"/>
        </w:rPr>
        <w:t>本月</w:t>
      </w:r>
      <w:r>
        <w:rPr>
          <w:rFonts w:hint="eastAsia" w:ascii="仿宋_GB2312" w:hAnsi="仿宋" w:eastAsia="仿宋_GB2312"/>
          <w:sz w:val="28"/>
          <w:szCs w:val="28"/>
        </w:rPr>
        <w:t>系统的正常运行</w:t>
      </w:r>
      <w:r>
        <w:rPr>
          <w:rFonts w:hint="eastAsia" w:ascii="仿宋_GB2312" w:hAnsi="仿宋" w:eastAsia="仿宋_GB2312"/>
          <w:sz w:val="28"/>
          <w:szCs w:val="28"/>
          <w:lang w:eastAsia="zh-CN"/>
        </w:rPr>
        <w:t>，</w:t>
      </w:r>
      <w:r>
        <w:rPr>
          <w:rFonts w:hint="eastAsia" w:ascii="仿宋_GB2312" w:hAnsi="仿宋" w:eastAsia="仿宋_GB2312" w:cs="Times New Roman"/>
          <w:color w:val="auto"/>
          <w:sz w:val="28"/>
          <w:szCs w:val="28"/>
          <w:lang w:eastAsia="zh-CN"/>
        </w:rPr>
        <w:t>未有</w:t>
      </w:r>
      <w:r>
        <w:rPr>
          <w:rFonts w:hint="eastAsia" w:ascii="仿宋_GB2312" w:hAnsi="仿宋" w:eastAsia="仿宋_GB2312"/>
          <w:sz w:val="28"/>
          <w:szCs w:val="28"/>
        </w:rPr>
        <w:t>解决系统问题</w:t>
      </w:r>
      <w:r>
        <w:rPr>
          <w:rFonts w:hint="eastAsia" w:ascii="仿宋_GB2312" w:hAnsi="仿宋" w:eastAsia="仿宋_GB2312" w:cs="Times New Roman"/>
          <w:color w:val="auto"/>
          <w:sz w:val="28"/>
          <w:szCs w:val="28"/>
          <w:lang w:eastAsia="zh-CN"/>
        </w:rPr>
        <w:t>工作</w:t>
      </w:r>
      <w:r>
        <w:rPr>
          <w:rFonts w:hint="eastAsia" w:ascii="仿宋_GB2312" w:hAnsi="仿宋" w:eastAsia="仿宋_GB2312" w:cs="Times New Roman"/>
          <w:sz w:val="28"/>
          <w:szCs w:val="28"/>
          <w:lang w:eastAsia="zh-CN"/>
        </w:rPr>
        <w:t>发生</w:t>
      </w:r>
      <w:r>
        <w:rPr>
          <w:rFonts w:hint="eastAsia" w:ascii="仿宋_GB2312" w:hAnsi="仿宋" w:eastAsia="仿宋_GB2312" w:cs="Times New Roman"/>
          <w:color w:val="auto"/>
          <w:sz w:val="28"/>
          <w:szCs w:val="28"/>
          <w:lang w:eastAsia="zh-CN"/>
        </w:rPr>
        <w:t>。</w:t>
      </w:r>
    </w:p>
    <w:p>
      <w:pPr>
        <w:pStyle w:val="2"/>
        <w:numPr>
          <w:ilvl w:val="0"/>
          <w:numId w:val="8"/>
        </w:numPr>
        <w:spacing w:line="360" w:lineRule="auto"/>
        <w:ind w:left="845" w:hanging="425" w:firstLineChars="0"/>
        <w:rPr>
          <w:rFonts w:hint="eastAsia" w:ascii="仿宋_GB2312" w:hAnsi="仿宋" w:eastAsia="仿宋_GB2312"/>
          <w:b w:val="0"/>
          <w:bCs w:val="0"/>
          <w:sz w:val="28"/>
          <w:szCs w:val="28"/>
          <w:lang w:eastAsia="zh-CN"/>
        </w:rPr>
      </w:pPr>
      <w:r>
        <w:rPr>
          <w:rFonts w:hint="eastAsia" w:ascii="仿宋_GB2312" w:hAnsi="仿宋" w:eastAsia="仿宋_GB2312"/>
          <w:b w:val="0"/>
          <w:bCs w:val="0"/>
          <w:sz w:val="28"/>
          <w:szCs w:val="28"/>
          <w:lang w:eastAsia="zh-CN"/>
        </w:rPr>
        <w:t>服务器日常巡检情况：</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3290"/>
        <w:gridCol w:w="2121"/>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878" w:type="dxa"/>
          </w:tcPr>
          <w:p>
            <w:pPr>
              <w:spacing w:line="360" w:lineRule="auto"/>
              <w:ind w:left="0" w:leftChars="0" w:firstLine="0" w:firstLineChars="0"/>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巡检内容</w:t>
            </w:r>
          </w:p>
        </w:tc>
        <w:tc>
          <w:tcPr>
            <w:tcW w:w="3290" w:type="dxa"/>
            <w:vAlign w:val="top"/>
          </w:tcPr>
          <w:p>
            <w:pPr>
              <w:spacing w:line="360" w:lineRule="auto"/>
              <w:ind w:left="0" w:leftChars="0" w:firstLine="0" w:firstLineChars="0"/>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巡检时间</w:t>
            </w:r>
          </w:p>
        </w:tc>
        <w:tc>
          <w:tcPr>
            <w:tcW w:w="2121" w:type="dxa"/>
          </w:tcPr>
          <w:p>
            <w:pPr>
              <w:spacing w:line="360" w:lineRule="auto"/>
              <w:ind w:left="0" w:leftChars="0" w:firstLine="0" w:firstLineChars="0"/>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巡检</w:t>
            </w:r>
            <w:r>
              <w:rPr>
                <w:rFonts w:hint="eastAsia" w:ascii="宋体" w:hAnsi="宋体" w:cs="宋体"/>
                <w:sz w:val="24"/>
                <w:szCs w:val="24"/>
                <w:vertAlign w:val="baseline"/>
                <w:lang w:eastAsia="zh-CN"/>
              </w:rPr>
              <w:t>人</w:t>
            </w:r>
          </w:p>
        </w:tc>
        <w:tc>
          <w:tcPr>
            <w:tcW w:w="2168" w:type="dxa"/>
          </w:tcPr>
          <w:p>
            <w:pPr>
              <w:spacing w:line="360" w:lineRule="auto"/>
              <w:ind w:left="0" w:leftChars="0" w:firstLine="0" w:firstLineChars="0"/>
              <w:jc w:val="center"/>
              <w:rPr>
                <w:rFonts w:hint="eastAsia" w:ascii="宋体" w:hAnsi="宋体" w:eastAsia="宋体" w:cs="宋体"/>
                <w:sz w:val="24"/>
                <w:szCs w:val="24"/>
                <w:vertAlign w:val="baseline"/>
                <w:lang w:eastAsia="zh-CN"/>
              </w:rPr>
            </w:pPr>
            <w:r>
              <w:rPr>
                <w:rFonts w:hint="eastAsia" w:ascii="宋体" w:hAnsi="宋体" w:cs="宋体"/>
                <w:sz w:val="24"/>
                <w:szCs w:val="24"/>
                <w:vertAlign w:val="baseline"/>
                <w:lang w:eastAsia="zh-CN"/>
              </w:rPr>
              <w:t>服务是否正常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878" w:type="dxa"/>
            <w:vMerge w:val="restart"/>
            <w:vAlign w:val="center"/>
          </w:tcPr>
          <w:p>
            <w:pPr>
              <w:spacing w:line="360" w:lineRule="auto"/>
              <w:ind w:left="0" w:leftChars="0" w:firstLine="0" w:firstLineChars="0"/>
              <w:jc w:val="center"/>
              <w:rPr>
                <w:rFonts w:hint="eastAsia" w:ascii="仿宋_GB2312" w:hAnsi="仿宋" w:eastAsia="仿宋_GB2312"/>
                <w:sz w:val="28"/>
                <w:szCs w:val="28"/>
                <w:vertAlign w:val="baseline"/>
                <w:lang w:eastAsia="zh-CN"/>
              </w:rPr>
            </w:pPr>
            <w:r>
              <w:rPr>
                <w:rFonts w:hint="eastAsia" w:ascii="宋体" w:hAnsi="宋体" w:eastAsia="宋体" w:cs="宋体"/>
                <w:sz w:val="24"/>
                <w:szCs w:val="24"/>
                <w:vertAlign w:val="baseline"/>
                <w:lang w:eastAsia="zh-CN"/>
              </w:rPr>
              <w:t>呼叫中心服务器巡检、web服务器巡检、数据库巡检</w:t>
            </w:r>
          </w:p>
        </w:tc>
        <w:tc>
          <w:tcPr>
            <w:tcW w:w="3290" w:type="dxa"/>
            <w:vAlign w:val="top"/>
          </w:tcPr>
          <w:p>
            <w:pPr>
              <w:spacing w:line="360" w:lineRule="auto"/>
              <w:ind w:left="0" w:leftChars="0" w:firstLine="0" w:firstLineChars="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2023/</w:t>
            </w:r>
            <w:r>
              <w:rPr>
                <w:rFonts w:hint="eastAsia" w:ascii="宋体" w:hAnsi="宋体" w:cs="宋体"/>
                <w:sz w:val="20"/>
                <w:szCs w:val="20"/>
                <w:vertAlign w:val="baseline"/>
                <w:lang w:val="en-US" w:eastAsia="zh-CN"/>
              </w:rPr>
              <w:t>8</w:t>
            </w:r>
            <w:r>
              <w:rPr>
                <w:rFonts w:hint="eastAsia" w:ascii="宋体" w:hAnsi="宋体" w:eastAsia="宋体" w:cs="宋体"/>
                <w:sz w:val="20"/>
                <w:szCs w:val="20"/>
                <w:vertAlign w:val="baseline"/>
                <w:lang w:val="en-US" w:eastAsia="zh-CN"/>
              </w:rPr>
              <w:t>/</w:t>
            </w:r>
            <w:r>
              <w:rPr>
                <w:rFonts w:hint="eastAsia" w:ascii="宋体" w:hAnsi="宋体" w:cs="宋体"/>
                <w:sz w:val="20"/>
                <w:szCs w:val="20"/>
                <w:vertAlign w:val="baseline"/>
                <w:lang w:val="en-US" w:eastAsia="zh-CN"/>
              </w:rPr>
              <w:t>28</w:t>
            </w:r>
          </w:p>
        </w:tc>
        <w:tc>
          <w:tcPr>
            <w:tcW w:w="2121" w:type="dxa"/>
          </w:tcPr>
          <w:p>
            <w:pPr>
              <w:spacing w:line="360" w:lineRule="auto"/>
              <w:ind w:left="0" w:leftChars="0" w:firstLine="0" w:firstLineChars="0"/>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878" w:type="dxa"/>
            <w:vMerge w:val="continue"/>
            <w:vAlign w:val="center"/>
          </w:tcPr>
          <w:p>
            <w:pPr>
              <w:spacing w:line="360" w:lineRule="auto"/>
              <w:ind w:left="0" w:leftChars="0" w:firstLine="0" w:firstLineChars="0"/>
              <w:jc w:val="center"/>
              <w:rPr>
                <w:rFonts w:hint="eastAsia" w:ascii="宋体" w:hAnsi="宋体" w:eastAsia="宋体" w:cs="宋体"/>
                <w:sz w:val="24"/>
                <w:szCs w:val="24"/>
                <w:vertAlign w:val="baseline"/>
                <w:lang w:eastAsia="zh-CN"/>
              </w:rPr>
            </w:pPr>
          </w:p>
        </w:tc>
        <w:tc>
          <w:tcPr>
            <w:tcW w:w="3290" w:type="dxa"/>
            <w:vAlign w:val="top"/>
          </w:tcPr>
          <w:p>
            <w:pPr>
              <w:spacing w:line="360" w:lineRule="auto"/>
              <w:ind w:left="0" w:leftChars="0" w:firstLine="0" w:firstLineChars="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2023/</w:t>
            </w:r>
            <w:r>
              <w:rPr>
                <w:rFonts w:hint="eastAsia" w:ascii="宋体" w:hAnsi="宋体" w:cs="宋体"/>
                <w:sz w:val="20"/>
                <w:szCs w:val="20"/>
                <w:vertAlign w:val="baseline"/>
                <w:lang w:val="en-US" w:eastAsia="zh-CN"/>
              </w:rPr>
              <w:t>8</w:t>
            </w:r>
            <w:r>
              <w:rPr>
                <w:rFonts w:hint="eastAsia" w:ascii="宋体" w:hAnsi="宋体" w:eastAsia="宋体" w:cs="宋体"/>
                <w:sz w:val="20"/>
                <w:szCs w:val="20"/>
                <w:vertAlign w:val="baseline"/>
                <w:lang w:val="en-US" w:eastAsia="zh-CN"/>
              </w:rPr>
              <w:t>/</w:t>
            </w:r>
            <w:r>
              <w:rPr>
                <w:rFonts w:hint="eastAsia" w:ascii="宋体" w:hAnsi="宋体" w:cs="宋体"/>
                <w:sz w:val="20"/>
                <w:szCs w:val="20"/>
                <w:vertAlign w:val="baseline"/>
                <w:lang w:val="en-US" w:eastAsia="zh-CN"/>
              </w:rPr>
              <w:t>29</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878" w:type="dxa"/>
            <w:vMerge w:val="continue"/>
            <w:vAlign w:val="center"/>
          </w:tcPr>
          <w:p>
            <w:pPr>
              <w:spacing w:line="360" w:lineRule="auto"/>
              <w:ind w:left="0" w:leftChars="0" w:firstLine="0" w:firstLineChars="0"/>
              <w:jc w:val="center"/>
              <w:rPr>
                <w:rFonts w:hint="eastAsia" w:ascii="宋体" w:hAnsi="宋体" w:eastAsia="宋体" w:cs="宋体"/>
                <w:sz w:val="24"/>
                <w:szCs w:val="24"/>
                <w:vertAlign w:val="baseline"/>
                <w:lang w:eastAsia="zh-CN"/>
              </w:rPr>
            </w:pPr>
          </w:p>
        </w:tc>
        <w:tc>
          <w:tcPr>
            <w:tcW w:w="3290" w:type="dxa"/>
            <w:vAlign w:val="top"/>
          </w:tcPr>
          <w:p>
            <w:pPr>
              <w:spacing w:line="360" w:lineRule="auto"/>
              <w:ind w:left="0" w:leftChars="0" w:firstLine="0" w:firstLineChars="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2023/</w:t>
            </w:r>
            <w:r>
              <w:rPr>
                <w:rFonts w:hint="eastAsia" w:ascii="宋体" w:hAnsi="宋体" w:cs="宋体"/>
                <w:sz w:val="20"/>
                <w:szCs w:val="20"/>
                <w:vertAlign w:val="baseline"/>
                <w:lang w:val="en-US" w:eastAsia="zh-CN"/>
              </w:rPr>
              <w:t>8</w:t>
            </w:r>
            <w:r>
              <w:rPr>
                <w:rFonts w:hint="eastAsia" w:ascii="宋体" w:hAnsi="宋体" w:eastAsia="宋体" w:cs="宋体"/>
                <w:sz w:val="20"/>
                <w:szCs w:val="20"/>
                <w:vertAlign w:val="baseline"/>
                <w:lang w:val="en-US" w:eastAsia="zh-CN"/>
              </w:rPr>
              <w:t>/</w:t>
            </w:r>
            <w:r>
              <w:rPr>
                <w:rFonts w:hint="eastAsia" w:ascii="宋体" w:hAnsi="宋体" w:cs="宋体"/>
                <w:sz w:val="20"/>
                <w:szCs w:val="20"/>
                <w:vertAlign w:val="baseline"/>
                <w:lang w:val="en-US" w:eastAsia="zh-CN"/>
              </w:rPr>
              <w:t>30</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878" w:type="dxa"/>
            <w:vMerge w:val="continue"/>
            <w:vAlign w:val="center"/>
          </w:tcPr>
          <w:p>
            <w:pPr>
              <w:spacing w:line="360" w:lineRule="auto"/>
              <w:ind w:left="0" w:leftChars="0" w:firstLine="0" w:firstLineChars="0"/>
              <w:jc w:val="center"/>
              <w:rPr>
                <w:rFonts w:hint="eastAsia" w:ascii="宋体" w:hAnsi="宋体" w:eastAsia="宋体" w:cs="宋体"/>
                <w:sz w:val="24"/>
                <w:szCs w:val="24"/>
                <w:vertAlign w:val="baseline"/>
                <w:lang w:eastAsia="zh-CN"/>
              </w:rPr>
            </w:pPr>
          </w:p>
        </w:tc>
        <w:tc>
          <w:tcPr>
            <w:tcW w:w="3290" w:type="dxa"/>
            <w:vAlign w:val="top"/>
          </w:tcPr>
          <w:p>
            <w:pPr>
              <w:spacing w:line="360" w:lineRule="auto"/>
              <w:ind w:left="0" w:leftChars="0" w:firstLine="0" w:firstLineChars="0"/>
              <w:jc w:val="cente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2023/</w:t>
            </w:r>
            <w:r>
              <w:rPr>
                <w:rFonts w:hint="eastAsia" w:ascii="宋体" w:hAnsi="宋体" w:cs="宋体"/>
                <w:sz w:val="20"/>
                <w:szCs w:val="20"/>
                <w:vertAlign w:val="baseline"/>
                <w:lang w:val="en-US" w:eastAsia="zh-CN"/>
              </w:rPr>
              <w:t>8</w:t>
            </w:r>
            <w:r>
              <w:rPr>
                <w:rFonts w:hint="eastAsia" w:ascii="宋体" w:hAnsi="宋体" w:eastAsia="宋体" w:cs="宋体"/>
                <w:sz w:val="20"/>
                <w:szCs w:val="20"/>
                <w:vertAlign w:val="baseline"/>
                <w:lang w:val="en-US" w:eastAsia="zh-CN"/>
              </w:rPr>
              <w:t>/</w:t>
            </w:r>
            <w:r>
              <w:rPr>
                <w:rFonts w:hint="eastAsia" w:ascii="宋体" w:hAnsi="宋体" w:cs="宋体"/>
                <w:sz w:val="20"/>
                <w:szCs w:val="20"/>
                <w:vertAlign w:val="baseline"/>
                <w:lang w:val="en-US" w:eastAsia="zh-CN"/>
              </w:rPr>
              <w:t>31</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878" w:type="dxa"/>
            <w:vMerge w:val="continue"/>
            <w:vAlign w:val="center"/>
          </w:tcPr>
          <w:p>
            <w:pPr>
              <w:spacing w:line="360" w:lineRule="auto"/>
              <w:ind w:left="0" w:leftChars="0" w:firstLine="0" w:firstLineChars="0"/>
              <w:jc w:val="center"/>
              <w:rPr>
                <w:rFonts w:hint="eastAsia" w:ascii="宋体" w:hAnsi="宋体" w:eastAsia="宋体" w:cs="宋体"/>
                <w:sz w:val="24"/>
                <w:szCs w:val="24"/>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2023/9/4</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2023/9/5</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jc w:val="left"/>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2023/9/6</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2023/9/7</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2023/9/8</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11</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12</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13</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14</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15</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18</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19</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20</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21</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22</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25</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26</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27</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28</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Merge w:val="continue"/>
          </w:tcPr>
          <w:p>
            <w:pPr>
              <w:spacing w:line="360" w:lineRule="auto"/>
              <w:ind w:left="0" w:leftChars="0" w:firstLine="0" w:firstLineChars="0"/>
              <w:rPr>
                <w:rFonts w:hint="eastAsia" w:ascii="仿宋_GB2312" w:hAnsi="仿宋" w:eastAsia="仿宋_GB2312"/>
                <w:sz w:val="28"/>
                <w:szCs w:val="28"/>
                <w:vertAlign w:val="baseline"/>
                <w:lang w:eastAsia="zh-CN"/>
              </w:rPr>
            </w:pPr>
          </w:p>
        </w:tc>
        <w:tc>
          <w:tcPr>
            <w:tcW w:w="3290" w:type="dxa"/>
            <w:vAlign w:val="top"/>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val="en-US" w:eastAsia="zh-CN"/>
              </w:rPr>
              <w:t>2023/9/</w:t>
            </w:r>
            <w:r>
              <w:rPr>
                <w:rFonts w:hint="eastAsia" w:ascii="宋体" w:hAnsi="宋体" w:cs="宋体"/>
                <w:sz w:val="20"/>
                <w:szCs w:val="20"/>
                <w:vertAlign w:val="baseline"/>
                <w:lang w:val="en-US" w:eastAsia="zh-CN"/>
              </w:rPr>
              <w:t>29</w:t>
            </w:r>
          </w:p>
        </w:tc>
        <w:tc>
          <w:tcPr>
            <w:tcW w:w="2121" w:type="dxa"/>
          </w:tcPr>
          <w:p>
            <w:pPr>
              <w:spacing w:line="360" w:lineRule="auto"/>
              <w:ind w:left="0" w:leftChars="0" w:firstLine="0" w:firstLineChars="0"/>
              <w:jc w:val="cente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lang w:eastAsia="zh-CN"/>
              </w:rPr>
              <w:t>梁敏霞</w:t>
            </w:r>
          </w:p>
        </w:tc>
        <w:tc>
          <w:tcPr>
            <w:tcW w:w="2168" w:type="dxa"/>
          </w:tcPr>
          <w:p>
            <w:pPr>
              <w:spacing w:line="360" w:lineRule="auto"/>
              <w:jc w:val="center"/>
              <w:rPr>
                <w:rFonts w:hint="eastAsia" w:ascii="仿宋_GB2312" w:hAnsi="仿宋" w:eastAsia="仿宋_GB2312"/>
                <w:sz w:val="21"/>
                <w:szCs w:val="21"/>
                <w:vertAlign w:val="baseline"/>
                <w:lang w:eastAsia="zh-CN"/>
              </w:rPr>
            </w:pPr>
            <w:r>
              <w:rPr>
                <w:rFonts w:hint="eastAsia" w:ascii="宋体" w:hAnsi="宋体" w:eastAsia="宋体" w:cs="宋体"/>
                <w:sz w:val="20"/>
                <w:szCs w:val="20"/>
                <w:vertAlign w:val="baseline"/>
                <w:lang w:eastAsia="zh-CN"/>
              </w:rPr>
              <w:t>是</w:t>
            </w:r>
          </w:p>
        </w:tc>
      </w:tr>
    </w:tbl>
    <w:p>
      <w:pPr>
        <w:pStyle w:val="4"/>
        <w:bidi w:val="0"/>
        <w:rPr>
          <w:rFonts w:hint="eastAsia"/>
        </w:rPr>
      </w:pPr>
      <w:bookmarkStart w:id="8" w:name="_Toc22418"/>
      <w:r>
        <w:rPr>
          <w:rFonts w:hint="eastAsia"/>
          <w:lang w:val="en-US" w:eastAsia="zh-CN"/>
        </w:rPr>
        <w:t>ITIM综合运维管理平台培训</w:t>
      </w:r>
      <w:bookmarkEnd w:id="8"/>
    </w:p>
    <w:p>
      <w:pPr>
        <w:bidi w:val="0"/>
        <w:rPr>
          <w:rFonts w:hint="eastAsia" w:ascii="仿宋_GB2312" w:hAnsi="仿宋" w:eastAsia="仿宋_GB2312" w:cs="Times New Roman"/>
          <w:kern w:val="0"/>
          <w:sz w:val="28"/>
          <w:szCs w:val="28"/>
          <w:lang w:val="en-US" w:eastAsia="zh-CN" w:bidi="ar-SA"/>
        </w:rPr>
      </w:pPr>
      <w:r>
        <w:rPr>
          <w:rFonts w:hint="eastAsia" w:ascii="仿宋_GB2312" w:hAnsi="仿宋" w:eastAsia="仿宋_GB2312" w:cs="Times New Roman"/>
          <w:kern w:val="0"/>
          <w:sz w:val="28"/>
          <w:szCs w:val="28"/>
          <w:lang w:val="en-US" w:eastAsia="zh-CN" w:bidi="ar-SA"/>
        </w:rPr>
        <w:t>提供现场培训及集中的技术培训，对用户和系统管理员进行培训，使其培训后能够独立地对系统进行操作、管理、维护。</w:t>
      </w:r>
    </w:p>
    <w:p>
      <w:pPr>
        <w:pStyle w:val="2"/>
        <w:ind w:firstLine="560" w:firstLineChars="200"/>
        <w:rPr>
          <w:rFonts w:hint="eastAsia" w:ascii="仿宋_GB2312" w:hAnsi="仿宋" w:eastAsia="仿宋_GB2312" w:cs="Times New Roman"/>
          <w:sz w:val="28"/>
          <w:szCs w:val="28"/>
          <w:lang w:eastAsia="zh-CN"/>
        </w:rPr>
      </w:pPr>
      <w:r>
        <w:rPr>
          <w:rFonts w:hint="eastAsia" w:ascii="仿宋_GB2312" w:hAnsi="仿宋" w:eastAsia="仿宋_GB2312" w:cs="Times New Roman"/>
          <w:sz w:val="28"/>
          <w:szCs w:val="28"/>
          <w:lang w:eastAsia="zh-CN"/>
        </w:rPr>
        <w:t>本月未有该项工作发生。</w:t>
      </w:r>
    </w:p>
    <w:p>
      <w:pPr>
        <w:pStyle w:val="4"/>
        <w:bidi w:val="0"/>
        <w:rPr>
          <w:rFonts w:hint="eastAsia"/>
          <w:lang w:val="en-US" w:eastAsia="zh-CN"/>
        </w:rPr>
      </w:pPr>
      <w:bookmarkStart w:id="9" w:name="_Toc20795"/>
      <w:r>
        <w:rPr>
          <w:rFonts w:hint="eastAsia"/>
          <w:lang w:val="en-US" w:eastAsia="zh-CN"/>
        </w:rPr>
        <w:t>信息安全工作支持</w:t>
      </w:r>
      <w:bookmarkEnd w:id="9"/>
    </w:p>
    <w:p>
      <w:pPr>
        <w:pStyle w:val="2"/>
        <w:ind w:firstLine="560" w:firstLineChars="200"/>
        <w:rPr>
          <w:rFonts w:hint="eastAsia" w:ascii="仿宋_GB2312" w:hAnsi="仿宋" w:eastAsia="仿宋_GB2312"/>
          <w:sz w:val="28"/>
          <w:szCs w:val="28"/>
        </w:rPr>
      </w:pPr>
      <w:r>
        <w:rPr>
          <w:rFonts w:hint="eastAsia" w:ascii="仿宋_GB2312" w:hAnsi="仿宋" w:eastAsia="仿宋_GB2312"/>
          <w:sz w:val="28"/>
          <w:szCs w:val="28"/>
        </w:rPr>
        <w:t>依据广东中烟的信息安全管理方面要求，配合广东中烟信息中心完成信息安全检查和系统等保测评等工作；对存在不符合信息安全的问题进行安全整改。</w:t>
      </w:r>
    </w:p>
    <w:p>
      <w:pPr>
        <w:pStyle w:val="2"/>
        <w:ind w:firstLine="560" w:firstLineChars="200"/>
        <w:rPr>
          <w:rFonts w:ascii="仿宋_GB2312" w:hAnsi="仿宋" w:eastAsia="仿宋_GB2312"/>
          <w:sz w:val="28"/>
          <w:szCs w:val="28"/>
        </w:rPr>
      </w:pPr>
      <w:r>
        <w:rPr>
          <w:rFonts w:hint="eastAsia" w:ascii="仿宋_GB2312" w:hAnsi="仿宋" w:eastAsia="仿宋_GB2312" w:cs="Times New Roman"/>
          <w:sz w:val="28"/>
          <w:szCs w:val="28"/>
          <w:lang w:eastAsia="zh-CN"/>
        </w:rPr>
        <w:t>本月未有该项工作发生。</w:t>
      </w:r>
    </w:p>
    <w:p>
      <w:pPr>
        <w:pStyle w:val="2"/>
      </w:pPr>
    </w:p>
    <w:p>
      <w:pPr>
        <w:pStyle w:val="3"/>
        <w:bidi w:val="0"/>
        <w:spacing w:after="468"/>
        <w:rPr>
          <w:rFonts w:hint="eastAsia" w:eastAsia="宋体"/>
          <w:lang w:val="en-US" w:eastAsia="zh-CN"/>
        </w:rPr>
      </w:pPr>
      <w:bookmarkStart w:id="10" w:name="_Toc3304"/>
      <w:r>
        <w:rPr>
          <w:rFonts w:hint="eastAsia" w:eastAsia="宋体"/>
          <w:lang w:val="en-US" w:eastAsia="zh-CN"/>
        </w:rPr>
        <w:t>2023年9月各系统运维分析报告</w:t>
      </w:r>
      <w:bookmarkEnd w:id="10"/>
    </w:p>
    <w:p>
      <w:pPr>
        <w:pStyle w:val="4"/>
        <w:ind w:left="567" w:firstLine="480"/>
        <w:rPr>
          <w:rFonts w:hint="default" w:eastAsia="宋体"/>
          <w:lang w:eastAsia="zh-CN"/>
        </w:rPr>
      </w:pPr>
      <w:bookmarkStart w:id="11" w:name="_Toc9364"/>
      <w:r>
        <w:rPr>
          <w:rFonts w:hint="default" w:eastAsia="宋体"/>
          <w:lang w:eastAsia="zh-CN"/>
        </w:rPr>
        <w:t>总体</w:t>
      </w:r>
      <w:r>
        <w:rPr>
          <w:rFonts w:hint="default"/>
          <w:lang w:eastAsia="zh-CN"/>
        </w:rPr>
        <w:t>情况</w:t>
      </w:r>
      <w:bookmarkEnd w:id="11"/>
    </w:p>
    <w:p>
      <w:pPr>
        <w:ind w:firstLine="480"/>
        <w:rPr>
          <w:rFonts w:hint="eastAsia" w:ascii="华文仿宋" w:hAnsi="华文仿宋" w:eastAsia="华文仿宋" w:cs="华文仿宋"/>
          <w:sz w:val="28"/>
          <w:szCs w:val="28"/>
        </w:rPr>
      </w:pPr>
      <w:r>
        <w:rPr>
          <w:rFonts w:hint="eastAsia" w:ascii="华文仿宋" w:hAnsi="华文仿宋" w:eastAsia="华文仿宋" w:cs="华文仿宋"/>
          <w:sz w:val="28"/>
          <w:szCs w:val="28"/>
        </w:rPr>
        <w:t>202</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年</w:t>
      </w:r>
      <w:r>
        <w:rPr>
          <w:rFonts w:hint="eastAsia" w:ascii="华文仿宋" w:hAnsi="华文仿宋" w:eastAsia="华文仿宋" w:cs="华文仿宋"/>
          <w:sz w:val="28"/>
          <w:szCs w:val="28"/>
          <w:lang w:val="en-US" w:eastAsia="zh-CN"/>
        </w:rPr>
        <w:t>9</w:t>
      </w:r>
      <w:r>
        <w:rPr>
          <w:rFonts w:hint="eastAsia" w:ascii="华文仿宋" w:hAnsi="华文仿宋" w:eastAsia="华文仿宋" w:cs="华文仿宋"/>
          <w:sz w:val="28"/>
          <w:szCs w:val="28"/>
        </w:rPr>
        <w:t>月，在公司各部门、各中心和各卷烟厂的大力支持和紧密配合下，顺利完成了IT运维服务台的各项工作，为了保障服务台运行稳定，继续提升服务质量，现将202</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年</w:t>
      </w:r>
      <w:r>
        <w:rPr>
          <w:rFonts w:hint="eastAsia" w:ascii="华文仿宋" w:hAnsi="华文仿宋" w:eastAsia="华文仿宋" w:cs="华文仿宋"/>
          <w:sz w:val="28"/>
          <w:szCs w:val="28"/>
          <w:lang w:val="en-US" w:eastAsia="zh-CN"/>
        </w:rPr>
        <w:t>9</w:t>
      </w:r>
      <w:r>
        <w:rPr>
          <w:rFonts w:hint="eastAsia" w:ascii="华文仿宋" w:hAnsi="华文仿宋" w:eastAsia="华文仿宋" w:cs="华文仿宋"/>
          <w:sz w:val="28"/>
          <w:szCs w:val="28"/>
        </w:rPr>
        <w:t>月的运行情况汇报如下：</w:t>
      </w:r>
    </w:p>
    <w:p>
      <w:pPr>
        <w:pStyle w:val="5"/>
        <w:bidi w:val="0"/>
        <w:ind w:left="567"/>
        <w:outlineLvl w:val="1"/>
      </w:pPr>
      <w:bookmarkStart w:id="12" w:name="_Toc2656"/>
      <w:bookmarkStart w:id="13" w:name="_Toc28517"/>
      <w:r>
        <w:rPr>
          <w:rFonts w:hint="default"/>
        </w:rPr>
        <w:t>服务台受理情况</w:t>
      </w:r>
      <w:bookmarkEnd w:id="12"/>
      <w:bookmarkEnd w:id="13"/>
    </w:p>
    <w:p>
      <w:pPr>
        <w:ind w:left="0" w:firstLine="480"/>
        <w:jc w:val="left"/>
        <w:rPr>
          <w:rFonts w:hint="eastAsia" w:ascii="华文仿宋" w:hAnsi="华文仿宋" w:eastAsia="华文仿宋" w:cs="华文仿宋"/>
          <w:color w:val="auto"/>
          <w:sz w:val="28"/>
          <w:szCs w:val="28"/>
        </w:rPr>
      </w:pPr>
      <w:r>
        <w:rPr>
          <w:rFonts w:hint="eastAsia" w:ascii="华文仿宋" w:hAnsi="华文仿宋" w:eastAsia="华文仿宋" w:cs="华文仿宋"/>
          <w:sz w:val="28"/>
          <w:szCs w:val="28"/>
        </w:rPr>
        <w:t>202</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年</w:t>
      </w:r>
      <w:r>
        <w:rPr>
          <w:rFonts w:hint="eastAsia" w:ascii="华文仿宋" w:hAnsi="华文仿宋" w:eastAsia="华文仿宋" w:cs="华文仿宋"/>
          <w:sz w:val="28"/>
          <w:szCs w:val="28"/>
          <w:lang w:val="en-US" w:eastAsia="zh-CN"/>
        </w:rPr>
        <w:t>8</w:t>
      </w:r>
      <w:r>
        <w:rPr>
          <w:rFonts w:hint="eastAsia" w:ascii="华文仿宋" w:hAnsi="华文仿宋" w:eastAsia="华文仿宋" w:cs="华文仿宋"/>
          <w:sz w:val="28"/>
          <w:szCs w:val="28"/>
        </w:rPr>
        <w:t>月</w:t>
      </w:r>
      <w:r>
        <w:rPr>
          <w:rFonts w:hint="eastAsia" w:ascii="华文仿宋" w:hAnsi="华文仿宋" w:eastAsia="华文仿宋" w:cs="华文仿宋"/>
          <w:sz w:val="28"/>
          <w:szCs w:val="28"/>
          <w:lang w:val="en-US" w:eastAsia="zh-CN"/>
        </w:rPr>
        <w:t>26</w:t>
      </w:r>
      <w:r>
        <w:rPr>
          <w:rFonts w:hint="eastAsia" w:ascii="华文仿宋" w:hAnsi="华文仿宋" w:eastAsia="华文仿宋" w:cs="华文仿宋"/>
          <w:sz w:val="28"/>
          <w:szCs w:val="28"/>
        </w:rPr>
        <w:t>日至</w:t>
      </w:r>
      <w:r>
        <w:rPr>
          <w:rFonts w:hint="eastAsia" w:ascii="华文仿宋" w:hAnsi="华文仿宋" w:eastAsia="华文仿宋" w:cs="华文仿宋"/>
          <w:sz w:val="28"/>
          <w:szCs w:val="28"/>
          <w:lang w:val="en-US" w:eastAsia="zh-CN"/>
        </w:rPr>
        <w:t>9</w:t>
      </w:r>
      <w:r>
        <w:rPr>
          <w:rFonts w:hint="eastAsia" w:ascii="华文仿宋" w:hAnsi="华文仿宋" w:eastAsia="华文仿宋" w:cs="华文仿宋"/>
          <w:sz w:val="28"/>
          <w:szCs w:val="28"/>
        </w:rPr>
        <w:t>月</w:t>
      </w:r>
      <w:r>
        <w:rPr>
          <w:rFonts w:hint="eastAsia" w:ascii="华文仿宋" w:hAnsi="华文仿宋" w:eastAsia="华文仿宋" w:cs="华文仿宋"/>
          <w:sz w:val="28"/>
          <w:szCs w:val="28"/>
          <w:lang w:val="en-US" w:eastAsia="zh-CN"/>
        </w:rPr>
        <w:t>30</w:t>
      </w:r>
      <w:r>
        <w:rPr>
          <w:rFonts w:hint="eastAsia" w:ascii="华文仿宋" w:hAnsi="华文仿宋" w:eastAsia="华文仿宋" w:cs="华文仿宋"/>
          <w:sz w:val="28"/>
          <w:szCs w:val="28"/>
        </w:rPr>
        <w:t>日期间，全省共收集工单总数</w:t>
      </w:r>
      <w:r>
        <w:rPr>
          <w:rFonts w:hint="eastAsia" w:ascii="华文仿宋" w:hAnsi="华文仿宋" w:eastAsia="华文仿宋" w:cs="华文仿宋"/>
          <w:sz w:val="28"/>
          <w:szCs w:val="28"/>
          <w:lang w:val="en-US" w:eastAsia="zh-CN"/>
        </w:rPr>
        <w:t>2463</w:t>
      </w:r>
      <w:r>
        <w:rPr>
          <w:rFonts w:hint="eastAsia" w:ascii="华文仿宋" w:hAnsi="华文仿宋" w:eastAsia="华文仿宋" w:cs="华文仿宋"/>
          <w:sz w:val="28"/>
          <w:szCs w:val="28"/>
        </w:rPr>
        <w:t>条，其中通过服务台呼入</w:t>
      </w:r>
      <w:r>
        <w:rPr>
          <w:rFonts w:hint="eastAsia" w:ascii="华文仿宋" w:hAnsi="华文仿宋" w:eastAsia="华文仿宋" w:cs="华文仿宋"/>
          <w:sz w:val="28"/>
          <w:szCs w:val="28"/>
          <w:lang w:val="en-US" w:eastAsia="zh-CN"/>
        </w:rPr>
        <w:t>2178</w:t>
      </w:r>
      <w:r>
        <w:rPr>
          <w:rFonts w:hint="eastAsia" w:ascii="华文仿宋" w:hAnsi="华文仿宋" w:eastAsia="华文仿宋" w:cs="华文仿宋"/>
          <w:sz w:val="28"/>
          <w:szCs w:val="28"/>
        </w:rPr>
        <w:t>条，占</w:t>
      </w:r>
      <w:r>
        <w:rPr>
          <w:rFonts w:hint="eastAsia" w:ascii="华文仿宋" w:hAnsi="华文仿宋" w:eastAsia="华文仿宋" w:cs="华文仿宋"/>
          <w:sz w:val="28"/>
          <w:szCs w:val="28"/>
          <w:lang w:eastAsia="zh-CN"/>
        </w:rPr>
        <w:t>比</w:t>
      </w:r>
      <w:r>
        <w:rPr>
          <w:rFonts w:hint="eastAsia" w:ascii="华文仿宋" w:hAnsi="华文仿宋" w:eastAsia="华文仿宋" w:cs="华文仿宋"/>
          <w:sz w:val="28"/>
          <w:szCs w:val="28"/>
          <w:lang w:val="en-US" w:eastAsia="zh-CN"/>
        </w:rPr>
        <w:t>88.43</w:t>
      </w:r>
      <w:r>
        <w:rPr>
          <w:rFonts w:hint="eastAsia" w:ascii="华文仿宋" w:hAnsi="华文仿宋" w:eastAsia="华文仿宋" w:cs="华文仿宋"/>
          <w:sz w:val="28"/>
          <w:szCs w:val="28"/>
        </w:rPr>
        <w:t>%。</w:t>
      </w:r>
    </w:p>
    <w:p>
      <w:pPr>
        <w:ind w:left="0" w:leftChars="0" w:firstLine="480"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各区本月工单总数：公司本部1812条，广州厂406条，韶关厂31条，梅州厂76条，湛江厂138条。通过服务台呼入情况如下图示</w:t>
      </w:r>
      <w:r>
        <w:rPr>
          <w:rFonts w:hint="eastAsia" w:ascii="华文仿宋" w:hAnsi="华文仿宋" w:eastAsia="华文仿宋" w:cs="华文仿宋"/>
          <w:sz w:val="28"/>
          <w:szCs w:val="28"/>
        </w:rPr>
        <w:t>：</w:t>
      </w:r>
    </w:p>
    <w:p>
      <w:pPr>
        <w:ind w:left="142" w:firstLine="640"/>
        <w:jc w:val="center"/>
        <w:rPr>
          <w:rFonts w:hint="eastAsia" w:asciiTheme="minorEastAsia" w:hAnsiTheme="minorEastAsia" w:eastAsiaTheme="minorEastAsia"/>
          <w:sz w:val="32"/>
          <w:szCs w:val="32"/>
        </w:rPr>
      </w:pPr>
      <w:r>
        <w:rPr>
          <w:sz w:val="24"/>
        </w:rPr>
        <mc:AlternateContent>
          <mc:Choice Requires="wps">
            <w:drawing>
              <wp:anchor distT="0" distB="0" distL="114300" distR="114300" simplePos="0" relativeHeight="251663360" behindDoc="0" locked="0" layoutInCell="1" allowOverlap="1">
                <wp:simplePos x="0" y="0"/>
                <wp:positionH relativeFrom="column">
                  <wp:posOffset>1130300</wp:posOffset>
                </wp:positionH>
                <wp:positionV relativeFrom="paragraph">
                  <wp:posOffset>147955</wp:posOffset>
                </wp:positionV>
                <wp:extent cx="762000" cy="325120"/>
                <wp:effectExtent l="0" t="0" r="0" b="0"/>
                <wp:wrapNone/>
                <wp:docPr id="24" name="文本框 91"/>
                <wp:cNvGraphicFramePr/>
                <a:graphic xmlns:a="http://schemas.openxmlformats.org/drawingml/2006/main">
                  <a:graphicData uri="http://schemas.microsoft.com/office/word/2010/wordprocessingShape">
                    <wps:wsp>
                      <wps:cNvSpPr txBox="1"/>
                      <wps:spPr>
                        <a:xfrm>
                          <a:off x="0" y="0"/>
                          <a:ext cx="762000" cy="325120"/>
                        </a:xfrm>
                        <a:prstGeom prst="rect">
                          <a:avLst/>
                        </a:prstGeom>
                        <a:noFill/>
                        <a:ln>
                          <a:noFill/>
                        </a:ln>
                      </wps:spPr>
                      <wps:txbx>
                        <w:txbxContent>
                          <w:p>
                            <w:pPr>
                              <w:ind w:left="0" w:leftChars="0" w:firstLine="0" w:firstLineChars="0"/>
                              <w:rPr>
                                <w:rFonts w:hint="default" w:eastAsia="宋体"/>
                                <w:sz w:val="16"/>
                                <w:szCs w:val="16"/>
                                <w:lang w:val="en-US" w:eastAsia="zh-CN"/>
                              </w:rPr>
                            </w:pPr>
                            <w:r>
                              <w:rPr>
                                <w:rFonts w:hint="eastAsia"/>
                                <w:sz w:val="16"/>
                                <w:szCs w:val="16"/>
                                <w:lang w:val="en-US" w:eastAsia="zh-CN"/>
                              </w:rPr>
                              <w:t>95.97%</w:t>
                            </w:r>
                          </w:p>
                        </w:txbxContent>
                      </wps:txbx>
                      <wps:bodyPr upright="1"/>
                    </wps:wsp>
                  </a:graphicData>
                </a:graphic>
              </wp:anchor>
            </w:drawing>
          </mc:Choice>
          <mc:Fallback>
            <w:pict>
              <v:shape id="文本框 91" o:spid="_x0000_s1026" o:spt="202" type="#_x0000_t202" style="position:absolute;left:0pt;margin-left:89pt;margin-top:11.65pt;height:25.6pt;width:60pt;z-index:251663360;mso-width-relative:page;mso-height-relative:page;" filled="f" stroked="f" coordsize="21600,21600" o:gfxdata="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xoWS7WAAAA&#10;CQEAAA8AAAAAAAAAAQAgAAAAIgAAAGRycy9kb3ducmV2LnhtbFBLAQIUABQAAAAIAIdO4kB2MzfO&#10;rQEAAE8DAAAOAAAAAAAAAAEAIAAAACUBAABkcnMvZTJvRG9jLnhtbFBLBQYAAAAABgAGAFkBAABE&#10;BQAAAAA=&#10;">
                <v:fill on="f" focussize="0,0"/>
                <v:stroke on="f"/>
                <v:imagedata o:title=""/>
                <o:lock v:ext="edit" aspectratio="f"/>
                <v:textbox>
                  <w:txbxContent>
                    <w:p>
                      <w:pPr>
                        <w:ind w:left="0" w:leftChars="0" w:firstLine="0" w:firstLineChars="0"/>
                        <w:rPr>
                          <w:rFonts w:hint="default" w:eastAsia="宋体"/>
                          <w:sz w:val="16"/>
                          <w:szCs w:val="16"/>
                          <w:lang w:val="en-US" w:eastAsia="zh-CN"/>
                        </w:rPr>
                      </w:pPr>
                      <w:r>
                        <w:rPr>
                          <w:rFonts w:hint="eastAsia"/>
                          <w:sz w:val="16"/>
                          <w:szCs w:val="16"/>
                          <w:lang w:val="en-US" w:eastAsia="zh-CN"/>
                        </w:rPr>
                        <w:t>95.97%</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2130425</wp:posOffset>
                </wp:positionH>
                <wp:positionV relativeFrom="paragraph">
                  <wp:posOffset>1843405</wp:posOffset>
                </wp:positionV>
                <wp:extent cx="762000" cy="325120"/>
                <wp:effectExtent l="0" t="0" r="0" b="0"/>
                <wp:wrapNone/>
                <wp:docPr id="13" name="文本框 84"/>
                <wp:cNvGraphicFramePr/>
                <a:graphic xmlns:a="http://schemas.openxmlformats.org/drawingml/2006/main">
                  <a:graphicData uri="http://schemas.microsoft.com/office/word/2010/wordprocessingShape">
                    <wps:wsp>
                      <wps:cNvSpPr txBox="1"/>
                      <wps:spPr>
                        <a:xfrm>
                          <a:off x="0" y="0"/>
                          <a:ext cx="762000" cy="325120"/>
                        </a:xfrm>
                        <a:prstGeom prst="rect">
                          <a:avLst/>
                        </a:prstGeom>
                        <a:noFill/>
                        <a:ln>
                          <a:noFill/>
                        </a:ln>
                      </wps:spPr>
                      <wps:txbx>
                        <w:txbxContent>
                          <w:p>
                            <w:pPr>
                              <w:ind w:left="0" w:leftChars="0" w:firstLine="0" w:firstLineChars="0"/>
                              <w:rPr>
                                <w:rFonts w:hint="default"/>
                                <w:sz w:val="16"/>
                                <w:szCs w:val="16"/>
                                <w:lang w:val="en-US" w:eastAsia="zh-CN"/>
                              </w:rPr>
                            </w:pPr>
                            <w:r>
                              <w:rPr>
                                <w:rFonts w:hint="eastAsia"/>
                                <w:sz w:val="16"/>
                                <w:szCs w:val="16"/>
                                <w:lang w:val="en-US" w:eastAsia="zh-CN"/>
                              </w:rPr>
                              <w:t>75.37%</w:t>
                            </w:r>
                          </w:p>
                        </w:txbxContent>
                      </wps:txbx>
                      <wps:bodyPr upright="1"/>
                    </wps:wsp>
                  </a:graphicData>
                </a:graphic>
              </wp:anchor>
            </w:drawing>
          </mc:Choice>
          <mc:Fallback>
            <w:pict>
              <v:shape id="文本框 84" o:spid="_x0000_s1026" o:spt="202" type="#_x0000_t202" style="position:absolute;left:0pt;margin-left:167.75pt;margin-top:145.15pt;height:25.6pt;width:60pt;z-index:251659264;mso-width-relative:page;mso-height-relative:page;" filled="f" stroked="f" coordsize="21600,21600" o:gfxdata="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bU5K1wAA&#10;AAsBAAAPAAAAAAAAAAEAIAAAACIAAABkcnMvZG93bnJldi54bWxQSwECFAAUAAAACACHTuJAJ7VW&#10;dK0BAABPAwAADgAAAAAAAAABACAAAAAmAQAAZHJzL2Uyb0RvYy54bWxQSwUGAAAAAAYABgBZAQAA&#10;RQUAAAAA&#10;">
                <v:fill on="f" focussize="0,0"/>
                <v:stroke on="f"/>
                <v:imagedata o:title=""/>
                <o:lock v:ext="edit" aspectratio="f"/>
                <v:textbox>
                  <w:txbxContent>
                    <w:p>
                      <w:pPr>
                        <w:ind w:left="0" w:leftChars="0" w:firstLine="0" w:firstLineChars="0"/>
                        <w:rPr>
                          <w:rFonts w:hint="default"/>
                          <w:sz w:val="16"/>
                          <w:szCs w:val="16"/>
                          <w:lang w:val="en-US" w:eastAsia="zh-CN"/>
                        </w:rPr>
                      </w:pPr>
                      <w:r>
                        <w:rPr>
                          <w:rFonts w:hint="eastAsia"/>
                          <w:sz w:val="16"/>
                          <w:szCs w:val="16"/>
                          <w:lang w:val="en-US" w:eastAsia="zh-CN"/>
                        </w:rPr>
                        <w:t>75.37%</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5140325</wp:posOffset>
                </wp:positionH>
                <wp:positionV relativeFrom="paragraph">
                  <wp:posOffset>1995805</wp:posOffset>
                </wp:positionV>
                <wp:extent cx="714375" cy="334645"/>
                <wp:effectExtent l="0" t="0" r="0" b="0"/>
                <wp:wrapNone/>
                <wp:docPr id="23" name="文本框 87"/>
                <wp:cNvGraphicFramePr/>
                <a:graphic xmlns:a="http://schemas.openxmlformats.org/drawingml/2006/main">
                  <a:graphicData uri="http://schemas.microsoft.com/office/word/2010/wordprocessingShape">
                    <wps:wsp>
                      <wps:cNvSpPr txBox="1"/>
                      <wps:spPr>
                        <a:xfrm>
                          <a:off x="0" y="0"/>
                          <a:ext cx="714375" cy="334645"/>
                        </a:xfrm>
                        <a:prstGeom prst="rect">
                          <a:avLst/>
                        </a:prstGeom>
                        <a:noFill/>
                        <a:ln>
                          <a:noFill/>
                        </a:ln>
                      </wps:spPr>
                      <wps:txbx>
                        <w:txbxContent>
                          <w:p>
                            <w:pPr>
                              <w:ind w:left="0" w:leftChars="0" w:firstLine="0" w:firstLineChars="0"/>
                              <w:rPr>
                                <w:rFonts w:hint="default"/>
                                <w:sz w:val="16"/>
                                <w:szCs w:val="16"/>
                                <w:lang w:val="en-US" w:eastAsia="zh-CN"/>
                              </w:rPr>
                            </w:pPr>
                            <w:r>
                              <w:rPr>
                                <w:rFonts w:hint="eastAsia"/>
                                <w:sz w:val="16"/>
                                <w:szCs w:val="16"/>
                                <w:lang w:val="en-US" w:eastAsia="zh-CN"/>
                              </w:rPr>
                              <w:t>74.64%</w:t>
                            </w:r>
                          </w:p>
                        </w:txbxContent>
                      </wps:txbx>
                      <wps:bodyPr upright="1"/>
                    </wps:wsp>
                  </a:graphicData>
                </a:graphic>
              </wp:anchor>
            </w:drawing>
          </mc:Choice>
          <mc:Fallback>
            <w:pict>
              <v:shape id="文本框 87" o:spid="_x0000_s1026" o:spt="202" type="#_x0000_t202" style="position:absolute;left:0pt;margin-left:404.75pt;margin-top:157.15pt;height:26.35pt;width:56.25pt;z-index:251662336;mso-width-relative:page;mso-height-relative:page;" filled="f" stroked="f" coordsize="21600,21600" o:gfxdata="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7N+&#10;1dkAAAALAQAADwAAAAAAAAABACAAAAAiAAAAZHJzL2Rvd25yZXYueG1sUEsBAhQAFAAAAAgAh07i&#10;QFuNLdavAQAATwMAAA4AAAAAAAAAAQAgAAAAKAEAAGRycy9lMm9Eb2MueG1sUEsFBgAAAAAGAAYA&#10;WQEAAEkFAAAAAA==&#10;">
                <v:fill on="f" focussize="0,0"/>
                <v:stroke on="f"/>
                <v:imagedata o:title=""/>
                <o:lock v:ext="edit" aspectratio="f"/>
                <v:textbox>
                  <w:txbxContent>
                    <w:p>
                      <w:pPr>
                        <w:ind w:left="0" w:leftChars="0" w:firstLine="0" w:firstLineChars="0"/>
                        <w:rPr>
                          <w:rFonts w:hint="default"/>
                          <w:sz w:val="16"/>
                          <w:szCs w:val="16"/>
                          <w:lang w:val="en-US" w:eastAsia="zh-CN"/>
                        </w:rPr>
                      </w:pPr>
                      <w:r>
                        <w:rPr>
                          <w:rFonts w:hint="eastAsia"/>
                          <w:sz w:val="16"/>
                          <w:szCs w:val="16"/>
                          <w:lang w:val="en-US" w:eastAsia="zh-CN"/>
                        </w:rPr>
                        <w:t>74.64%</w:t>
                      </w:r>
                    </w:p>
                  </w:txbxContent>
                </v:textbox>
              </v:shape>
            </w:pict>
          </mc:Fallback>
        </mc:AlternateContent>
      </w:r>
      <w:r>
        <w:drawing>
          <wp:inline distT="0" distB="0" distL="114300" distR="114300">
            <wp:extent cx="5457190" cy="3123565"/>
            <wp:effectExtent l="4445" t="4445" r="5715" b="1524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sz w:val="24"/>
        </w:rPr>
        <mc:AlternateContent>
          <mc:Choice Requires="wps">
            <w:drawing>
              <wp:anchor distT="0" distB="0" distL="114300" distR="114300" simplePos="0" relativeHeight="251660288" behindDoc="0" locked="0" layoutInCell="1" allowOverlap="1">
                <wp:simplePos x="0" y="0"/>
                <wp:positionH relativeFrom="column">
                  <wp:posOffset>4216400</wp:posOffset>
                </wp:positionH>
                <wp:positionV relativeFrom="paragraph">
                  <wp:posOffset>2052955</wp:posOffset>
                </wp:positionV>
                <wp:extent cx="714375" cy="334645"/>
                <wp:effectExtent l="0" t="0" r="0" b="0"/>
                <wp:wrapNone/>
                <wp:docPr id="21" name="文本框 85"/>
                <wp:cNvGraphicFramePr/>
                <a:graphic xmlns:a="http://schemas.openxmlformats.org/drawingml/2006/main">
                  <a:graphicData uri="http://schemas.microsoft.com/office/word/2010/wordprocessingShape">
                    <wps:wsp>
                      <wps:cNvSpPr txBox="1"/>
                      <wps:spPr>
                        <a:xfrm>
                          <a:off x="0" y="0"/>
                          <a:ext cx="714375" cy="334645"/>
                        </a:xfrm>
                        <a:prstGeom prst="rect">
                          <a:avLst/>
                        </a:prstGeom>
                        <a:noFill/>
                        <a:ln>
                          <a:noFill/>
                        </a:ln>
                      </wps:spPr>
                      <wps:txbx>
                        <w:txbxContent>
                          <w:p>
                            <w:pPr>
                              <w:ind w:left="0" w:leftChars="0" w:firstLine="0" w:firstLineChars="0"/>
                              <w:rPr>
                                <w:rFonts w:hint="default"/>
                                <w:sz w:val="16"/>
                                <w:szCs w:val="16"/>
                                <w:lang w:val="en-US" w:eastAsia="zh-CN"/>
                              </w:rPr>
                            </w:pPr>
                            <w:r>
                              <w:rPr>
                                <w:rFonts w:hint="eastAsia"/>
                                <w:sz w:val="16"/>
                                <w:szCs w:val="16"/>
                                <w:lang w:val="en-US" w:eastAsia="zh-CN"/>
                              </w:rPr>
                              <w:t>39.47%</w:t>
                            </w:r>
                          </w:p>
                        </w:txbxContent>
                      </wps:txbx>
                      <wps:bodyPr upright="1"/>
                    </wps:wsp>
                  </a:graphicData>
                </a:graphic>
              </wp:anchor>
            </w:drawing>
          </mc:Choice>
          <mc:Fallback>
            <w:pict>
              <v:shape id="文本框 85" o:spid="_x0000_s1026" o:spt="202" type="#_x0000_t202" style="position:absolute;left:0pt;margin-left:332pt;margin-top:161.65pt;height:26.35pt;width:56.25pt;z-index:251660288;mso-width-relative:page;mso-height-relative:page;" filled="f" stroked="f" coordsize="21600,21600" o:gfxdata="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Lep&#10;LtkAAAALAQAADwAAAAAAAAABACAAAAAiAAAAZHJzL2Rvd25yZXYueG1sUEsBAhQAFAAAAAgAh07i&#10;QG/blQKvAQAATwMAAA4AAAAAAAAAAQAgAAAAKAEAAGRycy9lMm9Eb2MueG1sUEsFBgAAAAAGAAYA&#10;WQEAAEkFAAAAAA==&#10;">
                <v:fill on="f" focussize="0,0"/>
                <v:stroke on="f"/>
                <v:imagedata o:title=""/>
                <o:lock v:ext="edit" aspectratio="f"/>
                <v:textbox>
                  <w:txbxContent>
                    <w:p>
                      <w:pPr>
                        <w:ind w:left="0" w:leftChars="0" w:firstLine="0" w:firstLineChars="0"/>
                        <w:rPr>
                          <w:rFonts w:hint="default"/>
                          <w:sz w:val="16"/>
                          <w:szCs w:val="16"/>
                          <w:lang w:val="en-US" w:eastAsia="zh-CN"/>
                        </w:rPr>
                      </w:pPr>
                      <w:r>
                        <w:rPr>
                          <w:rFonts w:hint="eastAsia"/>
                          <w:sz w:val="16"/>
                          <w:szCs w:val="16"/>
                          <w:lang w:val="en-US" w:eastAsia="zh-CN"/>
                        </w:rPr>
                        <w:t>39.47%</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3282950</wp:posOffset>
                </wp:positionH>
                <wp:positionV relativeFrom="paragraph">
                  <wp:posOffset>2062480</wp:posOffset>
                </wp:positionV>
                <wp:extent cx="714375" cy="334645"/>
                <wp:effectExtent l="0" t="0" r="0" b="0"/>
                <wp:wrapNone/>
                <wp:docPr id="22" name="文本框 86"/>
                <wp:cNvGraphicFramePr/>
                <a:graphic xmlns:a="http://schemas.openxmlformats.org/drawingml/2006/main">
                  <a:graphicData uri="http://schemas.microsoft.com/office/word/2010/wordprocessingShape">
                    <wps:wsp>
                      <wps:cNvSpPr txBox="1"/>
                      <wps:spPr>
                        <a:xfrm>
                          <a:off x="0" y="0"/>
                          <a:ext cx="714375" cy="334645"/>
                        </a:xfrm>
                        <a:prstGeom prst="rect">
                          <a:avLst/>
                        </a:prstGeom>
                        <a:noFill/>
                        <a:ln>
                          <a:noFill/>
                        </a:ln>
                      </wps:spPr>
                      <wps:txbx>
                        <w:txbxContent>
                          <w:p>
                            <w:pPr>
                              <w:ind w:left="0" w:leftChars="0" w:firstLine="0" w:firstLineChars="0"/>
                              <w:rPr>
                                <w:rFonts w:hint="default"/>
                                <w:sz w:val="16"/>
                                <w:szCs w:val="16"/>
                                <w:lang w:val="en-US" w:eastAsia="zh-CN"/>
                              </w:rPr>
                            </w:pPr>
                            <w:r>
                              <w:rPr>
                                <w:rFonts w:hint="eastAsia"/>
                                <w:sz w:val="16"/>
                                <w:szCs w:val="16"/>
                                <w:lang w:val="en-US" w:eastAsia="zh-CN"/>
                              </w:rPr>
                              <w:t>0%</w:t>
                            </w:r>
                          </w:p>
                        </w:txbxContent>
                      </wps:txbx>
                      <wps:bodyPr upright="1"/>
                    </wps:wsp>
                  </a:graphicData>
                </a:graphic>
              </wp:anchor>
            </w:drawing>
          </mc:Choice>
          <mc:Fallback>
            <w:pict>
              <v:shape id="文本框 86" o:spid="_x0000_s1026" o:spt="202" type="#_x0000_t202" style="position:absolute;left:0pt;margin-left:258.5pt;margin-top:162.4pt;height:26.35pt;width:56.25pt;z-index:251661312;mso-width-relative:page;mso-height-relative:page;" filled="f" stroked="f" coordsize="21600,21600" o:gfxdata="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8li&#10;O9kAAAALAQAADwAAAAAAAAABACAAAAAiAAAAZHJzL2Rvd25yZXYueG1sUEsBAhQAFAAAAAgAh07i&#10;QEGmcbyvAQAATwMAAA4AAAAAAAAAAQAgAAAAKAEAAGRycy9lMm9Eb2MueG1sUEsFBgAAAAAGAAYA&#10;WQEAAEkFAAAAAA==&#10;">
                <v:fill on="f" focussize="0,0"/>
                <v:stroke on="f"/>
                <v:imagedata o:title=""/>
                <o:lock v:ext="edit" aspectratio="f"/>
                <v:textbox>
                  <w:txbxContent>
                    <w:p>
                      <w:pPr>
                        <w:ind w:left="0" w:leftChars="0" w:firstLine="0" w:firstLineChars="0"/>
                        <w:rPr>
                          <w:rFonts w:hint="default"/>
                          <w:sz w:val="16"/>
                          <w:szCs w:val="16"/>
                          <w:lang w:val="en-US" w:eastAsia="zh-CN"/>
                        </w:rPr>
                      </w:pPr>
                      <w:r>
                        <w:rPr>
                          <w:rFonts w:hint="eastAsia"/>
                          <w:sz w:val="16"/>
                          <w:szCs w:val="16"/>
                          <w:lang w:val="en-US" w:eastAsia="zh-CN"/>
                        </w:rPr>
                        <w:t>0%</w:t>
                      </w:r>
                    </w:p>
                  </w:txbxContent>
                </v:textbox>
              </v:shape>
            </w:pict>
          </mc:Fallback>
        </mc:AlternateContent>
      </w:r>
    </w:p>
    <w:p>
      <w:pPr>
        <w:rPr>
          <w:rFonts w:hint="eastAsia"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PS：本月与8月总工单数（1721条）有所增加。如上图所示可知本月与往月一样通过服务台建单占比最大，但仍有11.57%是未经服务台创建工单的，其中本月韶关厂未经过服务台建单及梅州厂服务台来电建单率较低（与上月情况一致），建议各区按照标准渠道生成工单以此可追溯事件来源。）</w:t>
      </w:r>
    </w:p>
    <w:p>
      <w:pPr>
        <w:pStyle w:val="5"/>
        <w:spacing w:before="312" w:after="156"/>
        <w:ind w:left="567"/>
        <w:outlineLvl w:val="1"/>
      </w:pPr>
      <w:bookmarkStart w:id="14" w:name="_Toc2236"/>
      <w:bookmarkStart w:id="15" w:name="_Toc17316"/>
      <w:r>
        <w:rPr>
          <w:rFonts w:hint="default"/>
        </w:rPr>
        <w:t>工程师发起的工单</w:t>
      </w:r>
      <w:bookmarkEnd w:id="14"/>
      <w:bookmarkEnd w:id="15"/>
    </w:p>
    <w:p>
      <w:pPr>
        <w:ind w:firstLine="640"/>
        <w:rPr>
          <w:rFonts w:hint="eastAsia" w:ascii="华文仿宋" w:hAnsi="华文仿宋" w:eastAsia="华文仿宋" w:cs="华文仿宋"/>
          <w:sz w:val="28"/>
          <w:szCs w:val="28"/>
        </w:rPr>
      </w:pPr>
      <w:r>
        <w:rPr>
          <w:rFonts w:hint="eastAsia" w:ascii="华文仿宋" w:hAnsi="华文仿宋" w:eastAsia="华文仿宋" w:cs="华文仿宋"/>
          <w:sz w:val="28"/>
          <w:szCs w:val="28"/>
        </w:rPr>
        <w:t>除通过服务台呼入生成事件工单外，还有部分事件工单是通过其它途径由工程师发起的，业务情况如下图示：</w:t>
      </w:r>
    </w:p>
    <w:tbl>
      <w:tblPr>
        <w:tblStyle w:val="34"/>
        <w:tblW w:w="8781" w:type="dxa"/>
        <w:jc w:val="center"/>
        <w:tblLayout w:type="autofit"/>
        <w:tblCellMar>
          <w:top w:w="0" w:type="dxa"/>
          <w:left w:w="108" w:type="dxa"/>
          <w:bottom w:w="0" w:type="dxa"/>
          <w:right w:w="108" w:type="dxa"/>
        </w:tblCellMar>
      </w:tblPr>
      <w:tblGrid>
        <w:gridCol w:w="3031"/>
        <w:gridCol w:w="1374"/>
        <w:gridCol w:w="1094"/>
        <w:gridCol w:w="1094"/>
        <w:gridCol w:w="1094"/>
        <w:gridCol w:w="1094"/>
      </w:tblGrid>
      <w:tr>
        <w:tblPrEx>
          <w:tblCellMar>
            <w:top w:w="0" w:type="dxa"/>
            <w:left w:w="108" w:type="dxa"/>
            <w:bottom w:w="0" w:type="dxa"/>
            <w:right w:w="108" w:type="dxa"/>
          </w:tblCellMar>
        </w:tblPrEx>
        <w:trPr>
          <w:trHeight w:val="421" w:hRule="atLeast"/>
          <w:jc w:val="center"/>
        </w:trPr>
        <w:tc>
          <w:tcPr>
            <w:tcW w:w="3031" w:type="dxa"/>
            <w:tcBorders>
              <w:top w:val="nil"/>
              <w:left w:val="nil"/>
              <w:bottom w:val="nil"/>
              <w:right w:val="nil"/>
            </w:tcBorders>
            <w:shd w:val="clear" w:color="000000" w:fill="8DB4E3"/>
            <w:noWrap/>
            <w:vAlign w:val="center"/>
          </w:tcPr>
          <w:p>
            <w:pPr>
              <w:widowControl/>
              <w:adjustRightInd/>
              <w:spacing w:line="240" w:lineRule="auto"/>
              <w:ind w:firstLine="482" w:firstLineChars="0"/>
              <w:jc w:val="center"/>
              <w:textAlignment w:val="auto"/>
              <w:rPr>
                <w:rFonts w:ascii="宋体" w:hAnsi="宋体" w:cs="宋体"/>
                <w:b/>
                <w:bCs/>
                <w:color w:val="000000"/>
                <w:kern w:val="0"/>
              </w:rPr>
            </w:pPr>
            <w:r>
              <w:rPr>
                <w:rFonts w:hint="eastAsia" w:ascii="宋体" w:hAnsi="宋体" w:cs="宋体"/>
                <w:b/>
                <w:bCs/>
                <w:color w:val="000000"/>
                <w:kern w:val="0"/>
              </w:rPr>
              <w:t>非电话呼入事件来源</w:t>
            </w:r>
          </w:p>
        </w:tc>
        <w:tc>
          <w:tcPr>
            <w:tcW w:w="1374"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公司本部</w:t>
            </w:r>
          </w:p>
        </w:tc>
        <w:tc>
          <w:tcPr>
            <w:tcW w:w="1094"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广州厂</w:t>
            </w:r>
          </w:p>
        </w:tc>
        <w:tc>
          <w:tcPr>
            <w:tcW w:w="1094"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lang w:eastAsia="zh-CN"/>
              </w:rPr>
              <w:t>湛江</w:t>
            </w:r>
            <w:r>
              <w:rPr>
                <w:rFonts w:hint="eastAsia" w:ascii="宋体" w:hAnsi="宋体" w:cs="宋体"/>
                <w:b/>
                <w:bCs/>
                <w:color w:val="000000"/>
                <w:kern w:val="0"/>
              </w:rPr>
              <w:t>厂</w:t>
            </w:r>
          </w:p>
        </w:tc>
        <w:tc>
          <w:tcPr>
            <w:tcW w:w="1094"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lang w:eastAsia="zh-CN"/>
              </w:rPr>
              <w:t>梅州</w:t>
            </w:r>
            <w:r>
              <w:rPr>
                <w:rFonts w:hint="eastAsia" w:ascii="宋体" w:hAnsi="宋体" w:cs="宋体"/>
                <w:b/>
                <w:bCs/>
                <w:color w:val="000000"/>
                <w:kern w:val="0"/>
              </w:rPr>
              <w:t>厂</w:t>
            </w:r>
          </w:p>
        </w:tc>
        <w:tc>
          <w:tcPr>
            <w:tcW w:w="1094"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lang w:eastAsia="zh-CN"/>
              </w:rPr>
              <w:t>韶关</w:t>
            </w:r>
            <w:r>
              <w:rPr>
                <w:rFonts w:hint="eastAsia" w:ascii="宋体" w:hAnsi="宋体" w:cs="宋体"/>
                <w:b/>
                <w:bCs/>
                <w:color w:val="000000"/>
                <w:kern w:val="0"/>
              </w:rPr>
              <w:t>厂</w:t>
            </w:r>
          </w:p>
        </w:tc>
      </w:tr>
      <w:tr>
        <w:tblPrEx>
          <w:tblCellMar>
            <w:top w:w="0" w:type="dxa"/>
            <w:left w:w="108" w:type="dxa"/>
            <w:bottom w:w="0" w:type="dxa"/>
            <w:right w:w="108" w:type="dxa"/>
          </w:tblCellMar>
        </w:tblPrEx>
        <w:trPr>
          <w:trHeight w:val="355" w:hRule="atLeast"/>
          <w:jc w:val="center"/>
        </w:trPr>
        <w:tc>
          <w:tcPr>
            <w:tcW w:w="3031"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b/>
                <w:bCs/>
                <w:color w:val="000000"/>
                <w:kern w:val="0"/>
              </w:rPr>
            </w:pPr>
            <w:r>
              <w:rPr>
                <w:rFonts w:ascii="Arial" w:hAnsi="Arial" w:cs="Arial"/>
                <w:b/>
                <w:bCs/>
                <w:color w:val="000000"/>
                <w:kern w:val="0"/>
              </w:rPr>
              <w:t>办公协同</w:t>
            </w:r>
          </w:p>
        </w:tc>
        <w:tc>
          <w:tcPr>
            <w:tcW w:w="137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1</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r>
      <w:tr>
        <w:tblPrEx>
          <w:tblCellMar>
            <w:top w:w="0" w:type="dxa"/>
            <w:left w:w="108" w:type="dxa"/>
            <w:bottom w:w="0" w:type="dxa"/>
            <w:right w:w="108" w:type="dxa"/>
          </w:tblCellMar>
        </w:tblPrEx>
        <w:trPr>
          <w:trHeight w:val="355" w:hRule="atLeast"/>
          <w:jc w:val="center"/>
        </w:trPr>
        <w:tc>
          <w:tcPr>
            <w:tcW w:w="3031"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b/>
                <w:bCs/>
                <w:color w:val="000000"/>
                <w:kern w:val="0"/>
              </w:rPr>
            </w:pPr>
            <w:r>
              <w:rPr>
                <w:rFonts w:ascii="Arial" w:hAnsi="Arial" w:cs="Arial"/>
                <w:b/>
                <w:bCs/>
                <w:color w:val="000000"/>
                <w:kern w:val="0"/>
              </w:rPr>
              <w:t>QQ</w:t>
            </w:r>
          </w:p>
        </w:tc>
        <w:tc>
          <w:tcPr>
            <w:tcW w:w="137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5</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r>
      <w:tr>
        <w:tblPrEx>
          <w:tblCellMar>
            <w:top w:w="0" w:type="dxa"/>
            <w:left w:w="108" w:type="dxa"/>
            <w:bottom w:w="0" w:type="dxa"/>
            <w:right w:w="108" w:type="dxa"/>
          </w:tblCellMar>
        </w:tblPrEx>
        <w:trPr>
          <w:trHeight w:val="90" w:hRule="atLeast"/>
          <w:jc w:val="center"/>
        </w:trPr>
        <w:tc>
          <w:tcPr>
            <w:tcW w:w="3031"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b/>
                <w:bCs/>
                <w:color w:val="000000"/>
                <w:kern w:val="0"/>
              </w:rPr>
            </w:pPr>
            <w:r>
              <w:rPr>
                <w:rFonts w:ascii="Arial" w:hAnsi="Arial" w:cs="Arial"/>
                <w:b/>
                <w:bCs/>
                <w:color w:val="000000"/>
                <w:kern w:val="0"/>
              </w:rPr>
              <w:t>巡检</w:t>
            </w:r>
          </w:p>
        </w:tc>
        <w:tc>
          <w:tcPr>
            <w:tcW w:w="137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26</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1</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2</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r>
      <w:tr>
        <w:tblPrEx>
          <w:tblCellMar>
            <w:top w:w="0" w:type="dxa"/>
            <w:left w:w="108" w:type="dxa"/>
            <w:bottom w:w="0" w:type="dxa"/>
            <w:right w:w="108" w:type="dxa"/>
          </w:tblCellMar>
        </w:tblPrEx>
        <w:trPr>
          <w:trHeight w:val="355" w:hRule="atLeast"/>
          <w:jc w:val="center"/>
        </w:trPr>
        <w:tc>
          <w:tcPr>
            <w:tcW w:w="3031"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b/>
                <w:bCs/>
                <w:color w:val="000000"/>
                <w:kern w:val="0"/>
              </w:rPr>
            </w:pPr>
            <w:r>
              <w:rPr>
                <w:rFonts w:ascii="Arial" w:hAnsi="Arial" w:cs="Arial"/>
                <w:b/>
                <w:bCs/>
                <w:color w:val="000000"/>
                <w:kern w:val="0"/>
              </w:rPr>
              <w:t>工程师手机</w:t>
            </w:r>
          </w:p>
        </w:tc>
        <w:tc>
          <w:tcPr>
            <w:tcW w:w="137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33</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6</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35</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44</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30</w:t>
            </w:r>
          </w:p>
        </w:tc>
      </w:tr>
      <w:tr>
        <w:tblPrEx>
          <w:tblCellMar>
            <w:top w:w="0" w:type="dxa"/>
            <w:left w:w="108" w:type="dxa"/>
            <w:bottom w:w="0" w:type="dxa"/>
            <w:right w:w="108" w:type="dxa"/>
          </w:tblCellMar>
        </w:tblPrEx>
        <w:trPr>
          <w:trHeight w:val="355" w:hRule="atLeast"/>
          <w:jc w:val="center"/>
        </w:trPr>
        <w:tc>
          <w:tcPr>
            <w:tcW w:w="3031"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微信</w:t>
            </w:r>
          </w:p>
        </w:tc>
        <w:tc>
          <w:tcPr>
            <w:tcW w:w="137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3</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62</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1</w:t>
            </w:r>
          </w:p>
        </w:tc>
      </w:tr>
      <w:tr>
        <w:tblPrEx>
          <w:tblCellMar>
            <w:top w:w="0" w:type="dxa"/>
            <w:left w:w="108" w:type="dxa"/>
            <w:bottom w:w="0" w:type="dxa"/>
            <w:right w:w="108" w:type="dxa"/>
          </w:tblCellMar>
        </w:tblPrEx>
        <w:trPr>
          <w:trHeight w:val="355" w:hRule="atLeast"/>
          <w:jc w:val="center"/>
        </w:trPr>
        <w:tc>
          <w:tcPr>
            <w:tcW w:w="3031"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其他</w:t>
            </w:r>
          </w:p>
        </w:tc>
        <w:tc>
          <w:tcPr>
            <w:tcW w:w="137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31</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r>
      <w:tr>
        <w:tblPrEx>
          <w:tblCellMar>
            <w:top w:w="0" w:type="dxa"/>
            <w:left w:w="108" w:type="dxa"/>
            <w:bottom w:w="0" w:type="dxa"/>
            <w:right w:w="108" w:type="dxa"/>
          </w:tblCellMar>
        </w:tblPrEx>
        <w:trPr>
          <w:trHeight w:val="355" w:hRule="atLeast"/>
          <w:jc w:val="center"/>
        </w:trPr>
        <w:tc>
          <w:tcPr>
            <w:tcW w:w="3031"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eastAsia" w:ascii="宋体" w:hAnsi="宋体" w:eastAsia="宋体" w:cs="宋体"/>
                <w:b/>
                <w:bCs/>
                <w:color w:val="000000"/>
                <w:kern w:val="0"/>
                <w:lang w:eastAsia="zh-CN"/>
              </w:rPr>
            </w:pPr>
            <w:r>
              <w:rPr>
                <w:rFonts w:hint="eastAsia" w:ascii="宋体" w:hAnsi="宋体" w:cs="宋体"/>
                <w:b/>
                <w:bCs/>
                <w:color w:val="000000"/>
                <w:kern w:val="0"/>
                <w:lang w:eastAsia="zh-CN"/>
              </w:rPr>
              <w:t>原有服务电话</w:t>
            </w:r>
          </w:p>
        </w:tc>
        <w:tc>
          <w:tcPr>
            <w:tcW w:w="137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cs="Arial"/>
                <w:b/>
                <w:bCs/>
                <w:color w:val="000000"/>
                <w:kern w:val="0"/>
                <w:lang w:val="en-US" w:eastAsia="zh-CN"/>
              </w:rPr>
            </w:pPr>
            <w:r>
              <w:rPr>
                <w:rFonts w:hint="eastAsia" w:ascii="Arial" w:hAnsi="Arial" w:cs="Arial"/>
                <w:b/>
                <w:bCs/>
                <w:color w:val="000000"/>
                <w:kern w:val="0"/>
                <w:lang w:val="en-US" w:eastAsia="zh-CN"/>
              </w:rPr>
              <w:t>5</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c>
          <w:tcPr>
            <w:tcW w:w="1094" w:type="dxa"/>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lang w:val="en-US" w:eastAsia="zh-CN"/>
              </w:rPr>
            </w:pPr>
            <w:r>
              <w:rPr>
                <w:rFonts w:hint="eastAsia" w:ascii="Arial" w:hAnsi="Arial" w:cs="Arial"/>
                <w:b/>
                <w:bCs/>
                <w:color w:val="000000"/>
                <w:kern w:val="0"/>
                <w:lang w:val="en-US" w:eastAsia="zh-CN"/>
              </w:rPr>
              <w:t>0</w:t>
            </w:r>
          </w:p>
        </w:tc>
      </w:tr>
      <w:tr>
        <w:tblPrEx>
          <w:tblCellMar>
            <w:top w:w="0" w:type="dxa"/>
            <w:left w:w="108" w:type="dxa"/>
            <w:bottom w:w="0" w:type="dxa"/>
            <w:right w:w="108" w:type="dxa"/>
          </w:tblCellMar>
        </w:tblPrEx>
        <w:trPr>
          <w:trHeight w:val="355" w:hRule="atLeast"/>
          <w:jc w:val="center"/>
        </w:trPr>
        <w:tc>
          <w:tcPr>
            <w:tcW w:w="3031" w:type="dxa"/>
            <w:tcBorders>
              <w:top w:val="nil"/>
              <w:left w:val="nil"/>
              <w:bottom w:val="nil"/>
              <w:right w:val="nil"/>
            </w:tcBorders>
            <w:shd w:val="clear" w:color="000000" w:fill="95B3D7"/>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合计</w:t>
            </w:r>
          </w:p>
        </w:tc>
        <w:tc>
          <w:tcPr>
            <w:tcW w:w="1374" w:type="dxa"/>
            <w:tcBorders>
              <w:top w:val="nil"/>
              <w:left w:val="nil"/>
              <w:bottom w:val="nil"/>
              <w:right w:val="nil"/>
            </w:tcBorders>
            <w:shd w:val="clear" w:color="000000" w:fill="95B3D7"/>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32"/>
                <w:szCs w:val="32"/>
                <w:lang w:val="en-US" w:eastAsia="zh-CN"/>
              </w:rPr>
            </w:pPr>
            <w:r>
              <w:rPr>
                <w:rFonts w:hint="eastAsia" w:ascii="宋体" w:hAnsi="宋体" w:cs="宋体"/>
                <w:b/>
                <w:bCs/>
                <w:color w:val="000000"/>
                <w:kern w:val="0"/>
                <w:sz w:val="32"/>
                <w:szCs w:val="32"/>
                <w:lang w:val="en-US" w:eastAsia="zh-CN"/>
              </w:rPr>
              <w:t>73</w:t>
            </w:r>
          </w:p>
        </w:tc>
        <w:tc>
          <w:tcPr>
            <w:tcW w:w="1094" w:type="dxa"/>
            <w:tcBorders>
              <w:top w:val="nil"/>
              <w:left w:val="nil"/>
              <w:bottom w:val="nil"/>
              <w:right w:val="nil"/>
            </w:tcBorders>
            <w:shd w:val="clear" w:color="000000" w:fill="95B3D7"/>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32"/>
                <w:szCs w:val="32"/>
                <w:lang w:val="en-US" w:eastAsia="zh-CN"/>
              </w:rPr>
            </w:pPr>
            <w:r>
              <w:rPr>
                <w:rFonts w:hint="eastAsia" w:ascii="宋体" w:hAnsi="宋体" w:cs="宋体"/>
                <w:b/>
                <w:bCs/>
                <w:color w:val="000000"/>
                <w:kern w:val="0"/>
                <w:sz w:val="32"/>
                <w:szCs w:val="32"/>
                <w:lang w:val="en-US" w:eastAsia="zh-CN"/>
              </w:rPr>
              <w:t>100</w:t>
            </w:r>
          </w:p>
        </w:tc>
        <w:tc>
          <w:tcPr>
            <w:tcW w:w="1094" w:type="dxa"/>
            <w:tcBorders>
              <w:top w:val="nil"/>
              <w:left w:val="nil"/>
              <w:bottom w:val="nil"/>
              <w:right w:val="nil"/>
            </w:tcBorders>
            <w:shd w:val="clear" w:color="000000" w:fill="95B3D7"/>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32"/>
                <w:szCs w:val="32"/>
                <w:lang w:val="en-US" w:eastAsia="zh-CN"/>
              </w:rPr>
            </w:pPr>
            <w:r>
              <w:rPr>
                <w:rFonts w:hint="eastAsia" w:ascii="宋体" w:hAnsi="宋体" w:cs="宋体"/>
                <w:b/>
                <w:bCs/>
                <w:color w:val="000000"/>
                <w:kern w:val="0"/>
                <w:sz w:val="32"/>
                <w:szCs w:val="32"/>
                <w:lang w:val="en-US" w:eastAsia="zh-CN"/>
              </w:rPr>
              <w:t>35</w:t>
            </w:r>
          </w:p>
        </w:tc>
        <w:tc>
          <w:tcPr>
            <w:tcW w:w="1094" w:type="dxa"/>
            <w:tcBorders>
              <w:top w:val="nil"/>
              <w:left w:val="nil"/>
              <w:bottom w:val="nil"/>
              <w:right w:val="nil"/>
            </w:tcBorders>
            <w:shd w:val="clear" w:color="000000" w:fill="95B3D7"/>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32"/>
                <w:szCs w:val="32"/>
                <w:lang w:val="en-US" w:eastAsia="zh-CN"/>
              </w:rPr>
            </w:pPr>
            <w:r>
              <w:rPr>
                <w:rFonts w:hint="eastAsia" w:ascii="宋体" w:hAnsi="宋体" w:cs="宋体"/>
                <w:b/>
                <w:bCs/>
                <w:color w:val="000000"/>
                <w:kern w:val="0"/>
                <w:sz w:val="32"/>
                <w:szCs w:val="32"/>
                <w:lang w:val="en-US" w:eastAsia="zh-CN"/>
              </w:rPr>
              <w:t>46</w:t>
            </w:r>
          </w:p>
        </w:tc>
        <w:tc>
          <w:tcPr>
            <w:tcW w:w="1094" w:type="dxa"/>
            <w:tcBorders>
              <w:top w:val="nil"/>
              <w:left w:val="nil"/>
              <w:bottom w:val="nil"/>
              <w:right w:val="nil"/>
            </w:tcBorders>
            <w:shd w:val="clear" w:color="000000" w:fill="95B3D7"/>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32"/>
                <w:szCs w:val="32"/>
                <w:lang w:val="en-US" w:eastAsia="zh-CN"/>
              </w:rPr>
            </w:pPr>
            <w:r>
              <w:rPr>
                <w:rFonts w:hint="eastAsia" w:ascii="宋体" w:hAnsi="宋体" w:cs="宋体"/>
                <w:b/>
                <w:bCs/>
                <w:color w:val="000000"/>
                <w:kern w:val="0"/>
                <w:sz w:val="32"/>
                <w:szCs w:val="32"/>
                <w:lang w:val="en-US" w:eastAsia="zh-CN"/>
              </w:rPr>
              <w:t>31</w:t>
            </w:r>
          </w:p>
        </w:tc>
      </w:tr>
    </w:tbl>
    <w:p>
      <w:pPr>
        <w:pStyle w:val="2"/>
      </w:pPr>
    </w:p>
    <w:p>
      <w:pPr>
        <w:spacing w:before="156" w:after="156"/>
        <w:ind w:left="271" w:leftChars="113" w:firstLine="179" w:firstLineChars="64"/>
        <w:rPr>
          <w:rFonts w:hint="eastAsia" w:ascii="华文仿宋" w:hAnsi="华文仿宋" w:eastAsia="华文仿宋" w:cs="华文仿宋"/>
          <w:sz w:val="28"/>
          <w:szCs w:val="28"/>
        </w:rPr>
      </w:pPr>
      <w:r>
        <w:rPr>
          <w:rFonts w:hint="eastAsia" w:ascii="华文仿宋" w:hAnsi="华文仿宋" w:eastAsia="华文仿宋" w:cs="华文仿宋"/>
          <w:sz w:val="28"/>
          <w:szCs w:val="28"/>
        </w:rPr>
        <w:t>未通过服务台，由工程师发起事件主要的内容</w:t>
      </w:r>
    </w:p>
    <w:p>
      <w:pPr>
        <w:pStyle w:val="66"/>
        <w:numPr>
          <w:ilvl w:val="0"/>
          <w:numId w:val="9"/>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公司本部和各厂区的一号工程，</w:t>
      </w:r>
      <w:r>
        <w:rPr>
          <w:rFonts w:hint="eastAsia" w:ascii="华文仿宋" w:hAnsi="华文仿宋" w:eastAsia="华文仿宋" w:cs="华文仿宋"/>
          <w:sz w:val="28"/>
          <w:szCs w:val="28"/>
          <w:lang w:eastAsia="zh-CN"/>
        </w:rPr>
        <w:t>共</w:t>
      </w:r>
      <w:r>
        <w:rPr>
          <w:rFonts w:hint="eastAsia" w:ascii="华文仿宋" w:hAnsi="华文仿宋" w:eastAsia="华文仿宋" w:cs="华文仿宋"/>
          <w:sz w:val="28"/>
          <w:szCs w:val="28"/>
          <w:lang w:val="en-US" w:eastAsia="zh-CN"/>
        </w:rPr>
        <w:t>155</w:t>
      </w:r>
      <w:r>
        <w:rPr>
          <w:rFonts w:hint="eastAsia" w:ascii="华文仿宋" w:hAnsi="华文仿宋" w:eastAsia="华文仿宋" w:cs="华文仿宋"/>
          <w:sz w:val="28"/>
          <w:szCs w:val="28"/>
          <w:lang w:eastAsia="zh-CN"/>
        </w:rPr>
        <w:t>条，占</w:t>
      </w:r>
      <w:r>
        <w:rPr>
          <w:rFonts w:hint="eastAsia" w:ascii="华文仿宋" w:hAnsi="华文仿宋" w:eastAsia="华文仿宋" w:cs="华文仿宋"/>
          <w:sz w:val="28"/>
          <w:szCs w:val="28"/>
          <w:lang w:val="en-US" w:eastAsia="zh-CN"/>
        </w:rPr>
        <w:t>54.38</w:t>
      </w:r>
      <w:r>
        <w:rPr>
          <w:rFonts w:hint="eastAsia" w:ascii="华文仿宋" w:hAnsi="华文仿宋" w:eastAsia="华文仿宋" w:cs="华文仿宋"/>
          <w:sz w:val="28"/>
          <w:szCs w:val="28"/>
        </w:rPr>
        <w:t>%。</w:t>
      </w:r>
    </w:p>
    <w:p>
      <w:pPr>
        <w:pStyle w:val="66"/>
        <w:numPr>
          <w:ilvl w:val="0"/>
          <w:numId w:val="9"/>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末端服务，占</w:t>
      </w:r>
      <w:r>
        <w:rPr>
          <w:rFonts w:hint="eastAsia" w:ascii="华文仿宋" w:hAnsi="华文仿宋" w:eastAsia="华文仿宋" w:cs="华文仿宋"/>
          <w:sz w:val="28"/>
          <w:szCs w:val="28"/>
          <w:lang w:val="en-US" w:eastAsia="zh-CN"/>
        </w:rPr>
        <w:t>63条，占22.1%。</w:t>
      </w:r>
    </w:p>
    <w:p>
      <w:pPr>
        <w:pStyle w:val="66"/>
        <w:widowControl/>
        <w:numPr>
          <w:ilvl w:val="0"/>
          <w:numId w:val="9"/>
        </w:numPr>
        <w:adjustRightInd/>
        <w:spacing w:line="240" w:lineRule="auto"/>
        <w:ind w:firstLineChars="0"/>
        <w:jc w:val="left"/>
        <w:textAlignment w:val="auto"/>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主数据管理平台，共29条，占10.17%。</w:t>
      </w:r>
    </w:p>
    <w:p>
      <w:pPr>
        <w:pStyle w:val="5"/>
        <w:spacing w:before="312" w:after="156"/>
        <w:ind w:left="567"/>
        <w:outlineLvl w:val="1"/>
        <w:rPr>
          <w:rFonts w:hint="eastAsia"/>
        </w:rPr>
      </w:pPr>
      <w:bookmarkStart w:id="16" w:name="_Toc10562"/>
      <w:bookmarkStart w:id="17" w:name="_Toc10818"/>
      <w:r>
        <w:rPr>
          <w:rFonts w:hint="default"/>
        </w:rPr>
        <w:t>每月申告对比情况</w:t>
      </w:r>
      <w:bookmarkEnd w:id="16"/>
      <w:bookmarkEnd w:id="17"/>
    </w:p>
    <w:p>
      <w:pPr>
        <w:ind w:left="0" w:leftChars="0" w:firstLine="240" w:firstLineChars="100"/>
        <w:jc w:val="both"/>
        <w:rPr>
          <w:rFonts w:ascii="Calibri" w:hAnsi="Calibri"/>
        </w:rPr>
      </w:pPr>
      <w:r>
        <w:drawing>
          <wp:inline distT="0" distB="0" distL="114300" distR="114300">
            <wp:extent cx="6431280" cy="3831590"/>
            <wp:effectExtent l="4445" t="4445" r="22225" b="12065"/>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34"/>
        <w:tblW w:w="10405" w:type="dxa"/>
        <w:tblInd w:w="93" w:type="dxa"/>
        <w:shd w:val="clear" w:color="auto" w:fill="auto"/>
        <w:tblLayout w:type="fixed"/>
        <w:tblCellMar>
          <w:top w:w="0" w:type="dxa"/>
          <w:left w:w="108" w:type="dxa"/>
          <w:bottom w:w="0" w:type="dxa"/>
          <w:right w:w="108" w:type="dxa"/>
        </w:tblCellMar>
      </w:tblPr>
      <w:tblGrid>
        <w:gridCol w:w="1808"/>
        <w:gridCol w:w="1622"/>
        <w:gridCol w:w="1680"/>
        <w:gridCol w:w="1680"/>
        <w:gridCol w:w="1605"/>
        <w:gridCol w:w="2010"/>
      </w:tblGrid>
      <w:tr>
        <w:tblPrEx>
          <w:shd w:val="clear" w:color="auto" w:fill="auto"/>
          <w:tblCellMar>
            <w:top w:w="0" w:type="dxa"/>
            <w:left w:w="108" w:type="dxa"/>
            <w:bottom w:w="0" w:type="dxa"/>
            <w:right w:w="108" w:type="dxa"/>
          </w:tblCellMar>
        </w:tblPrEx>
        <w:trPr>
          <w:trHeight w:val="472" w:hRule="atLeast"/>
        </w:trPr>
        <w:tc>
          <w:tcPr>
            <w:tcW w:w="1808" w:type="dxa"/>
            <w:tcBorders>
              <w:top w:val="single" w:color="000000" w:sz="12" w:space="0"/>
              <w:left w:val="single" w:color="000000" w:sz="12" w:space="0"/>
              <w:bottom w:val="single" w:color="000000" w:sz="12" w:space="0"/>
              <w:right w:val="single" w:color="000000" w:sz="12" w:space="0"/>
            </w:tcBorders>
            <w:shd w:val="clear" w:color="auto" w:fill="8DB4E2"/>
            <w:noWrap/>
            <w:vAlign w:val="center"/>
          </w:tcPr>
          <w:p>
            <w:pPr>
              <w:jc w:val="center"/>
              <w:rPr>
                <w:rFonts w:hint="eastAsia" w:ascii="宋体" w:hAnsi="宋体" w:eastAsia="宋体" w:cs="宋体"/>
                <w:i w:val="0"/>
                <w:iCs w:val="0"/>
                <w:color w:val="000000"/>
                <w:sz w:val="22"/>
                <w:szCs w:val="22"/>
                <w:u w:val="none"/>
              </w:rPr>
            </w:pPr>
          </w:p>
        </w:tc>
        <w:tc>
          <w:tcPr>
            <w:tcW w:w="1622" w:type="dxa"/>
            <w:tcBorders>
              <w:top w:val="single" w:color="000000" w:sz="12" w:space="0"/>
              <w:left w:val="nil"/>
              <w:bottom w:val="single" w:color="000000" w:sz="12" w:space="0"/>
              <w:right w:val="single" w:color="000000" w:sz="12" w:space="0"/>
            </w:tcBorders>
            <w:shd w:val="clear" w:color="auto" w:fill="8DB4E2"/>
            <w:vAlign w:val="center"/>
          </w:tcPr>
          <w:p>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2023年6月</w:t>
            </w:r>
          </w:p>
        </w:tc>
        <w:tc>
          <w:tcPr>
            <w:tcW w:w="1680" w:type="dxa"/>
            <w:tcBorders>
              <w:top w:val="single" w:color="000000" w:sz="12" w:space="0"/>
              <w:left w:val="nil"/>
              <w:bottom w:val="single" w:color="000000" w:sz="12" w:space="0"/>
              <w:right w:val="single" w:color="000000" w:sz="12" w:space="0"/>
            </w:tcBorders>
            <w:shd w:val="clear" w:color="auto" w:fill="8DB4E2"/>
            <w:vAlign w:val="center"/>
          </w:tcPr>
          <w:p>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2023年7月</w:t>
            </w:r>
          </w:p>
        </w:tc>
        <w:tc>
          <w:tcPr>
            <w:tcW w:w="1680" w:type="dxa"/>
            <w:tcBorders>
              <w:top w:val="single" w:color="000000" w:sz="12" w:space="0"/>
              <w:left w:val="nil"/>
              <w:bottom w:val="single" w:color="000000" w:sz="12" w:space="0"/>
              <w:right w:val="single" w:color="000000" w:sz="12" w:space="0"/>
            </w:tcBorders>
            <w:shd w:val="clear" w:color="auto" w:fill="8DB4E2"/>
            <w:vAlign w:val="center"/>
          </w:tcPr>
          <w:p>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2023年8月</w:t>
            </w:r>
          </w:p>
        </w:tc>
        <w:tc>
          <w:tcPr>
            <w:tcW w:w="1605" w:type="dxa"/>
            <w:tcBorders>
              <w:top w:val="single" w:color="000000" w:sz="12" w:space="0"/>
              <w:left w:val="nil"/>
              <w:bottom w:val="single" w:color="000000" w:sz="12" w:space="0"/>
              <w:right w:val="single" w:color="000000" w:sz="12" w:space="0"/>
            </w:tcBorders>
            <w:shd w:val="clear" w:color="auto" w:fill="8DB4E2"/>
            <w:vAlign w:val="center"/>
          </w:tcPr>
          <w:p>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2023年9月</w:t>
            </w:r>
          </w:p>
        </w:tc>
        <w:tc>
          <w:tcPr>
            <w:tcW w:w="2010" w:type="dxa"/>
            <w:tcBorders>
              <w:top w:val="single" w:color="000000" w:sz="12" w:space="0"/>
              <w:left w:val="nil"/>
              <w:bottom w:val="single" w:color="000000" w:sz="12" w:space="0"/>
              <w:right w:val="single" w:color="000000" w:sz="12" w:space="0"/>
            </w:tcBorders>
            <w:shd w:val="clear" w:color="auto" w:fill="8DB4E2"/>
            <w:vAlign w:val="center"/>
          </w:tcPr>
          <w:p>
            <w:pPr>
              <w:keepNext w:val="0"/>
              <w:keepLines w:val="0"/>
              <w:widowControl/>
              <w:suppressLineNumbers w:val="0"/>
              <w:ind w:left="0" w:leftChars="0" w:firstLine="0" w:firstLineChars="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9月与8月对比变化情况</w:t>
            </w:r>
          </w:p>
        </w:tc>
      </w:tr>
      <w:tr>
        <w:tblPrEx>
          <w:tblCellMar>
            <w:top w:w="0" w:type="dxa"/>
            <w:left w:w="108" w:type="dxa"/>
            <w:bottom w:w="0" w:type="dxa"/>
            <w:right w:w="108" w:type="dxa"/>
          </w:tblCellMar>
        </w:tblPrEx>
        <w:trPr>
          <w:trHeight w:val="244" w:hRule="atLeast"/>
        </w:trPr>
        <w:tc>
          <w:tcPr>
            <w:tcW w:w="1808"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公司本部</w:t>
            </w:r>
          </w:p>
        </w:tc>
        <w:tc>
          <w:tcPr>
            <w:tcW w:w="1622"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1568</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1450</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1225</w:t>
            </w:r>
          </w:p>
        </w:tc>
        <w:tc>
          <w:tcPr>
            <w:tcW w:w="1605"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1812</w:t>
            </w:r>
          </w:p>
        </w:tc>
        <w:tc>
          <w:tcPr>
            <w:tcW w:w="201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FF0000"/>
                <w:sz w:val="22"/>
                <w:szCs w:val="22"/>
                <w:u w:val="none"/>
                <w:lang w:val="en-US" w:eastAsia="zh-CN"/>
              </w:rPr>
            </w:pPr>
            <w:r>
              <w:rPr>
                <w:rFonts w:hint="eastAsia" w:ascii="宋体" w:hAnsi="宋体" w:eastAsia="宋体" w:cs="宋体"/>
                <w:b/>
                <w:bCs/>
                <w:i w:val="0"/>
                <w:iCs w:val="0"/>
                <w:color w:val="FF0000"/>
                <w:kern w:val="0"/>
                <w:sz w:val="22"/>
                <w:szCs w:val="22"/>
                <w:u w:val="none"/>
                <w:lang w:val="en-US" w:eastAsia="zh-CN" w:bidi="ar"/>
              </w:rPr>
              <w:t>↑587</w:t>
            </w:r>
          </w:p>
        </w:tc>
      </w:tr>
      <w:tr>
        <w:tblPrEx>
          <w:tblCellMar>
            <w:top w:w="0" w:type="dxa"/>
            <w:left w:w="108" w:type="dxa"/>
            <w:bottom w:w="0" w:type="dxa"/>
            <w:right w:w="108" w:type="dxa"/>
          </w:tblCellMar>
        </w:tblPrEx>
        <w:trPr>
          <w:trHeight w:val="244" w:hRule="atLeast"/>
        </w:trPr>
        <w:tc>
          <w:tcPr>
            <w:tcW w:w="1808"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广州卷烟厂</w:t>
            </w:r>
          </w:p>
        </w:tc>
        <w:tc>
          <w:tcPr>
            <w:tcW w:w="1622"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253</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327</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323</w:t>
            </w:r>
          </w:p>
        </w:tc>
        <w:tc>
          <w:tcPr>
            <w:tcW w:w="1605"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406</w:t>
            </w:r>
          </w:p>
        </w:tc>
        <w:tc>
          <w:tcPr>
            <w:tcW w:w="201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FF0000"/>
                <w:sz w:val="22"/>
                <w:szCs w:val="22"/>
                <w:u w:val="none"/>
                <w:lang w:val="en-US" w:eastAsia="zh-CN"/>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cs="宋体"/>
                <w:b/>
                <w:bCs/>
                <w:i w:val="0"/>
                <w:iCs w:val="0"/>
                <w:color w:val="FF0000"/>
                <w:kern w:val="0"/>
                <w:sz w:val="22"/>
                <w:szCs w:val="22"/>
                <w:u w:val="none"/>
                <w:lang w:val="en-US" w:eastAsia="zh-CN" w:bidi="ar"/>
              </w:rPr>
              <w:t>83</w:t>
            </w:r>
          </w:p>
        </w:tc>
      </w:tr>
      <w:tr>
        <w:tblPrEx>
          <w:tblCellMar>
            <w:top w:w="0" w:type="dxa"/>
            <w:left w:w="108" w:type="dxa"/>
            <w:bottom w:w="0" w:type="dxa"/>
            <w:right w:w="108" w:type="dxa"/>
          </w:tblCellMar>
        </w:tblPrEx>
        <w:trPr>
          <w:trHeight w:val="244" w:hRule="atLeast"/>
        </w:trPr>
        <w:tc>
          <w:tcPr>
            <w:tcW w:w="1808"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韶关卷烟厂</w:t>
            </w:r>
          </w:p>
        </w:tc>
        <w:tc>
          <w:tcPr>
            <w:tcW w:w="1622" w:type="dxa"/>
            <w:tcBorders>
              <w:top w:val="single" w:color="000000" w:sz="12" w:space="0"/>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12</w:t>
            </w:r>
          </w:p>
        </w:tc>
        <w:tc>
          <w:tcPr>
            <w:tcW w:w="1680" w:type="dxa"/>
            <w:tcBorders>
              <w:top w:val="single" w:color="000000" w:sz="12" w:space="0"/>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22</w:t>
            </w:r>
          </w:p>
        </w:tc>
        <w:tc>
          <w:tcPr>
            <w:tcW w:w="1680" w:type="dxa"/>
            <w:tcBorders>
              <w:top w:val="single" w:color="000000" w:sz="12" w:space="0"/>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w:t>
            </w:r>
          </w:p>
        </w:tc>
        <w:tc>
          <w:tcPr>
            <w:tcW w:w="1605" w:type="dxa"/>
            <w:tcBorders>
              <w:top w:val="single" w:color="000000" w:sz="12" w:space="0"/>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31</w:t>
            </w:r>
          </w:p>
        </w:tc>
        <w:tc>
          <w:tcPr>
            <w:tcW w:w="201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FF0000"/>
                <w:sz w:val="22"/>
                <w:szCs w:val="22"/>
                <w:u w:val="none"/>
                <w:lang w:val="en-US" w:eastAsia="zh-CN"/>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cs="宋体"/>
                <w:b/>
                <w:bCs/>
                <w:i w:val="0"/>
                <w:iCs w:val="0"/>
                <w:color w:val="FF0000"/>
                <w:kern w:val="0"/>
                <w:sz w:val="22"/>
                <w:szCs w:val="22"/>
                <w:u w:val="none"/>
                <w:lang w:val="en-US" w:eastAsia="zh-CN" w:bidi="ar"/>
              </w:rPr>
              <w:t>30</w:t>
            </w:r>
          </w:p>
        </w:tc>
      </w:tr>
      <w:tr>
        <w:tblPrEx>
          <w:tblCellMar>
            <w:top w:w="0" w:type="dxa"/>
            <w:left w:w="108" w:type="dxa"/>
            <w:bottom w:w="0" w:type="dxa"/>
            <w:right w:w="108" w:type="dxa"/>
          </w:tblCellMar>
        </w:tblPrEx>
        <w:trPr>
          <w:trHeight w:val="483" w:hRule="atLeast"/>
        </w:trPr>
        <w:tc>
          <w:tcPr>
            <w:tcW w:w="1808"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梅州卷烟厂</w:t>
            </w:r>
          </w:p>
        </w:tc>
        <w:tc>
          <w:tcPr>
            <w:tcW w:w="1622"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31</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37</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48</w:t>
            </w:r>
          </w:p>
        </w:tc>
        <w:tc>
          <w:tcPr>
            <w:tcW w:w="1605"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76</w:t>
            </w:r>
          </w:p>
        </w:tc>
        <w:tc>
          <w:tcPr>
            <w:tcW w:w="201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FF0000"/>
                <w:sz w:val="22"/>
                <w:szCs w:val="22"/>
                <w:u w:val="none"/>
                <w:lang w:val="en-US" w:eastAsia="zh-CN"/>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cs="宋体"/>
                <w:b/>
                <w:bCs/>
                <w:i w:val="0"/>
                <w:iCs w:val="0"/>
                <w:color w:val="FF0000"/>
                <w:kern w:val="0"/>
                <w:sz w:val="22"/>
                <w:szCs w:val="22"/>
                <w:u w:val="none"/>
                <w:lang w:val="en-US" w:eastAsia="zh-CN" w:bidi="ar"/>
              </w:rPr>
              <w:t>28</w:t>
            </w:r>
          </w:p>
        </w:tc>
      </w:tr>
      <w:tr>
        <w:tblPrEx>
          <w:tblCellMar>
            <w:top w:w="0" w:type="dxa"/>
            <w:left w:w="108" w:type="dxa"/>
            <w:bottom w:w="0" w:type="dxa"/>
            <w:right w:w="108" w:type="dxa"/>
          </w:tblCellMar>
        </w:tblPrEx>
        <w:trPr>
          <w:trHeight w:val="244" w:hRule="atLeast"/>
        </w:trPr>
        <w:tc>
          <w:tcPr>
            <w:tcW w:w="1808"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湛江卷烟厂</w:t>
            </w:r>
          </w:p>
        </w:tc>
        <w:tc>
          <w:tcPr>
            <w:tcW w:w="1622"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111</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123</w:t>
            </w:r>
          </w:p>
        </w:tc>
        <w:tc>
          <w:tcPr>
            <w:tcW w:w="168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124</w:t>
            </w:r>
          </w:p>
        </w:tc>
        <w:tc>
          <w:tcPr>
            <w:tcW w:w="1605"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138</w:t>
            </w:r>
          </w:p>
        </w:tc>
        <w:tc>
          <w:tcPr>
            <w:tcW w:w="201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FF0000"/>
                <w:sz w:val="22"/>
                <w:szCs w:val="22"/>
                <w:u w:val="none"/>
                <w:lang w:val="en-US" w:eastAsia="zh-CN"/>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cs="宋体"/>
                <w:b/>
                <w:bCs/>
                <w:i w:val="0"/>
                <w:iCs w:val="0"/>
                <w:color w:val="FF0000"/>
                <w:kern w:val="0"/>
                <w:sz w:val="22"/>
                <w:szCs w:val="22"/>
                <w:u w:val="none"/>
                <w:lang w:val="en-US" w:eastAsia="zh-CN" w:bidi="ar"/>
              </w:rPr>
              <w:t>14</w:t>
            </w:r>
          </w:p>
        </w:tc>
      </w:tr>
      <w:tr>
        <w:tblPrEx>
          <w:tblCellMar>
            <w:top w:w="0" w:type="dxa"/>
            <w:left w:w="108" w:type="dxa"/>
            <w:bottom w:w="0" w:type="dxa"/>
            <w:right w:w="108" w:type="dxa"/>
          </w:tblCellMar>
        </w:tblPrEx>
        <w:trPr>
          <w:trHeight w:val="258" w:hRule="atLeast"/>
        </w:trPr>
        <w:tc>
          <w:tcPr>
            <w:tcW w:w="1808"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1622"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1975</w:t>
            </w:r>
          </w:p>
        </w:tc>
        <w:tc>
          <w:tcPr>
            <w:tcW w:w="1680"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1959</w:t>
            </w:r>
          </w:p>
        </w:tc>
        <w:tc>
          <w:tcPr>
            <w:tcW w:w="1680"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kern w:val="2"/>
                <w:sz w:val="22"/>
                <w:szCs w:val="22"/>
                <w:u w:val="none"/>
                <w:lang w:val="en-US" w:eastAsia="zh-CN" w:bidi="ar-SA"/>
              </w:rPr>
            </w:pPr>
            <w:r>
              <w:rPr>
                <w:rFonts w:hint="eastAsia" w:ascii="宋体" w:hAnsi="宋体" w:cs="宋体"/>
                <w:b/>
                <w:bCs/>
                <w:i w:val="0"/>
                <w:iCs w:val="0"/>
                <w:color w:val="000000"/>
                <w:sz w:val="22"/>
                <w:szCs w:val="22"/>
                <w:u w:val="none"/>
                <w:lang w:val="en-US" w:eastAsia="zh-CN"/>
              </w:rPr>
              <w:t>1721</w:t>
            </w:r>
          </w:p>
        </w:tc>
        <w:tc>
          <w:tcPr>
            <w:tcW w:w="1605" w:type="dxa"/>
            <w:tcBorders>
              <w:top w:val="nil"/>
              <w:left w:val="single" w:color="000000" w:sz="12" w:space="0"/>
              <w:bottom w:val="single" w:color="000000" w:sz="12" w:space="0"/>
              <w:right w:val="single" w:color="000000" w:sz="12" w:space="0"/>
            </w:tcBorders>
            <w:shd w:val="clear" w:color="auto" w:fill="D9D9D9"/>
            <w:noWrap/>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2463</w:t>
            </w:r>
          </w:p>
        </w:tc>
        <w:tc>
          <w:tcPr>
            <w:tcW w:w="2010" w:type="dxa"/>
            <w:tcBorders>
              <w:top w:val="nil"/>
              <w:left w:val="nil"/>
              <w:bottom w:val="single" w:color="000000" w:sz="12" w:space="0"/>
              <w:right w:val="single" w:color="000000" w:sz="12" w:space="0"/>
            </w:tcBorders>
            <w:shd w:val="clear" w:color="auto" w:fill="D9D9D9"/>
            <w:vAlign w:val="center"/>
          </w:tcPr>
          <w:p>
            <w:pPr>
              <w:keepNext w:val="0"/>
              <w:keepLines w:val="0"/>
              <w:widowControl/>
              <w:suppressLineNumbers w:val="0"/>
              <w:ind w:firstLine="442" w:firstLineChars="200"/>
              <w:jc w:val="center"/>
              <w:textAlignment w:val="center"/>
              <w:rPr>
                <w:rFonts w:hint="default" w:ascii="宋体" w:hAnsi="宋体" w:eastAsia="宋体" w:cs="宋体"/>
                <w:b/>
                <w:bCs/>
                <w:i w:val="0"/>
                <w:iCs w:val="0"/>
                <w:color w:val="FF0000"/>
                <w:sz w:val="22"/>
                <w:szCs w:val="22"/>
                <w:u w:val="none"/>
                <w:lang w:val="en-US" w:eastAsia="zh-CN"/>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cs="宋体"/>
                <w:b/>
                <w:bCs/>
                <w:i w:val="0"/>
                <w:iCs w:val="0"/>
                <w:color w:val="FF0000"/>
                <w:kern w:val="0"/>
                <w:sz w:val="22"/>
                <w:szCs w:val="22"/>
                <w:u w:val="none"/>
                <w:lang w:val="en-US" w:eastAsia="zh-CN" w:bidi="ar"/>
              </w:rPr>
              <w:t>742</w:t>
            </w:r>
          </w:p>
        </w:tc>
      </w:tr>
    </w:tbl>
    <w:p>
      <w:pPr>
        <w:ind w:firstLine="630" w:firstLineChars="300"/>
        <w:rPr>
          <w:rFonts w:hint="eastAsia"/>
          <w:lang w:val="en-US" w:eastAsia="zh-CN"/>
        </w:rPr>
      </w:pPr>
      <w:r>
        <w:rPr>
          <w:rFonts w:hint="eastAsia" w:ascii="宋体" w:hAnsi="宋体" w:cs="宋体"/>
          <w:color w:val="953735" w:themeColor="accent2" w:themeShade="BF"/>
          <w:sz w:val="21"/>
          <w:szCs w:val="21"/>
          <w:lang w:val="en-US" w:eastAsia="zh-CN"/>
        </w:rPr>
        <w:t>（PS</w:t>
      </w:r>
      <w:r>
        <w:rPr>
          <w:rFonts w:hint="eastAsia" w:ascii="宋体" w:hAnsi="宋体" w:eastAsia="宋体" w:cs="宋体"/>
          <w:color w:val="953735" w:themeColor="accent2" w:themeShade="BF"/>
          <w:sz w:val="21"/>
          <w:szCs w:val="21"/>
          <w:lang w:eastAsia="zh-CN"/>
        </w:rPr>
        <w:t>：</w:t>
      </w:r>
      <w:r>
        <w:rPr>
          <w:rFonts w:hint="eastAsia" w:ascii="宋体" w:hAnsi="宋体" w:cs="宋体"/>
          <w:color w:val="953735" w:themeColor="accent2" w:themeShade="BF"/>
          <w:sz w:val="21"/>
          <w:szCs w:val="21"/>
          <w:lang w:eastAsia="zh-CN"/>
        </w:rPr>
        <w:t>本</w:t>
      </w:r>
      <w:r>
        <w:rPr>
          <w:rFonts w:hint="eastAsia" w:ascii="宋体" w:hAnsi="宋体" w:cs="宋体"/>
          <w:color w:val="953735" w:themeColor="accent2" w:themeShade="BF"/>
          <w:sz w:val="21"/>
          <w:szCs w:val="21"/>
          <w:lang w:val="en-US" w:eastAsia="zh-CN"/>
        </w:rPr>
        <w:t>月总工单数与往月总工单数相比有所增加，总体趋于正常工单数量范围内）</w:t>
      </w:r>
    </w:p>
    <w:p>
      <w:pPr>
        <w:pStyle w:val="4"/>
        <w:spacing w:after="468"/>
        <w:ind w:left="567"/>
        <w:rPr>
          <w:rFonts w:eastAsia="宋体"/>
        </w:rPr>
      </w:pPr>
      <w:bookmarkStart w:id="18" w:name="_Toc2053"/>
      <w:bookmarkStart w:id="19" w:name="_Toc28437"/>
      <w:r>
        <w:rPr>
          <w:rFonts w:hint="default" w:eastAsia="宋体"/>
        </w:rPr>
        <w:t>事件工单分析</w:t>
      </w:r>
      <w:bookmarkEnd w:id="18"/>
      <w:bookmarkEnd w:id="19"/>
    </w:p>
    <w:p>
      <w:pPr>
        <w:pStyle w:val="5"/>
        <w:spacing w:before="312" w:after="156"/>
        <w:ind w:left="567"/>
        <w:outlineLvl w:val="1"/>
        <w:rPr>
          <w:rFonts w:hint="eastAsia"/>
          <w:sz w:val="28"/>
          <w:szCs w:val="28"/>
        </w:rPr>
      </w:pPr>
      <w:bookmarkStart w:id="20" w:name="_Toc48555447"/>
      <w:bookmarkStart w:id="21" w:name="_Toc30938"/>
      <w:bookmarkStart w:id="22" w:name="_Toc18129"/>
      <w:r>
        <w:rPr>
          <w:rFonts w:hint="eastAsia"/>
          <w:sz w:val="28"/>
          <w:szCs w:val="28"/>
        </w:rPr>
        <w:t>服务台事件工单运维业务分布</w:t>
      </w:r>
      <w:bookmarkEnd w:id="20"/>
      <w:r>
        <w:rPr>
          <w:rFonts w:hint="eastAsia"/>
          <w:sz w:val="28"/>
          <w:szCs w:val="28"/>
        </w:rPr>
        <w:t>情况</w:t>
      </w:r>
      <w:bookmarkEnd w:id="21"/>
      <w:bookmarkEnd w:id="22"/>
    </w:p>
    <w:p>
      <w:pPr>
        <w:ind w:firstLine="640"/>
        <w:rPr>
          <w:rFonts w:hint="eastAsia" w:ascii="华文仿宋" w:hAnsi="华文仿宋" w:eastAsia="华文仿宋" w:cs="华文仿宋"/>
          <w:sz w:val="28"/>
          <w:szCs w:val="28"/>
        </w:rPr>
      </w:pPr>
      <w:r>
        <w:rPr>
          <w:rFonts w:hint="eastAsia" w:ascii="华文仿宋" w:hAnsi="华文仿宋" w:eastAsia="华文仿宋" w:cs="华文仿宋"/>
          <w:sz w:val="28"/>
          <w:szCs w:val="28"/>
        </w:rPr>
        <w:t>服务台运维事件按业务分布顺序统计，末端服务和技术服务、办公协同服务、</w:t>
      </w:r>
      <w:r>
        <w:rPr>
          <w:rFonts w:hint="eastAsia" w:ascii="华文仿宋" w:hAnsi="华文仿宋" w:eastAsia="华文仿宋" w:cs="华文仿宋"/>
          <w:sz w:val="28"/>
          <w:szCs w:val="28"/>
          <w:lang w:eastAsia="zh-CN"/>
        </w:rPr>
        <w:t>综合项目管理平台、</w:t>
      </w:r>
      <w:r>
        <w:rPr>
          <w:rFonts w:hint="eastAsia" w:ascii="华文仿宋" w:hAnsi="华文仿宋" w:eastAsia="华文仿宋" w:cs="华文仿宋"/>
          <w:sz w:val="28"/>
          <w:szCs w:val="28"/>
        </w:rPr>
        <w:t>一号工程、ERP服务、MES服务</w:t>
      </w:r>
      <w:r>
        <w:rPr>
          <w:rFonts w:hint="eastAsia" w:ascii="华文仿宋" w:hAnsi="华文仿宋" w:eastAsia="华文仿宋" w:cs="华文仿宋"/>
          <w:sz w:val="28"/>
          <w:szCs w:val="28"/>
          <w:lang w:eastAsia="zh-CN"/>
        </w:rPr>
        <w:t>、主数据管理平台及资产管理系统共占</w:t>
      </w:r>
      <w:r>
        <w:rPr>
          <w:rFonts w:hint="eastAsia" w:ascii="华文仿宋" w:hAnsi="华文仿宋" w:eastAsia="华文仿宋" w:cs="华文仿宋"/>
          <w:sz w:val="28"/>
          <w:szCs w:val="28"/>
          <w:lang w:val="en-US" w:eastAsia="zh-CN"/>
        </w:rPr>
        <w:t>98.66%。</w:t>
      </w:r>
    </w:p>
    <w:p>
      <w:pPr>
        <w:ind w:firstLine="0" w:firstLineChars="0"/>
        <w:jc w:val="center"/>
      </w:pPr>
      <w:r>
        <w:drawing>
          <wp:inline distT="0" distB="0" distL="114300" distR="114300">
            <wp:extent cx="5895975" cy="4026535"/>
            <wp:effectExtent l="4445" t="5080" r="5080" b="698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ind w:firstLine="0" w:firstLineChars="0"/>
        <w:jc w:val="left"/>
        <w:rPr>
          <w:rFonts w:hint="eastAsia"/>
          <w:lang w:eastAsia="zh-CN"/>
        </w:rPr>
      </w:pPr>
      <w:r>
        <w:rPr>
          <w:rFonts w:hint="eastAsia" w:asciiTheme="minorEastAsia" w:hAnsiTheme="minorEastAsia" w:eastAsiaTheme="minorEastAsia" w:cstheme="minorEastAsia"/>
          <w:color w:val="C00000"/>
          <w:sz w:val="21"/>
          <w:szCs w:val="21"/>
          <w:lang w:val="en-US" w:eastAsia="zh-CN"/>
        </w:rPr>
        <w:t>（PS：本月以末端服务和技术服务占比最大为42%，其次为办公协同服务占33%，其余业务运维分布占比较少均占10%左右及以下，本月主体运维业务分布占比情况与上月（98.55%）无异）</w:t>
      </w:r>
    </w:p>
    <w:p>
      <w:pPr>
        <w:pStyle w:val="5"/>
        <w:spacing w:before="312" w:after="156"/>
        <w:ind w:left="567"/>
        <w:outlineLvl w:val="1"/>
        <w:rPr>
          <w:rFonts w:hint="eastAsia"/>
          <w:sz w:val="28"/>
          <w:szCs w:val="28"/>
        </w:rPr>
      </w:pPr>
      <w:bookmarkStart w:id="23" w:name="_Toc7009"/>
      <w:bookmarkStart w:id="24" w:name="_Toc5503"/>
      <w:r>
        <w:rPr>
          <w:rFonts w:hint="eastAsia"/>
          <w:sz w:val="28"/>
          <w:szCs w:val="28"/>
        </w:rPr>
        <w:t>全省各服务台的受理情况</w:t>
      </w:r>
      <w:bookmarkEnd w:id="23"/>
      <w:bookmarkEnd w:id="24"/>
    </w:p>
    <w:tbl>
      <w:tblPr>
        <w:tblStyle w:val="34"/>
        <w:tblW w:w="10320" w:type="dxa"/>
        <w:jc w:val="center"/>
        <w:tblLayout w:type="autofit"/>
        <w:tblCellMar>
          <w:top w:w="0" w:type="dxa"/>
          <w:left w:w="108" w:type="dxa"/>
          <w:bottom w:w="0" w:type="dxa"/>
          <w:right w:w="108" w:type="dxa"/>
        </w:tblCellMar>
      </w:tblPr>
      <w:tblGrid>
        <w:gridCol w:w="1720"/>
        <w:gridCol w:w="1720"/>
        <w:gridCol w:w="1720"/>
        <w:gridCol w:w="1720"/>
        <w:gridCol w:w="1720"/>
        <w:gridCol w:w="1720"/>
      </w:tblGrid>
      <w:tr>
        <w:tblPrEx>
          <w:tblCellMar>
            <w:top w:w="0" w:type="dxa"/>
            <w:left w:w="108" w:type="dxa"/>
            <w:bottom w:w="0" w:type="dxa"/>
            <w:right w:w="108" w:type="dxa"/>
          </w:tblCellMar>
        </w:tblPrEx>
        <w:trPr>
          <w:trHeight w:val="495" w:hRule="atLeast"/>
          <w:jc w:val="center"/>
        </w:trPr>
        <w:tc>
          <w:tcPr>
            <w:tcW w:w="172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442" w:firstLineChars="0"/>
              <w:textAlignment w:val="auto"/>
              <w:rPr>
                <w:rFonts w:ascii="宋体" w:hAnsi="宋体" w:cs="宋体"/>
                <w:b/>
                <w:bCs/>
                <w:color w:val="000000"/>
                <w:kern w:val="0"/>
                <w:sz w:val="22"/>
                <w:szCs w:val="22"/>
              </w:rPr>
            </w:pPr>
            <w:r>
              <w:rPr>
                <w:rFonts w:hint="eastAsia" w:ascii="宋体" w:hAnsi="宋体" w:cs="宋体"/>
                <w:b/>
                <w:bCs/>
                <w:color w:val="000000"/>
                <w:kern w:val="0"/>
                <w:sz w:val="22"/>
                <w:szCs w:val="22"/>
              </w:rPr>
              <w:t>区 域</w:t>
            </w:r>
          </w:p>
        </w:tc>
        <w:tc>
          <w:tcPr>
            <w:tcW w:w="1720" w:type="dxa"/>
            <w:tcBorders>
              <w:top w:val="single" w:color="auto" w:sz="4" w:space="0"/>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ascii="宋体" w:hAnsi="宋体" w:cs="宋体"/>
                <w:b/>
                <w:bCs/>
                <w:kern w:val="0"/>
                <w:sz w:val="22"/>
                <w:szCs w:val="22"/>
              </w:rPr>
            </w:pPr>
            <w:r>
              <w:rPr>
                <w:rFonts w:hint="eastAsia" w:ascii="宋体" w:hAnsi="宋体" w:cs="宋体"/>
                <w:b/>
                <w:bCs/>
                <w:kern w:val="0"/>
                <w:sz w:val="22"/>
                <w:szCs w:val="22"/>
              </w:rPr>
              <w:t>公司本部</w:t>
            </w:r>
          </w:p>
        </w:tc>
        <w:tc>
          <w:tcPr>
            <w:tcW w:w="1720" w:type="dxa"/>
            <w:tcBorders>
              <w:top w:val="single" w:color="auto" w:sz="4" w:space="0"/>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ascii="宋体" w:hAnsi="宋体" w:cs="宋体"/>
                <w:b/>
                <w:bCs/>
                <w:kern w:val="0"/>
                <w:sz w:val="22"/>
                <w:szCs w:val="22"/>
              </w:rPr>
            </w:pPr>
            <w:r>
              <w:rPr>
                <w:rFonts w:hint="eastAsia" w:ascii="宋体" w:hAnsi="宋体" w:cs="宋体"/>
                <w:b/>
                <w:bCs/>
                <w:kern w:val="0"/>
                <w:sz w:val="22"/>
                <w:szCs w:val="22"/>
              </w:rPr>
              <w:t>广州卷烟厂</w:t>
            </w:r>
          </w:p>
        </w:tc>
        <w:tc>
          <w:tcPr>
            <w:tcW w:w="1720" w:type="dxa"/>
            <w:tcBorders>
              <w:top w:val="single" w:color="auto" w:sz="4" w:space="0"/>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ascii="宋体" w:hAnsi="宋体" w:cs="宋体"/>
                <w:b/>
                <w:bCs/>
                <w:kern w:val="0"/>
                <w:sz w:val="22"/>
                <w:szCs w:val="22"/>
              </w:rPr>
            </w:pPr>
            <w:r>
              <w:rPr>
                <w:rFonts w:hint="eastAsia" w:ascii="宋体" w:hAnsi="宋体" w:cs="宋体"/>
                <w:b/>
                <w:bCs/>
                <w:kern w:val="0"/>
                <w:sz w:val="22"/>
                <w:szCs w:val="22"/>
              </w:rPr>
              <w:t>韶关卷烟厂</w:t>
            </w:r>
          </w:p>
        </w:tc>
        <w:tc>
          <w:tcPr>
            <w:tcW w:w="1720" w:type="dxa"/>
            <w:tcBorders>
              <w:top w:val="single" w:color="auto" w:sz="4" w:space="0"/>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ascii="宋体" w:hAnsi="宋体" w:cs="宋体"/>
                <w:b/>
                <w:bCs/>
                <w:kern w:val="0"/>
                <w:sz w:val="22"/>
                <w:szCs w:val="22"/>
              </w:rPr>
            </w:pPr>
            <w:r>
              <w:rPr>
                <w:rFonts w:hint="eastAsia" w:ascii="宋体" w:hAnsi="宋体" w:cs="宋体"/>
                <w:b/>
                <w:bCs/>
                <w:kern w:val="0"/>
                <w:sz w:val="22"/>
                <w:szCs w:val="22"/>
              </w:rPr>
              <w:t>梅州卷烟厂</w:t>
            </w:r>
          </w:p>
        </w:tc>
        <w:tc>
          <w:tcPr>
            <w:tcW w:w="1720" w:type="dxa"/>
            <w:tcBorders>
              <w:top w:val="single" w:color="auto" w:sz="4" w:space="0"/>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ascii="宋体" w:hAnsi="宋体" w:cs="宋体"/>
                <w:b/>
                <w:bCs/>
                <w:kern w:val="0"/>
                <w:sz w:val="22"/>
                <w:szCs w:val="22"/>
              </w:rPr>
            </w:pPr>
            <w:r>
              <w:rPr>
                <w:rFonts w:hint="eastAsia" w:ascii="宋体" w:hAnsi="宋体" w:cs="宋体"/>
                <w:b/>
                <w:bCs/>
                <w:kern w:val="0"/>
                <w:sz w:val="22"/>
                <w:szCs w:val="22"/>
              </w:rPr>
              <w:t>湛江卷烟厂</w:t>
            </w:r>
          </w:p>
        </w:tc>
      </w:tr>
      <w:tr>
        <w:tblPrEx>
          <w:tblCellMar>
            <w:top w:w="0" w:type="dxa"/>
            <w:left w:w="108" w:type="dxa"/>
            <w:bottom w:w="0" w:type="dxa"/>
            <w:right w:w="108" w:type="dxa"/>
          </w:tblCellMar>
        </w:tblPrEx>
        <w:trPr>
          <w:trHeight w:val="465" w:hRule="atLeast"/>
          <w:jc w:val="center"/>
        </w:trPr>
        <w:tc>
          <w:tcPr>
            <w:tcW w:w="1720" w:type="dxa"/>
            <w:tcBorders>
              <w:top w:val="nil"/>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ascii="宋体" w:hAnsi="宋体" w:cs="宋体"/>
                <w:b/>
                <w:bCs/>
                <w:kern w:val="0"/>
                <w:sz w:val="22"/>
                <w:szCs w:val="22"/>
              </w:rPr>
            </w:pPr>
            <w:r>
              <w:rPr>
                <w:rFonts w:hint="eastAsia" w:ascii="宋体" w:hAnsi="宋体" w:cs="宋体"/>
                <w:b/>
                <w:bCs/>
                <w:kern w:val="0"/>
                <w:sz w:val="22"/>
                <w:szCs w:val="22"/>
              </w:rPr>
              <w:t>申告数（宗）</w:t>
            </w:r>
          </w:p>
        </w:tc>
        <w:tc>
          <w:tcPr>
            <w:tcW w:w="1720" w:type="dxa"/>
            <w:tcBorders>
              <w:top w:val="nil"/>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1812</w:t>
            </w:r>
          </w:p>
        </w:tc>
        <w:tc>
          <w:tcPr>
            <w:tcW w:w="1720" w:type="dxa"/>
            <w:tcBorders>
              <w:top w:val="nil"/>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406</w:t>
            </w:r>
          </w:p>
        </w:tc>
        <w:tc>
          <w:tcPr>
            <w:tcW w:w="1720" w:type="dxa"/>
            <w:tcBorders>
              <w:top w:val="nil"/>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31</w:t>
            </w:r>
          </w:p>
        </w:tc>
        <w:tc>
          <w:tcPr>
            <w:tcW w:w="1720" w:type="dxa"/>
            <w:tcBorders>
              <w:top w:val="nil"/>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76</w:t>
            </w:r>
          </w:p>
        </w:tc>
        <w:tc>
          <w:tcPr>
            <w:tcW w:w="1720" w:type="dxa"/>
            <w:tcBorders>
              <w:top w:val="nil"/>
              <w:left w:val="nil"/>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138</w:t>
            </w:r>
          </w:p>
        </w:tc>
      </w:tr>
    </w:tbl>
    <w:p>
      <w:pPr>
        <w:ind w:firstLine="480"/>
      </w:pPr>
    </w:p>
    <w:p>
      <w:pPr>
        <w:ind w:firstLine="0" w:firstLineChars="0"/>
        <w:jc w:val="center"/>
      </w:pPr>
      <w:r>
        <w:drawing>
          <wp:inline distT="0" distB="0" distL="114300" distR="114300">
            <wp:extent cx="4895850" cy="3161665"/>
            <wp:effectExtent l="4445" t="4445" r="14605" b="15240"/>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firstLine="0" w:firstLineChars="0"/>
        <w:jc w:val="center"/>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w:t>
      </w:r>
      <w:r>
        <w:rPr>
          <w:rFonts w:hint="eastAsia" w:ascii="宋体" w:hAnsi="宋体" w:eastAsia="宋体" w:cs="宋体"/>
          <w:color w:val="FF0000"/>
          <w:sz w:val="21"/>
          <w:szCs w:val="21"/>
          <w:lang w:val="en-US" w:eastAsia="zh-CN"/>
        </w:rPr>
        <w:t>PS：</w:t>
      </w:r>
      <w:r>
        <w:rPr>
          <w:rFonts w:hint="eastAsia" w:ascii="宋体" w:hAnsi="宋体" w:eastAsia="宋体" w:cs="宋体"/>
          <w:color w:val="FF0000"/>
          <w:sz w:val="21"/>
          <w:szCs w:val="21"/>
          <w:lang w:eastAsia="zh-CN"/>
        </w:rPr>
        <w:t>公司本部</w:t>
      </w:r>
      <w:r>
        <w:rPr>
          <w:rFonts w:hint="eastAsia" w:ascii="宋体" w:hAnsi="宋体" w:cs="宋体"/>
          <w:color w:val="FF0000"/>
          <w:sz w:val="21"/>
          <w:szCs w:val="21"/>
          <w:lang w:eastAsia="zh-CN"/>
        </w:rPr>
        <w:t>如往月一样工单数占比</w:t>
      </w:r>
      <w:r>
        <w:rPr>
          <w:rFonts w:hint="eastAsia" w:ascii="宋体" w:hAnsi="宋体" w:eastAsia="宋体" w:cs="宋体"/>
          <w:color w:val="FF0000"/>
          <w:sz w:val="21"/>
          <w:szCs w:val="21"/>
          <w:lang w:eastAsia="zh-CN"/>
        </w:rPr>
        <w:t>在各厂区中</w:t>
      </w:r>
      <w:r>
        <w:rPr>
          <w:rFonts w:hint="eastAsia" w:ascii="宋体" w:hAnsi="宋体" w:cs="宋体"/>
          <w:color w:val="FF0000"/>
          <w:sz w:val="21"/>
          <w:szCs w:val="21"/>
          <w:lang w:eastAsia="zh-CN"/>
        </w:rPr>
        <w:t>属</w:t>
      </w:r>
      <w:r>
        <w:rPr>
          <w:rFonts w:hint="eastAsia" w:ascii="宋体" w:hAnsi="宋体" w:eastAsia="宋体" w:cs="宋体"/>
          <w:color w:val="FF0000"/>
          <w:sz w:val="21"/>
          <w:szCs w:val="21"/>
          <w:lang w:eastAsia="zh-CN"/>
        </w:rPr>
        <w:t>最高，广州厂次之，其余厂区</w:t>
      </w:r>
      <w:r>
        <w:rPr>
          <w:rFonts w:hint="eastAsia" w:ascii="宋体" w:hAnsi="宋体" w:cs="宋体"/>
          <w:color w:val="FF0000"/>
          <w:sz w:val="21"/>
          <w:szCs w:val="21"/>
          <w:lang w:eastAsia="zh-CN"/>
        </w:rPr>
        <w:t>工单数占比较少</w:t>
      </w:r>
      <w:r>
        <w:rPr>
          <w:rFonts w:hint="eastAsia" w:ascii="宋体" w:hAnsi="宋体" w:eastAsia="宋体" w:cs="宋体"/>
          <w:color w:val="FF0000"/>
          <w:sz w:val="21"/>
          <w:szCs w:val="21"/>
          <w:lang w:eastAsia="zh-CN"/>
        </w:rPr>
        <w:t>。）</w:t>
      </w:r>
    </w:p>
    <w:p>
      <w:pPr>
        <w:pStyle w:val="5"/>
        <w:spacing w:before="312" w:after="156"/>
        <w:ind w:left="567"/>
        <w:outlineLvl w:val="1"/>
        <w:rPr>
          <w:rFonts w:hint="eastAsia"/>
          <w:sz w:val="28"/>
          <w:szCs w:val="28"/>
        </w:rPr>
      </w:pPr>
      <w:bookmarkStart w:id="25" w:name="_Toc24394"/>
      <w:bookmarkStart w:id="26" w:name="_Toc28328"/>
      <w:r>
        <w:rPr>
          <w:rFonts w:hint="eastAsia"/>
          <w:sz w:val="28"/>
          <w:szCs w:val="28"/>
        </w:rPr>
        <w:t>公司本部事件工单来源（按部门）统计</w:t>
      </w:r>
      <w:bookmarkEnd w:id="25"/>
      <w:bookmarkEnd w:id="26"/>
    </w:p>
    <w:p>
      <w:pPr>
        <w:ind w:left="0" w:leftChars="0" w:firstLine="240" w:firstLineChars="100"/>
        <w:jc w:val="center"/>
      </w:pPr>
      <w:r>
        <w:drawing>
          <wp:inline distT="0" distB="0" distL="114300" distR="114300">
            <wp:extent cx="6478270" cy="3356610"/>
            <wp:effectExtent l="0" t="0" r="17780" b="152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7"/>
                    <a:stretch>
                      <a:fillRect/>
                    </a:stretch>
                  </pic:blipFill>
                  <pic:spPr>
                    <a:xfrm>
                      <a:off x="0" y="0"/>
                      <a:ext cx="6478270" cy="3356610"/>
                    </a:xfrm>
                    <a:prstGeom prst="rect">
                      <a:avLst/>
                    </a:prstGeom>
                    <a:noFill/>
                    <a:ln>
                      <a:noFill/>
                    </a:ln>
                  </pic:spPr>
                </pic:pic>
              </a:graphicData>
            </a:graphic>
          </wp:inline>
        </w:drawing>
      </w:r>
    </w:p>
    <w:p>
      <w:pPr>
        <w:ind w:firstLine="560"/>
        <w:rPr>
          <w:rFonts w:hint="eastAsia" w:ascii="华文仿宋" w:hAnsi="华文仿宋" w:eastAsia="华文仿宋" w:cs="华文仿宋"/>
          <w:b/>
          <w:bCs/>
          <w:color w:val="C00000"/>
          <w:sz w:val="28"/>
          <w:szCs w:val="28"/>
          <w:lang w:val="en-US" w:eastAsia="zh-CN"/>
        </w:rPr>
      </w:pPr>
      <w:r>
        <w:rPr>
          <w:rFonts w:hint="eastAsia" w:ascii="华文仿宋" w:hAnsi="华文仿宋" w:eastAsia="华文仿宋" w:cs="华文仿宋"/>
          <w:sz w:val="28"/>
          <w:szCs w:val="28"/>
        </w:rPr>
        <w:t>本月公司本部事件来源最多的</w:t>
      </w:r>
      <w:r>
        <w:rPr>
          <w:rFonts w:hint="eastAsia" w:ascii="华文仿宋" w:hAnsi="华文仿宋" w:eastAsia="华文仿宋" w:cs="华文仿宋"/>
          <w:sz w:val="28"/>
          <w:szCs w:val="28"/>
          <w:lang w:eastAsia="zh-CN"/>
        </w:rPr>
        <w:t>三</w:t>
      </w:r>
      <w:r>
        <w:rPr>
          <w:rFonts w:hint="eastAsia" w:ascii="华文仿宋" w:hAnsi="华文仿宋" w:eastAsia="华文仿宋" w:cs="华文仿宋"/>
          <w:sz w:val="28"/>
          <w:szCs w:val="28"/>
        </w:rPr>
        <w:t>个部门是：</w:t>
      </w:r>
      <w:r>
        <w:rPr>
          <w:rFonts w:hint="eastAsia" w:ascii="华文仿宋" w:hAnsi="华文仿宋" w:eastAsia="华文仿宋" w:cs="华文仿宋"/>
          <w:sz w:val="28"/>
          <w:szCs w:val="28"/>
          <w:lang w:eastAsia="zh-CN"/>
        </w:rPr>
        <w:t>市场营销中心（</w:t>
      </w:r>
      <w:r>
        <w:rPr>
          <w:rFonts w:hint="eastAsia" w:ascii="华文仿宋" w:hAnsi="华文仿宋" w:eastAsia="华文仿宋" w:cs="华文仿宋"/>
          <w:sz w:val="28"/>
          <w:szCs w:val="28"/>
          <w:lang w:val="en-US" w:eastAsia="zh-CN"/>
        </w:rPr>
        <w:t>278条</w:t>
      </w:r>
      <w:r>
        <w:rPr>
          <w:rFonts w:hint="eastAsia" w:ascii="华文仿宋" w:hAnsi="华文仿宋" w:eastAsia="华文仿宋" w:cs="华文仿宋"/>
          <w:sz w:val="28"/>
          <w:szCs w:val="28"/>
          <w:lang w:eastAsia="zh-CN"/>
        </w:rPr>
        <w:t>）、技术中心</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183</w:t>
      </w:r>
      <w:r>
        <w:rPr>
          <w:rFonts w:hint="eastAsia" w:ascii="华文仿宋" w:hAnsi="华文仿宋" w:eastAsia="华文仿宋" w:cs="华文仿宋"/>
          <w:sz w:val="28"/>
          <w:szCs w:val="28"/>
        </w:rPr>
        <w:t>条）</w:t>
      </w:r>
      <w:r>
        <w:rPr>
          <w:rFonts w:hint="eastAsia" w:ascii="华文仿宋" w:hAnsi="华文仿宋" w:eastAsia="华文仿宋" w:cs="华文仿宋"/>
          <w:sz w:val="28"/>
          <w:szCs w:val="28"/>
          <w:lang w:eastAsia="zh-CN"/>
        </w:rPr>
        <w:t>、后勤服务中心</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177</w:t>
      </w:r>
      <w:r>
        <w:rPr>
          <w:rFonts w:hint="eastAsia" w:ascii="华文仿宋" w:hAnsi="华文仿宋" w:eastAsia="华文仿宋" w:cs="华文仿宋"/>
          <w:sz w:val="28"/>
          <w:szCs w:val="28"/>
        </w:rPr>
        <w:t>条）。</w:t>
      </w:r>
    </w:p>
    <w:p>
      <w:pPr>
        <w:pStyle w:val="66"/>
        <w:numPr>
          <w:ilvl w:val="0"/>
          <w:numId w:val="10"/>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本月</w:t>
      </w:r>
      <w:r>
        <w:rPr>
          <w:rFonts w:hint="eastAsia" w:ascii="华文仿宋" w:hAnsi="华文仿宋" w:eastAsia="华文仿宋" w:cs="华文仿宋"/>
          <w:sz w:val="28"/>
          <w:szCs w:val="28"/>
        </w:rPr>
        <w:t>市场营销中心</w:t>
      </w:r>
      <w:r>
        <w:rPr>
          <w:rFonts w:hint="eastAsia" w:ascii="华文仿宋" w:hAnsi="华文仿宋" w:eastAsia="华文仿宋" w:cs="华文仿宋"/>
          <w:sz w:val="28"/>
          <w:szCs w:val="28"/>
          <w:lang w:eastAsia="zh-CN"/>
        </w:rPr>
        <w:t>部门事件工单分类</w:t>
      </w:r>
      <w:r>
        <w:rPr>
          <w:rFonts w:hint="eastAsia" w:ascii="华文仿宋" w:hAnsi="华文仿宋" w:eastAsia="华文仿宋" w:cs="华文仿宋"/>
          <w:sz w:val="28"/>
          <w:szCs w:val="28"/>
        </w:rPr>
        <w:t>主要</w:t>
      </w:r>
      <w:r>
        <w:rPr>
          <w:rFonts w:hint="eastAsia" w:ascii="华文仿宋" w:hAnsi="华文仿宋" w:eastAsia="华文仿宋" w:cs="华文仿宋"/>
          <w:sz w:val="28"/>
          <w:szCs w:val="28"/>
          <w:lang w:eastAsia="zh-CN"/>
        </w:rPr>
        <w:t>有</w:t>
      </w:r>
      <w:r>
        <w:rPr>
          <w:rFonts w:hint="eastAsia" w:ascii="华文仿宋" w:hAnsi="华文仿宋" w:eastAsia="华文仿宋" w:cs="华文仿宋"/>
          <w:sz w:val="28"/>
          <w:szCs w:val="28"/>
        </w:rPr>
        <w:t>末端服务方面的问题，占</w:t>
      </w:r>
      <w:r>
        <w:rPr>
          <w:rFonts w:hint="eastAsia" w:ascii="华文仿宋" w:hAnsi="华文仿宋" w:eastAsia="华文仿宋" w:cs="华文仿宋"/>
          <w:sz w:val="28"/>
          <w:szCs w:val="28"/>
          <w:lang w:val="en-US" w:eastAsia="zh-CN"/>
        </w:rPr>
        <w:t>38.84</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，软件服务主要有</w:t>
      </w:r>
      <w:r>
        <w:rPr>
          <w:rFonts w:hint="eastAsia" w:ascii="华文仿宋" w:hAnsi="华文仿宋" w:eastAsia="华文仿宋" w:cs="华文仿宋"/>
          <w:sz w:val="28"/>
          <w:szCs w:val="28"/>
          <w:lang w:val="en-US" w:eastAsia="zh-CN"/>
        </w:rPr>
        <w:t>（安装及调试360浏览器登录VPN、安装打印机/扫描仪驱动、企业微信、协同及其插件、iNode、亚信、营销管理平台等；硬件方面为打印机更换耗材/一体机故障打印机调试、电脑关机开机故障需更换主板配件、申请键盘鼠标等物品等</w:t>
      </w:r>
      <w:r>
        <w:rPr>
          <w:rFonts w:hint="eastAsia" w:ascii="华文仿宋" w:hAnsi="华文仿宋" w:eastAsia="华文仿宋" w:cs="华文仿宋"/>
          <w:color w:val="C00000"/>
          <w:sz w:val="28"/>
          <w:szCs w:val="28"/>
          <w:lang w:val="en-US" w:eastAsia="zh-CN"/>
        </w:rPr>
        <w:t>；</w:t>
      </w:r>
      <w:r>
        <w:rPr>
          <w:rFonts w:hint="eastAsia" w:ascii="华文仿宋" w:hAnsi="华文仿宋" w:eastAsia="华文仿宋" w:cs="华文仿宋"/>
          <w:color w:val="auto"/>
          <w:sz w:val="28"/>
          <w:szCs w:val="28"/>
          <w:lang w:val="en-US" w:eastAsia="zh-CN"/>
        </w:rPr>
        <w:t>业务服务办公协同</w:t>
      </w:r>
      <w:r>
        <w:rPr>
          <w:rFonts w:hint="eastAsia" w:ascii="华文仿宋" w:hAnsi="华文仿宋" w:eastAsia="华文仿宋" w:cs="华文仿宋"/>
          <w:color w:val="000000" w:themeColor="text1"/>
          <w:sz w:val="28"/>
          <w:szCs w:val="28"/>
          <w:lang w:eastAsia="zh-CN"/>
          <w14:textFill>
            <w14:solidFill>
              <w14:schemeClr w14:val="tx1"/>
            </w14:solidFill>
          </w14:textFill>
        </w:rPr>
        <w:t>问题占</w:t>
      </w:r>
      <w:r>
        <w:rPr>
          <w:rFonts w:hint="eastAsia" w:ascii="华文仿宋" w:hAnsi="华文仿宋" w:eastAsia="华文仿宋" w:cs="华文仿宋"/>
          <w:color w:val="000000" w:themeColor="text1"/>
          <w:sz w:val="28"/>
          <w:szCs w:val="28"/>
          <w:lang w:val="en-US" w:eastAsia="zh-CN"/>
          <w14:textFill>
            <w14:solidFill>
              <w14:schemeClr w14:val="tx1"/>
            </w14:solidFill>
          </w14:textFill>
        </w:rPr>
        <w:t>20.14%，主要对公司B类审查表/考勤表/员工休假表等开权限、授权上传附件、协助修改报销区域/意见/人员异动通知单等问题；综合项目管理平台问题占33.45%，主要为进行公文回收、评审修改/更新附件、删除子项目金额/评审/作废项目等修改及咨询类问题等。</w:t>
      </w:r>
    </w:p>
    <w:p>
      <w:pPr>
        <w:pStyle w:val="66"/>
        <w:numPr>
          <w:ilvl w:val="0"/>
          <w:numId w:val="10"/>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本月</w:t>
      </w:r>
      <w:r>
        <w:rPr>
          <w:rFonts w:hint="eastAsia" w:ascii="华文仿宋" w:hAnsi="华文仿宋" w:eastAsia="华文仿宋" w:cs="华文仿宋"/>
          <w:sz w:val="28"/>
          <w:szCs w:val="28"/>
        </w:rPr>
        <w:t>技术中心</w:t>
      </w:r>
      <w:r>
        <w:rPr>
          <w:rFonts w:hint="eastAsia" w:ascii="华文仿宋" w:hAnsi="华文仿宋" w:eastAsia="华文仿宋" w:cs="华文仿宋"/>
          <w:sz w:val="28"/>
          <w:szCs w:val="28"/>
          <w:lang w:eastAsia="zh-CN"/>
        </w:rPr>
        <w:t>部门事件工单分类</w:t>
      </w:r>
      <w:r>
        <w:rPr>
          <w:rFonts w:hint="eastAsia" w:ascii="华文仿宋" w:hAnsi="华文仿宋" w:eastAsia="华文仿宋" w:cs="华文仿宋"/>
          <w:sz w:val="28"/>
          <w:szCs w:val="28"/>
        </w:rPr>
        <w:t>主要</w:t>
      </w:r>
      <w:r>
        <w:rPr>
          <w:rFonts w:hint="eastAsia" w:ascii="华文仿宋" w:hAnsi="华文仿宋" w:eastAsia="华文仿宋" w:cs="华文仿宋"/>
          <w:sz w:val="28"/>
          <w:szCs w:val="28"/>
          <w:lang w:eastAsia="zh-CN"/>
        </w:rPr>
        <w:t>有业务方面办公协同问题占</w:t>
      </w:r>
      <w:r>
        <w:rPr>
          <w:rFonts w:hint="eastAsia" w:ascii="华文仿宋" w:hAnsi="华文仿宋" w:eastAsia="华文仿宋" w:cs="华文仿宋"/>
          <w:sz w:val="28"/>
          <w:szCs w:val="28"/>
          <w:lang w:val="en-US" w:eastAsia="zh-CN"/>
        </w:rPr>
        <w:t>56.28%，主要对人员出差审批表修改公文实例/出差事由/时间/交通工具/出差人等、公司试制通知单进行授权修改附件开权限等及咨询类问题</w:t>
      </w:r>
      <w:r>
        <w:rPr>
          <w:rFonts w:hint="eastAsia" w:ascii="华文仿宋" w:hAnsi="华文仿宋" w:eastAsia="华文仿宋" w:cs="华文仿宋"/>
          <w:color w:val="FF0000"/>
          <w:sz w:val="28"/>
          <w:szCs w:val="28"/>
          <w:lang w:val="en-US" w:eastAsia="zh-CN"/>
        </w:rPr>
        <w:t>；</w:t>
      </w:r>
      <w:r>
        <w:rPr>
          <w:rFonts w:hint="eastAsia" w:ascii="华文仿宋" w:hAnsi="华文仿宋" w:eastAsia="华文仿宋" w:cs="华文仿宋"/>
          <w:sz w:val="28"/>
          <w:szCs w:val="28"/>
        </w:rPr>
        <w:t>末端服务问题</w:t>
      </w:r>
      <w:r>
        <w:rPr>
          <w:rFonts w:hint="eastAsia" w:ascii="华文仿宋" w:hAnsi="华文仿宋" w:eastAsia="华文仿宋" w:cs="华文仿宋"/>
          <w:sz w:val="28"/>
          <w:szCs w:val="28"/>
          <w:lang w:eastAsia="zh-CN"/>
        </w:rPr>
        <w:t>占</w:t>
      </w:r>
      <w:r>
        <w:rPr>
          <w:rFonts w:hint="eastAsia" w:ascii="华文仿宋" w:hAnsi="华文仿宋" w:eastAsia="华文仿宋" w:cs="华文仿宋"/>
          <w:sz w:val="28"/>
          <w:szCs w:val="28"/>
          <w:lang w:val="en-US" w:eastAsia="zh-CN"/>
        </w:rPr>
        <w:t>27.87</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软件方面</w:t>
      </w:r>
      <w:r>
        <w:rPr>
          <w:rFonts w:hint="eastAsia" w:ascii="华文仿宋" w:hAnsi="华文仿宋" w:eastAsia="华文仿宋" w:cs="华文仿宋"/>
          <w:sz w:val="28"/>
          <w:szCs w:val="28"/>
          <w:lang w:val="en-US" w:eastAsia="zh-CN"/>
        </w:rPr>
        <w:t>为调试office、BPC、操作系统、浏览器、协同、电脑连接打印机、解锁iNode等</w:t>
      </w:r>
      <w:r>
        <w:rPr>
          <w:rFonts w:hint="eastAsia" w:ascii="华文仿宋" w:hAnsi="华文仿宋" w:eastAsia="华文仿宋" w:cs="华文仿宋"/>
          <w:color w:val="FF0000"/>
          <w:sz w:val="28"/>
          <w:szCs w:val="28"/>
          <w:lang w:val="en-US" w:eastAsia="zh-CN"/>
        </w:rPr>
        <w:t>；</w:t>
      </w:r>
      <w:r>
        <w:rPr>
          <w:rFonts w:hint="eastAsia" w:ascii="华文仿宋" w:hAnsi="华文仿宋" w:eastAsia="华文仿宋" w:cs="华文仿宋"/>
          <w:color w:val="000000" w:themeColor="text1"/>
          <w:sz w:val="28"/>
          <w:szCs w:val="28"/>
          <w:lang w:val="en-US" w:eastAsia="zh-CN"/>
          <w14:textFill>
            <w14:solidFill>
              <w14:schemeClr w14:val="tx1"/>
            </w14:solidFill>
          </w14:textFill>
        </w:rPr>
        <w:t>硬件方面为转印套件及电脑启动硬件报错、打印机凝水器损坏、电脑搬迁安装及会议协助等。</w:t>
      </w:r>
    </w:p>
    <w:p>
      <w:pPr>
        <w:pStyle w:val="66"/>
        <w:numPr>
          <w:ilvl w:val="0"/>
          <w:numId w:val="10"/>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本月后勤服务中心部门事件工单分类</w:t>
      </w:r>
      <w:r>
        <w:rPr>
          <w:rFonts w:hint="eastAsia" w:ascii="华文仿宋" w:hAnsi="华文仿宋" w:eastAsia="华文仿宋" w:cs="华文仿宋"/>
          <w:sz w:val="28"/>
          <w:szCs w:val="28"/>
        </w:rPr>
        <w:t>主要</w:t>
      </w:r>
      <w:r>
        <w:rPr>
          <w:rFonts w:hint="eastAsia" w:ascii="华文仿宋" w:hAnsi="华文仿宋" w:eastAsia="华文仿宋" w:cs="华文仿宋"/>
          <w:sz w:val="28"/>
          <w:szCs w:val="28"/>
          <w:lang w:eastAsia="zh-CN"/>
        </w:rPr>
        <w:t>有会议服务协助占</w:t>
      </w:r>
      <w:r>
        <w:rPr>
          <w:rFonts w:hint="eastAsia" w:ascii="华文仿宋" w:hAnsi="华文仿宋" w:eastAsia="华文仿宋" w:cs="华文仿宋"/>
          <w:sz w:val="28"/>
          <w:szCs w:val="28"/>
          <w:lang w:val="en-US" w:eastAsia="zh-CN"/>
        </w:rPr>
        <w:t>69.49%</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其次末端服务占</w:t>
      </w:r>
      <w:r>
        <w:rPr>
          <w:rFonts w:hint="eastAsia" w:ascii="华文仿宋" w:hAnsi="华文仿宋" w:eastAsia="华文仿宋" w:cs="华文仿宋"/>
          <w:sz w:val="28"/>
          <w:szCs w:val="28"/>
          <w:lang w:val="en-US" w:eastAsia="zh-CN"/>
        </w:rPr>
        <w:t>11.3%，主要为调试烟草网络学院、协同插件、台式机无法打开及调试操作系统、显示器移位、申请鼠标电话线、打印机无法扫描/更换耗材墨盒及咨询等。</w:t>
      </w:r>
    </w:p>
    <w:p>
      <w:pPr>
        <w:pStyle w:val="5"/>
        <w:spacing w:before="312" w:after="156"/>
        <w:ind w:left="567"/>
        <w:outlineLvl w:val="1"/>
        <w:rPr>
          <w:rFonts w:hint="eastAsia"/>
          <w:sz w:val="28"/>
          <w:szCs w:val="28"/>
        </w:rPr>
      </w:pPr>
      <w:bookmarkStart w:id="27" w:name="_Toc32530"/>
      <w:bookmarkStart w:id="28" w:name="_Toc12659"/>
      <w:r>
        <w:rPr>
          <w:rFonts w:hint="eastAsia"/>
          <w:sz w:val="28"/>
          <w:szCs w:val="28"/>
        </w:rPr>
        <w:t>服务台事件工单内容分析</w:t>
      </w:r>
      <w:bookmarkEnd w:id="27"/>
      <w:bookmarkEnd w:id="28"/>
    </w:p>
    <w:p>
      <w:pPr>
        <w:pStyle w:val="5"/>
        <w:numPr>
          <w:ilvl w:val="0"/>
          <w:numId w:val="11"/>
        </w:numPr>
        <w:spacing w:before="156" w:after="156"/>
        <w:ind w:left="425" w:hanging="425"/>
        <w:rPr>
          <w:sz w:val="28"/>
          <w:szCs w:val="28"/>
        </w:rPr>
      </w:pPr>
      <w:r>
        <w:rPr>
          <w:rFonts w:hint="eastAsia"/>
          <w:sz w:val="28"/>
          <w:szCs w:val="28"/>
        </w:rPr>
        <w:t>末端服务和技术服务</w:t>
      </w:r>
    </w:p>
    <w:p>
      <w:pPr>
        <w:ind w:firstLine="480"/>
        <w:rPr>
          <w:rFonts w:hint="eastAsia" w:ascii="华文仿宋" w:hAnsi="华文仿宋" w:eastAsia="华文仿宋" w:cs="华文仿宋"/>
          <w:sz w:val="28"/>
          <w:szCs w:val="28"/>
        </w:rPr>
      </w:pPr>
      <w:r>
        <w:rPr>
          <w:rFonts w:hint="eastAsia" w:ascii="华文仿宋" w:hAnsi="华文仿宋" w:eastAsia="华文仿宋" w:cs="华文仿宋"/>
          <w:sz w:val="28"/>
          <w:szCs w:val="28"/>
        </w:rPr>
        <w:t xml:space="preserve">  本月共建末端服务和技术服务的工单</w:t>
      </w:r>
      <w:r>
        <w:rPr>
          <w:rFonts w:hint="eastAsia" w:ascii="华文仿宋" w:hAnsi="华文仿宋" w:eastAsia="华文仿宋" w:cs="华文仿宋"/>
          <w:sz w:val="28"/>
          <w:szCs w:val="28"/>
          <w:lang w:eastAsia="zh-CN"/>
        </w:rPr>
        <w:t>共</w:t>
      </w:r>
      <w:r>
        <w:rPr>
          <w:rFonts w:hint="eastAsia" w:ascii="华文仿宋" w:hAnsi="华文仿宋" w:eastAsia="华文仿宋" w:cs="华文仿宋"/>
          <w:sz w:val="28"/>
          <w:szCs w:val="28"/>
          <w:lang w:val="en-US" w:eastAsia="zh-CN"/>
        </w:rPr>
        <w:t>1017</w:t>
      </w:r>
      <w:r>
        <w:rPr>
          <w:rFonts w:hint="eastAsia" w:ascii="华文仿宋" w:hAnsi="华文仿宋" w:eastAsia="华文仿宋" w:cs="华文仿宋"/>
          <w:sz w:val="28"/>
          <w:szCs w:val="28"/>
        </w:rPr>
        <w:t>条，其中</w:t>
      </w:r>
      <w:r>
        <w:rPr>
          <w:rFonts w:hint="eastAsia" w:ascii="华文仿宋" w:hAnsi="华文仿宋" w:eastAsia="华文仿宋" w:cs="华文仿宋"/>
          <w:sz w:val="28"/>
          <w:szCs w:val="28"/>
          <w:lang w:eastAsia="zh-CN"/>
        </w:rPr>
        <w:t>公司</w:t>
      </w:r>
      <w:r>
        <w:rPr>
          <w:rFonts w:hint="eastAsia" w:ascii="华文仿宋" w:hAnsi="华文仿宋" w:eastAsia="华文仿宋" w:cs="华文仿宋"/>
          <w:sz w:val="28"/>
          <w:szCs w:val="28"/>
        </w:rPr>
        <w:t>本部</w:t>
      </w:r>
      <w:r>
        <w:rPr>
          <w:rFonts w:hint="eastAsia" w:ascii="华文仿宋" w:hAnsi="华文仿宋" w:eastAsia="华文仿宋" w:cs="华文仿宋"/>
          <w:sz w:val="28"/>
          <w:szCs w:val="28"/>
          <w:lang w:val="en-US" w:eastAsia="zh-CN"/>
        </w:rPr>
        <w:t>652</w:t>
      </w:r>
      <w:r>
        <w:rPr>
          <w:rFonts w:hint="eastAsia" w:ascii="华文仿宋" w:hAnsi="华文仿宋" w:eastAsia="华文仿宋" w:cs="华文仿宋"/>
          <w:sz w:val="28"/>
          <w:szCs w:val="28"/>
        </w:rPr>
        <w:t>条，广州厂</w:t>
      </w:r>
      <w:r>
        <w:rPr>
          <w:rFonts w:hint="eastAsia" w:ascii="华文仿宋" w:hAnsi="华文仿宋" w:eastAsia="华文仿宋" w:cs="华文仿宋"/>
          <w:sz w:val="28"/>
          <w:szCs w:val="28"/>
          <w:lang w:val="en-US" w:eastAsia="zh-CN"/>
        </w:rPr>
        <w:t>260</w:t>
      </w:r>
      <w:r>
        <w:rPr>
          <w:rFonts w:hint="eastAsia" w:ascii="华文仿宋" w:hAnsi="华文仿宋" w:eastAsia="华文仿宋" w:cs="华文仿宋"/>
          <w:sz w:val="28"/>
          <w:szCs w:val="28"/>
        </w:rPr>
        <w:t>条，韶关厂</w:t>
      </w:r>
      <w:r>
        <w:rPr>
          <w:rFonts w:hint="eastAsia" w:ascii="华文仿宋" w:hAnsi="华文仿宋" w:eastAsia="华文仿宋" w:cs="华文仿宋"/>
          <w:sz w:val="28"/>
          <w:szCs w:val="28"/>
          <w:lang w:val="en-US" w:eastAsia="zh-CN"/>
        </w:rPr>
        <w:t>0条，</w:t>
      </w:r>
      <w:r>
        <w:rPr>
          <w:rFonts w:hint="eastAsia" w:ascii="华文仿宋" w:hAnsi="华文仿宋" w:eastAsia="华文仿宋" w:cs="华文仿宋"/>
          <w:sz w:val="28"/>
          <w:szCs w:val="28"/>
          <w:lang w:eastAsia="zh-CN"/>
        </w:rPr>
        <w:t>梅州厂</w:t>
      </w:r>
      <w:r>
        <w:rPr>
          <w:rFonts w:hint="eastAsia" w:ascii="华文仿宋" w:hAnsi="华文仿宋" w:eastAsia="华文仿宋" w:cs="华文仿宋"/>
          <w:sz w:val="28"/>
          <w:szCs w:val="28"/>
          <w:lang w:val="en-US" w:eastAsia="zh-CN"/>
        </w:rPr>
        <w:t>2条，</w:t>
      </w:r>
      <w:r>
        <w:rPr>
          <w:rFonts w:hint="eastAsia" w:ascii="华文仿宋" w:hAnsi="华文仿宋" w:eastAsia="华文仿宋" w:cs="华文仿宋"/>
          <w:sz w:val="28"/>
          <w:szCs w:val="28"/>
        </w:rPr>
        <w:t>湛江厂</w:t>
      </w:r>
      <w:r>
        <w:rPr>
          <w:rFonts w:hint="eastAsia" w:ascii="华文仿宋" w:hAnsi="华文仿宋" w:eastAsia="华文仿宋" w:cs="华文仿宋"/>
          <w:sz w:val="28"/>
          <w:szCs w:val="28"/>
          <w:lang w:val="en-US" w:eastAsia="zh-CN"/>
        </w:rPr>
        <w:t>103</w:t>
      </w:r>
      <w:r>
        <w:rPr>
          <w:rFonts w:hint="eastAsia" w:ascii="华文仿宋" w:hAnsi="华文仿宋" w:eastAsia="华文仿宋" w:cs="华文仿宋"/>
          <w:sz w:val="28"/>
          <w:szCs w:val="28"/>
        </w:rPr>
        <w:t>条。</w:t>
      </w:r>
    </w:p>
    <w:p>
      <w:pPr>
        <w:ind w:firstLine="0" w:firstLineChars="0"/>
        <w:jc w:val="center"/>
        <w:rPr>
          <w:rFonts w:hint="eastAsia"/>
          <w:sz w:val="28"/>
          <w:szCs w:val="28"/>
        </w:rPr>
      </w:pPr>
      <w:r>
        <w:drawing>
          <wp:inline distT="0" distB="0" distL="114300" distR="114300">
            <wp:extent cx="4838700" cy="2903220"/>
            <wp:effectExtent l="4445" t="4445" r="14605" b="6985"/>
            <wp:docPr id="2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56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rPr>
        <w:t>占据主要内容的有：办公软件</w:t>
      </w:r>
      <w:r>
        <w:rPr>
          <w:rFonts w:hint="eastAsia" w:ascii="华文仿宋" w:hAnsi="华文仿宋" w:eastAsia="华文仿宋" w:cs="华文仿宋"/>
          <w:sz w:val="28"/>
          <w:szCs w:val="28"/>
          <w:lang w:val="en-US" w:eastAsia="zh-CN"/>
        </w:rPr>
        <w:t>/插件</w:t>
      </w:r>
      <w:r>
        <w:rPr>
          <w:rFonts w:hint="eastAsia" w:ascii="华文仿宋" w:hAnsi="华文仿宋" w:eastAsia="华文仿宋" w:cs="华文仿宋"/>
          <w:sz w:val="28"/>
          <w:szCs w:val="28"/>
        </w:rPr>
        <w:t>安装或使用问题</w:t>
      </w:r>
      <w:r>
        <w:rPr>
          <w:rFonts w:hint="eastAsia" w:ascii="华文仿宋" w:hAnsi="华文仿宋" w:eastAsia="华文仿宋" w:cs="华文仿宋"/>
          <w:sz w:val="28"/>
          <w:szCs w:val="28"/>
          <w:lang w:val="en-US" w:eastAsia="zh-CN"/>
        </w:rPr>
        <w:t>50</w:t>
      </w:r>
      <w:r>
        <w:rPr>
          <w:rFonts w:hint="eastAsia" w:ascii="华文仿宋" w:hAnsi="华文仿宋" w:eastAsia="华文仿宋" w:cs="华文仿宋"/>
          <w:sz w:val="28"/>
          <w:szCs w:val="28"/>
        </w:rPr>
        <w:t>条；安装、搬迁或无法使用打印机、</w:t>
      </w:r>
      <w:r>
        <w:rPr>
          <w:rFonts w:hint="eastAsia" w:ascii="华文仿宋" w:hAnsi="华文仿宋" w:eastAsia="华文仿宋" w:cs="华文仿宋"/>
          <w:sz w:val="28"/>
          <w:szCs w:val="28"/>
          <w:lang w:eastAsia="zh-CN"/>
        </w:rPr>
        <w:t>扫描仪</w:t>
      </w:r>
      <w:r>
        <w:rPr>
          <w:rFonts w:hint="eastAsia" w:ascii="华文仿宋" w:hAnsi="华文仿宋" w:eastAsia="华文仿宋" w:cs="华文仿宋"/>
          <w:sz w:val="28"/>
          <w:szCs w:val="28"/>
        </w:rPr>
        <w:t>等辅助办公设备</w:t>
      </w:r>
      <w:r>
        <w:rPr>
          <w:rFonts w:hint="eastAsia" w:ascii="华文仿宋" w:hAnsi="华文仿宋" w:eastAsia="华文仿宋" w:cs="华文仿宋"/>
          <w:sz w:val="28"/>
          <w:szCs w:val="28"/>
          <w:lang w:eastAsia="zh-CN"/>
        </w:rPr>
        <w:t>及硬件配换</w:t>
      </w:r>
      <w:r>
        <w:rPr>
          <w:rFonts w:hint="eastAsia" w:ascii="华文仿宋" w:hAnsi="华文仿宋" w:eastAsia="华文仿宋" w:cs="华文仿宋"/>
          <w:sz w:val="28"/>
          <w:szCs w:val="28"/>
        </w:rPr>
        <w:t>问题</w:t>
      </w:r>
      <w:r>
        <w:rPr>
          <w:rFonts w:hint="eastAsia" w:ascii="华文仿宋" w:hAnsi="华文仿宋" w:eastAsia="华文仿宋" w:cs="华文仿宋"/>
          <w:sz w:val="28"/>
          <w:szCs w:val="28"/>
          <w:lang w:val="en-US" w:eastAsia="zh-CN"/>
        </w:rPr>
        <w:t>103</w:t>
      </w:r>
      <w:r>
        <w:rPr>
          <w:rFonts w:hint="eastAsia" w:ascii="华文仿宋" w:hAnsi="华文仿宋" w:eastAsia="华文仿宋" w:cs="华文仿宋"/>
          <w:sz w:val="28"/>
          <w:szCs w:val="28"/>
        </w:rPr>
        <w:t>条；咨询</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rPr>
        <w:t>协助类问题</w:t>
      </w:r>
      <w:r>
        <w:rPr>
          <w:rFonts w:hint="eastAsia" w:ascii="华文仿宋" w:hAnsi="华文仿宋" w:eastAsia="华文仿宋" w:cs="华文仿宋"/>
          <w:sz w:val="28"/>
          <w:szCs w:val="28"/>
          <w:lang w:val="en-US" w:eastAsia="zh-CN"/>
        </w:rPr>
        <w:t>453</w:t>
      </w:r>
      <w:r>
        <w:rPr>
          <w:rFonts w:hint="eastAsia" w:ascii="华文仿宋" w:hAnsi="华文仿宋" w:eastAsia="华文仿宋" w:cs="华文仿宋"/>
          <w:sz w:val="28"/>
          <w:szCs w:val="28"/>
        </w:rPr>
        <w:t>条；电脑安装、搬迁</w:t>
      </w:r>
      <w:r>
        <w:rPr>
          <w:rFonts w:hint="eastAsia" w:ascii="华文仿宋" w:hAnsi="华文仿宋" w:eastAsia="华文仿宋" w:cs="华文仿宋"/>
          <w:sz w:val="28"/>
          <w:szCs w:val="28"/>
          <w:lang w:val="en-US" w:eastAsia="zh-CN"/>
        </w:rPr>
        <w:t>/调试电脑系统</w:t>
      </w:r>
      <w:r>
        <w:rPr>
          <w:rFonts w:hint="eastAsia" w:ascii="华文仿宋" w:hAnsi="华文仿宋" w:eastAsia="华文仿宋" w:cs="华文仿宋"/>
          <w:sz w:val="28"/>
          <w:szCs w:val="28"/>
        </w:rPr>
        <w:t>或故障问题</w:t>
      </w:r>
      <w:r>
        <w:rPr>
          <w:rFonts w:hint="eastAsia" w:ascii="华文仿宋" w:hAnsi="华文仿宋" w:eastAsia="华文仿宋" w:cs="华文仿宋"/>
          <w:sz w:val="28"/>
          <w:szCs w:val="28"/>
          <w:lang w:val="en-US" w:eastAsia="zh-CN"/>
        </w:rPr>
        <w:t>127</w:t>
      </w:r>
      <w:r>
        <w:rPr>
          <w:rFonts w:hint="eastAsia" w:ascii="华文仿宋" w:hAnsi="华文仿宋" w:eastAsia="华文仿宋" w:cs="华文仿宋"/>
          <w:sz w:val="28"/>
          <w:szCs w:val="28"/>
        </w:rPr>
        <w:t>条；无法上网</w:t>
      </w:r>
      <w:r>
        <w:rPr>
          <w:rFonts w:hint="eastAsia" w:ascii="华文仿宋" w:hAnsi="华文仿宋" w:eastAsia="华文仿宋" w:cs="华文仿宋"/>
          <w:sz w:val="28"/>
          <w:szCs w:val="28"/>
          <w:lang w:val="en-US" w:eastAsia="zh-CN"/>
        </w:rPr>
        <w:t>/网络搬迁</w:t>
      </w:r>
      <w:r>
        <w:rPr>
          <w:rFonts w:hint="eastAsia" w:ascii="华文仿宋" w:hAnsi="华文仿宋" w:eastAsia="华文仿宋" w:cs="华文仿宋"/>
          <w:sz w:val="28"/>
          <w:szCs w:val="28"/>
        </w:rPr>
        <w:t>问题</w:t>
      </w:r>
      <w:r>
        <w:rPr>
          <w:rFonts w:hint="eastAsia" w:ascii="华文仿宋" w:hAnsi="华文仿宋" w:eastAsia="华文仿宋" w:cs="华文仿宋"/>
          <w:sz w:val="28"/>
          <w:szCs w:val="28"/>
          <w:lang w:val="en-US" w:eastAsia="zh-CN"/>
        </w:rPr>
        <w:t>52</w:t>
      </w:r>
      <w:r>
        <w:rPr>
          <w:rFonts w:hint="eastAsia" w:ascii="华文仿宋" w:hAnsi="华文仿宋" w:eastAsia="华文仿宋" w:cs="华文仿宋"/>
          <w:sz w:val="28"/>
          <w:szCs w:val="28"/>
        </w:rPr>
        <w:t>条； Ukey</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rPr>
        <w:t>权限</w:t>
      </w:r>
      <w:r>
        <w:rPr>
          <w:rFonts w:hint="eastAsia" w:ascii="华文仿宋" w:hAnsi="华文仿宋" w:eastAsia="华文仿宋" w:cs="华文仿宋"/>
          <w:sz w:val="28"/>
          <w:szCs w:val="28"/>
          <w:lang w:val="en-US" w:eastAsia="zh-CN"/>
        </w:rPr>
        <w:t>/各软件</w:t>
      </w:r>
      <w:r>
        <w:rPr>
          <w:rFonts w:hint="eastAsia" w:ascii="华文仿宋" w:hAnsi="华文仿宋" w:eastAsia="华文仿宋" w:cs="华文仿宋"/>
          <w:sz w:val="28"/>
          <w:szCs w:val="28"/>
        </w:rPr>
        <w:t>账号密码问题</w:t>
      </w:r>
      <w:r>
        <w:rPr>
          <w:rFonts w:hint="eastAsia" w:ascii="华文仿宋" w:hAnsi="华文仿宋" w:eastAsia="华文仿宋" w:cs="华文仿宋"/>
          <w:sz w:val="28"/>
          <w:szCs w:val="28"/>
          <w:lang w:val="en-US" w:eastAsia="zh-CN"/>
        </w:rPr>
        <w:t>145</w:t>
      </w:r>
      <w:r>
        <w:rPr>
          <w:rFonts w:hint="eastAsia" w:ascii="华文仿宋" w:hAnsi="华文仿宋" w:eastAsia="华文仿宋" w:cs="华文仿宋"/>
          <w:sz w:val="28"/>
          <w:szCs w:val="28"/>
        </w:rPr>
        <w:t>条；办公软件故障</w:t>
      </w:r>
      <w:r>
        <w:rPr>
          <w:rFonts w:hint="eastAsia" w:ascii="华文仿宋" w:hAnsi="华文仿宋" w:eastAsia="华文仿宋" w:cs="华文仿宋"/>
          <w:sz w:val="28"/>
          <w:szCs w:val="28"/>
          <w:lang w:val="en-US" w:eastAsia="zh-CN"/>
        </w:rPr>
        <w:t>/调试186</w:t>
      </w:r>
      <w:r>
        <w:rPr>
          <w:rFonts w:hint="eastAsia" w:ascii="华文仿宋" w:hAnsi="华文仿宋" w:eastAsia="华文仿宋" w:cs="华文仿宋"/>
          <w:sz w:val="28"/>
          <w:szCs w:val="28"/>
        </w:rPr>
        <w:t>条；办公软件的数据修改与维护</w:t>
      </w:r>
      <w:r>
        <w:rPr>
          <w:rFonts w:hint="eastAsia" w:ascii="华文仿宋" w:hAnsi="华文仿宋" w:eastAsia="华文仿宋" w:cs="华文仿宋"/>
          <w:sz w:val="28"/>
          <w:szCs w:val="28"/>
          <w:lang w:val="en-US" w:eastAsia="zh-CN"/>
        </w:rPr>
        <w:t>580</w:t>
      </w:r>
      <w:r>
        <w:rPr>
          <w:rFonts w:hint="eastAsia" w:ascii="华文仿宋" w:hAnsi="华文仿宋" w:eastAsia="华文仿宋" w:cs="华文仿宋"/>
          <w:sz w:val="28"/>
          <w:szCs w:val="28"/>
        </w:rPr>
        <w:t>条；数据库或服务器巡检</w:t>
      </w:r>
      <w:r>
        <w:rPr>
          <w:rFonts w:hint="eastAsia" w:ascii="华文仿宋" w:hAnsi="华文仿宋" w:eastAsia="华文仿宋" w:cs="华文仿宋"/>
          <w:sz w:val="28"/>
          <w:szCs w:val="28"/>
          <w:lang w:val="en-US" w:eastAsia="zh-CN"/>
        </w:rPr>
        <w:t>25</w:t>
      </w:r>
      <w:r>
        <w:rPr>
          <w:rFonts w:hint="eastAsia" w:ascii="华文仿宋" w:hAnsi="华文仿宋" w:eastAsia="华文仿宋" w:cs="华文仿宋"/>
          <w:sz w:val="28"/>
          <w:szCs w:val="28"/>
        </w:rPr>
        <w:t>条</w:t>
      </w:r>
      <w:r>
        <w:rPr>
          <w:rFonts w:hint="eastAsia" w:ascii="华文仿宋" w:hAnsi="华文仿宋" w:eastAsia="华文仿宋" w:cs="华文仿宋"/>
          <w:sz w:val="28"/>
          <w:szCs w:val="28"/>
          <w:lang w:eastAsia="zh-CN"/>
        </w:rPr>
        <w:t>，打印机更换硒鼓耗材</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lang w:eastAsia="zh-CN"/>
        </w:rPr>
        <w:t>配件</w:t>
      </w:r>
      <w:r>
        <w:rPr>
          <w:rFonts w:hint="eastAsia" w:ascii="华文仿宋" w:hAnsi="华文仿宋" w:eastAsia="华文仿宋" w:cs="华文仿宋"/>
          <w:sz w:val="28"/>
          <w:szCs w:val="28"/>
          <w:lang w:val="en-US" w:eastAsia="zh-CN"/>
        </w:rPr>
        <w:t>21条等。</w:t>
      </w:r>
    </w:p>
    <w:p>
      <w:pPr>
        <w:ind w:left="0" w:leftChars="0" w:firstLine="240" w:firstLineChars="100"/>
      </w:pPr>
      <w:r>
        <w:drawing>
          <wp:inline distT="0" distB="0" distL="114300" distR="114300">
            <wp:extent cx="6477000" cy="3986530"/>
            <wp:effectExtent l="4445" t="4445" r="14605" b="9525"/>
            <wp:docPr id="2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firstLine="560"/>
        <w:rPr>
          <w:rFonts w:hint="eastAsia" w:ascii="华文仿宋" w:hAnsi="华文仿宋" w:eastAsia="华文仿宋" w:cs="华文仿宋"/>
          <w:sz w:val="28"/>
          <w:szCs w:val="28"/>
        </w:rPr>
      </w:pPr>
      <w:r>
        <w:rPr>
          <w:rFonts w:hint="eastAsia" w:ascii="华文仿宋" w:hAnsi="华文仿宋" w:eastAsia="华文仿宋" w:cs="华文仿宋"/>
          <w:sz w:val="28"/>
          <w:szCs w:val="28"/>
        </w:rPr>
        <w:t>故障原因比较集中</w:t>
      </w:r>
      <w:r>
        <w:rPr>
          <w:rFonts w:hint="eastAsia" w:ascii="华文仿宋" w:hAnsi="华文仿宋" w:eastAsia="华文仿宋" w:cs="华文仿宋"/>
          <w:sz w:val="28"/>
          <w:szCs w:val="28"/>
          <w:lang w:eastAsia="zh-CN"/>
        </w:rPr>
        <w:t>或突增相同事件的</w:t>
      </w:r>
      <w:r>
        <w:rPr>
          <w:rFonts w:hint="eastAsia" w:ascii="华文仿宋" w:hAnsi="华文仿宋" w:eastAsia="华文仿宋" w:cs="华文仿宋"/>
          <w:sz w:val="28"/>
          <w:szCs w:val="28"/>
        </w:rPr>
        <w:t>的申告情况</w:t>
      </w:r>
      <w:r>
        <w:rPr>
          <w:rFonts w:hint="eastAsia" w:ascii="华文仿宋" w:hAnsi="华文仿宋" w:eastAsia="华文仿宋" w:cs="华文仿宋"/>
          <w:sz w:val="28"/>
          <w:szCs w:val="28"/>
          <w:lang w:eastAsia="zh-CN"/>
        </w:rPr>
        <w:t>如下</w:t>
      </w:r>
      <w:r>
        <w:rPr>
          <w:rFonts w:hint="eastAsia" w:ascii="华文仿宋" w:hAnsi="华文仿宋" w:eastAsia="华文仿宋" w:cs="华文仿宋"/>
          <w:sz w:val="28"/>
          <w:szCs w:val="28"/>
        </w:rPr>
        <w:t>：</w:t>
      </w:r>
    </w:p>
    <w:p>
      <w:pPr>
        <w:pStyle w:val="2"/>
        <w:numPr>
          <w:ilvl w:val="0"/>
          <w:numId w:val="12"/>
        </w:numPr>
        <w:spacing w:before="60" w:after="60"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因INODE密码</w:t>
      </w:r>
      <w:r>
        <w:rPr>
          <w:rFonts w:hint="eastAsia" w:ascii="华文仿宋" w:hAnsi="华文仿宋" w:eastAsia="华文仿宋" w:cs="华文仿宋"/>
          <w:sz w:val="28"/>
          <w:szCs w:val="28"/>
          <w:lang w:eastAsia="zh-CN"/>
        </w:rPr>
        <w:t>、需安装、调试</w:t>
      </w:r>
      <w:r>
        <w:rPr>
          <w:rFonts w:hint="eastAsia" w:ascii="华文仿宋" w:hAnsi="华文仿宋" w:eastAsia="华文仿宋" w:cs="华文仿宋"/>
          <w:sz w:val="28"/>
          <w:szCs w:val="28"/>
          <w:lang w:val="en-US" w:eastAsia="zh-CN"/>
        </w:rPr>
        <w:t>iNode客户端及</w:t>
      </w:r>
      <w:r>
        <w:rPr>
          <w:rFonts w:hint="eastAsia" w:ascii="华文仿宋" w:hAnsi="华文仿宋" w:eastAsia="华文仿宋" w:cs="华文仿宋"/>
          <w:sz w:val="28"/>
          <w:szCs w:val="28"/>
        </w:rPr>
        <w:t>版本</w:t>
      </w:r>
      <w:r>
        <w:rPr>
          <w:rFonts w:hint="eastAsia" w:ascii="华文仿宋" w:hAnsi="华文仿宋" w:eastAsia="华文仿宋" w:cs="华文仿宋"/>
          <w:sz w:val="28"/>
          <w:szCs w:val="28"/>
          <w:lang w:eastAsia="zh-CN"/>
        </w:rPr>
        <w:t>问题</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无法正常联网</w:t>
      </w:r>
      <w:r>
        <w:rPr>
          <w:rFonts w:hint="eastAsia" w:ascii="华文仿宋" w:hAnsi="华文仿宋" w:eastAsia="华文仿宋" w:cs="华文仿宋"/>
          <w:sz w:val="28"/>
          <w:szCs w:val="28"/>
        </w:rPr>
        <w:t>申告共</w:t>
      </w:r>
      <w:r>
        <w:rPr>
          <w:rFonts w:hint="eastAsia" w:ascii="华文仿宋" w:hAnsi="华文仿宋" w:eastAsia="华文仿宋" w:cs="华文仿宋"/>
          <w:sz w:val="28"/>
          <w:szCs w:val="28"/>
          <w:lang w:val="en-US" w:eastAsia="zh-CN"/>
        </w:rPr>
        <w:t>18</w:t>
      </w:r>
      <w:r>
        <w:rPr>
          <w:rFonts w:hint="eastAsia" w:ascii="华文仿宋" w:hAnsi="华文仿宋" w:eastAsia="华文仿宋" w:cs="华文仿宋"/>
          <w:sz w:val="28"/>
          <w:szCs w:val="28"/>
        </w:rPr>
        <w:t>宗</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WiFi联网问题1宗，iNode密码账号调试1宗。</w:t>
      </w:r>
    </w:p>
    <w:p>
      <w:pPr>
        <w:pStyle w:val="2"/>
        <w:numPr>
          <w:ilvl w:val="0"/>
          <w:numId w:val="12"/>
        </w:numPr>
        <w:spacing w:before="60" w:after="60"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电脑</w:t>
      </w:r>
      <w:r>
        <w:rPr>
          <w:rFonts w:hint="eastAsia" w:ascii="华文仿宋" w:hAnsi="华文仿宋" w:eastAsia="华文仿宋" w:cs="华文仿宋"/>
          <w:sz w:val="28"/>
          <w:szCs w:val="28"/>
          <w:lang w:eastAsia="zh-CN"/>
        </w:rPr>
        <w:t>蓝屏</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rPr>
        <w:t>操作系统故障</w:t>
      </w:r>
      <w:r>
        <w:rPr>
          <w:rFonts w:hint="eastAsia" w:ascii="华文仿宋" w:hAnsi="华文仿宋" w:eastAsia="华文仿宋" w:cs="华文仿宋"/>
          <w:sz w:val="28"/>
          <w:szCs w:val="28"/>
          <w:lang w:val="en-US" w:eastAsia="zh-CN"/>
        </w:rPr>
        <w:t>20宗，</w:t>
      </w:r>
      <w:r>
        <w:rPr>
          <w:rFonts w:hint="eastAsia" w:ascii="华文仿宋" w:hAnsi="华文仿宋" w:eastAsia="华文仿宋" w:cs="华文仿宋"/>
          <w:sz w:val="28"/>
          <w:szCs w:val="28"/>
          <w:lang w:eastAsia="zh-CN"/>
        </w:rPr>
        <w:t>电脑开机问题</w:t>
      </w:r>
      <w:r>
        <w:rPr>
          <w:rFonts w:hint="eastAsia" w:ascii="华文仿宋" w:hAnsi="华文仿宋" w:eastAsia="华文仿宋" w:cs="华文仿宋"/>
          <w:sz w:val="28"/>
          <w:szCs w:val="28"/>
        </w:rPr>
        <w:t>申告</w:t>
      </w:r>
      <w:r>
        <w:rPr>
          <w:rFonts w:hint="eastAsia" w:ascii="华文仿宋" w:hAnsi="华文仿宋" w:eastAsia="华文仿宋" w:cs="华文仿宋"/>
          <w:sz w:val="28"/>
          <w:szCs w:val="28"/>
          <w:lang w:val="en-US" w:eastAsia="zh-CN"/>
        </w:rPr>
        <w:t>19</w:t>
      </w:r>
      <w:r>
        <w:rPr>
          <w:rFonts w:hint="eastAsia" w:ascii="华文仿宋" w:hAnsi="华文仿宋" w:eastAsia="华文仿宋" w:cs="华文仿宋"/>
          <w:sz w:val="28"/>
          <w:szCs w:val="28"/>
        </w:rPr>
        <w:t>宗，电脑无法连接打印机或扫描仪</w:t>
      </w:r>
      <w:r>
        <w:rPr>
          <w:rFonts w:hint="eastAsia" w:ascii="华文仿宋" w:hAnsi="华文仿宋" w:eastAsia="华文仿宋" w:cs="华文仿宋"/>
          <w:sz w:val="28"/>
          <w:szCs w:val="28"/>
          <w:lang w:eastAsia="zh-CN"/>
        </w:rPr>
        <w:t>等设备、</w:t>
      </w:r>
      <w:r>
        <w:rPr>
          <w:rFonts w:hint="eastAsia" w:ascii="华文仿宋" w:hAnsi="华文仿宋" w:eastAsia="华文仿宋" w:cs="华文仿宋"/>
          <w:sz w:val="28"/>
          <w:szCs w:val="28"/>
        </w:rPr>
        <w:t>需安装打印机</w:t>
      </w:r>
      <w:r>
        <w:rPr>
          <w:rFonts w:hint="eastAsia" w:ascii="华文仿宋" w:hAnsi="华文仿宋" w:eastAsia="华文仿宋" w:cs="华文仿宋"/>
          <w:sz w:val="28"/>
          <w:szCs w:val="28"/>
          <w:lang w:eastAsia="zh-CN"/>
        </w:rPr>
        <w:t>扫描仪</w:t>
      </w:r>
      <w:r>
        <w:rPr>
          <w:rFonts w:hint="eastAsia" w:ascii="华文仿宋" w:hAnsi="华文仿宋" w:eastAsia="华文仿宋" w:cs="华文仿宋"/>
          <w:sz w:val="28"/>
          <w:szCs w:val="28"/>
        </w:rPr>
        <w:t>驱动的申告</w:t>
      </w:r>
      <w:r>
        <w:rPr>
          <w:rFonts w:hint="eastAsia" w:ascii="华文仿宋" w:hAnsi="华文仿宋" w:eastAsia="华文仿宋" w:cs="华文仿宋"/>
          <w:sz w:val="28"/>
          <w:szCs w:val="28"/>
          <w:lang w:val="en-US" w:eastAsia="zh-CN"/>
        </w:rPr>
        <w:t>22</w:t>
      </w:r>
      <w:r>
        <w:rPr>
          <w:rFonts w:hint="eastAsia" w:ascii="华文仿宋" w:hAnsi="华文仿宋" w:eastAsia="华文仿宋" w:cs="华文仿宋"/>
          <w:sz w:val="28"/>
          <w:szCs w:val="28"/>
        </w:rPr>
        <w:t>宗，电脑</w:t>
      </w:r>
      <w:r>
        <w:rPr>
          <w:rFonts w:hint="eastAsia" w:ascii="华文仿宋" w:hAnsi="华文仿宋" w:eastAsia="华文仿宋" w:cs="华文仿宋"/>
          <w:sz w:val="28"/>
          <w:szCs w:val="28"/>
          <w:lang w:eastAsia="zh-CN"/>
        </w:rPr>
        <w:t>主机</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rPr>
        <w:t>显示屏等硬件问题的申告</w:t>
      </w:r>
      <w:r>
        <w:rPr>
          <w:rFonts w:hint="eastAsia" w:ascii="华文仿宋" w:hAnsi="华文仿宋" w:eastAsia="华文仿宋" w:cs="华文仿宋"/>
          <w:sz w:val="28"/>
          <w:szCs w:val="28"/>
          <w:lang w:val="en-US" w:eastAsia="zh-CN"/>
        </w:rPr>
        <w:t>37</w:t>
      </w:r>
      <w:r>
        <w:rPr>
          <w:rFonts w:hint="eastAsia" w:ascii="华文仿宋" w:hAnsi="华文仿宋" w:eastAsia="华文仿宋" w:cs="华文仿宋"/>
          <w:sz w:val="28"/>
          <w:szCs w:val="28"/>
        </w:rPr>
        <w:t>宗，经处理后</w:t>
      </w:r>
      <w:r>
        <w:rPr>
          <w:rFonts w:hint="eastAsia" w:ascii="华文仿宋" w:hAnsi="华文仿宋" w:eastAsia="华文仿宋" w:cs="华文仿宋"/>
          <w:sz w:val="28"/>
          <w:szCs w:val="28"/>
          <w:lang w:eastAsia="zh-CN"/>
        </w:rPr>
        <w:t>使用</w:t>
      </w:r>
      <w:r>
        <w:rPr>
          <w:rFonts w:hint="eastAsia" w:ascii="华文仿宋" w:hAnsi="华文仿宋" w:eastAsia="华文仿宋" w:cs="华文仿宋"/>
          <w:sz w:val="28"/>
          <w:szCs w:val="28"/>
        </w:rPr>
        <w:t>正常。</w:t>
      </w:r>
    </w:p>
    <w:p>
      <w:pPr>
        <w:pStyle w:val="2"/>
        <w:numPr>
          <w:ilvl w:val="0"/>
          <w:numId w:val="12"/>
        </w:numPr>
        <w:spacing w:before="60" w:after="60"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域控账号被锁</w:t>
      </w:r>
      <w:r>
        <w:rPr>
          <w:rFonts w:hint="eastAsia" w:ascii="华文仿宋" w:hAnsi="华文仿宋" w:eastAsia="华文仿宋" w:cs="华文仿宋"/>
          <w:sz w:val="28"/>
          <w:szCs w:val="28"/>
          <w:lang w:eastAsia="zh-CN"/>
        </w:rPr>
        <w:t>、添加域</w:t>
      </w:r>
      <w:r>
        <w:rPr>
          <w:rFonts w:hint="eastAsia" w:ascii="华文仿宋" w:hAnsi="华文仿宋" w:eastAsia="华文仿宋" w:cs="华文仿宋"/>
          <w:sz w:val="28"/>
          <w:szCs w:val="28"/>
        </w:rPr>
        <w:t>及</w:t>
      </w:r>
      <w:r>
        <w:rPr>
          <w:rFonts w:hint="eastAsia" w:ascii="华文仿宋" w:hAnsi="华文仿宋" w:eastAsia="华文仿宋" w:cs="华文仿宋"/>
          <w:sz w:val="28"/>
          <w:szCs w:val="28"/>
          <w:lang w:eastAsia="zh-CN"/>
        </w:rPr>
        <w:t>其</w:t>
      </w:r>
      <w:r>
        <w:rPr>
          <w:rFonts w:hint="eastAsia" w:ascii="华文仿宋" w:hAnsi="华文仿宋" w:eastAsia="华文仿宋" w:cs="华文仿宋"/>
          <w:sz w:val="28"/>
          <w:szCs w:val="28"/>
        </w:rPr>
        <w:t>密码问题的申告</w:t>
      </w:r>
      <w:r>
        <w:rPr>
          <w:rFonts w:hint="eastAsia" w:ascii="华文仿宋" w:hAnsi="华文仿宋" w:eastAsia="华文仿宋" w:cs="华文仿宋"/>
          <w:sz w:val="28"/>
          <w:szCs w:val="28"/>
          <w:lang w:val="en-US" w:eastAsia="zh-CN"/>
        </w:rPr>
        <w:t>25</w:t>
      </w:r>
      <w:r>
        <w:rPr>
          <w:rFonts w:hint="eastAsia" w:ascii="华文仿宋" w:hAnsi="华文仿宋" w:eastAsia="华文仿宋" w:cs="华文仿宋"/>
          <w:sz w:val="28"/>
          <w:szCs w:val="28"/>
        </w:rPr>
        <w:t>宗，</w:t>
      </w:r>
      <w:r>
        <w:rPr>
          <w:rFonts w:hint="eastAsia" w:ascii="华文仿宋" w:hAnsi="华文仿宋" w:eastAsia="华文仿宋" w:cs="华文仿宋"/>
          <w:sz w:val="28"/>
          <w:szCs w:val="28"/>
          <w:lang w:eastAsia="zh-CN"/>
        </w:rPr>
        <w:t>解锁</w:t>
      </w:r>
      <w:r>
        <w:rPr>
          <w:rFonts w:hint="eastAsia" w:ascii="华文仿宋" w:hAnsi="华文仿宋" w:eastAsia="华文仿宋" w:cs="华文仿宋"/>
          <w:sz w:val="28"/>
          <w:szCs w:val="28"/>
          <w:lang w:val="en-US" w:eastAsia="zh-CN"/>
        </w:rPr>
        <w:t>ukey/ukey证书问题申告2宗，</w:t>
      </w:r>
      <w:r>
        <w:rPr>
          <w:rFonts w:hint="eastAsia" w:ascii="华文仿宋" w:hAnsi="华文仿宋" w:eastAsia="华文仿宋" w:cs="华文仿宋"/>
          <w:sz w:val="28"/>
          <w:szCs w:val="28"/>
        </w:rPr>
        <w:t>经解锁账号和重置密码后恢复使用</w:t>
      </w:r>
      <w:r>
        <w:rPr>
          <w:rFonts w:hint="eastAsia" w:ascii="华文仿宋" w:hAnsi="华文仿宋" w:eastAsia="华文仿宋" w:cs="华文仿宋"/>
          <w:sz w:val="28"/>
          <w:szCs w:val="28"/>
          <w:lang w:eastAsia="zh-CN"/>
        </w:rPr>
        <w:t>。</w:t>
      </w:r>
    </w:p>
    <w:p>
      <w:pPr>
        <w:pStyle w:val="2"/>
        <w:numPr>
          <w:ilvl w:val="0"/>
          <w:numId w:val="12"/>
        </w:numPr>
        <w:spacing w:before="60" w:after="60"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因部门调动或办公场所调整而需搬迁</w:t>
      </w:r>
      <w:r>
        <w:rPr>
          <w:rFonts w:hint="eastAsia" w:ascii="华文仿宋" w:hAnsi="华文仿宋" w:eastAsia="华文仿宋" w:cs="华文仿宋"/>
          <w:sz w:val="28"/>
          <w:szCs w:val="28"/>
          <w:lang w:eastAsia="zh-CN"/>
        </w:rPr>
        <w:t>、拆卸、回收</w:t>
      </w:r>
      <w:r>
        <w:rPr>
          <w:rFonts w:hint="eastAsia" w:ascii="华文仿宋" w:hAnsi="华文仿宋" w:eastAsia="华文仿宋" w:cs="华文仿宋"/>
          <w:sz w:val="28"/>
          <w:szCs w:val="28"/>
        </w:rPr>
        <w:t>及安装</w:t>
      </w:r>
      <w:r>
        <w:rPr>
          <w:rFonts w:hint="eastAsia" w:ascii="华文仿宋" w:hAnsi="华文仿宋" w:eastAsia="华文仿宋" w:cs="华文仿宋"/>
          <w:sz w:val="28"/>
          <w:szCs w:val="28"/>
          <w:lang w:eastAsia="zh-CN"/>
        </w:rPr>
        <w:t>显示器</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rPr>
        <w:t>电脑的申告</w:t>
      </w:r>
      <w:r>
        <w:rPr>
          <w:rFonts w:hint="eastAsia" w:ascii="华文仿宋" w:hAnsi="华文仿宋" w:eastAsia="华文仿宋" w:cs="华文仿宋"/>
          <w:sz w:val="28"/>
          <w:szCs w:val="28"/>
          <w:lang w:val="en-US" w:eastAsia="zh-CN"/>
        </w:rPr>
        <w:t xml:space="preserve">8   </w:t>
      </w:r>
      <w:r>
        <w:rPr>
          <w:rFonts w:hint="eastAsia" w:ascii="华文仿宋" w:hAnsi="华文仿宋" w:eastAsia="华文仿宋" w:cs="华文仿宋"/>
          <w:sz w:val="28"/>
          <w:szCs w:val="28"/>
        </w:rPr>
        <w:t>宗。</w:t>
      </w:r>
    </w:p>
    <w:p>
      <w:pPr>
        <w:pStyle w:val="5"/>
        <w:numPr>
          <w:ilvl w:val="0"/>
          <w:numId w:val="11"/>
        </w:numPr>
        <w:spacing w:before="156" w:after="156"/>
        <w:ind w:left="425" w:hanging="425"/>
        <w:rPr>
          <w:rFonts w:hint="eastAsia"/>
          <w:sz w:val="28"/>
          <w:szCs w:val="28"/>
        </w:rPr>
      </w:pPr>
      <w:r>
        <w:rPr>
          <w:rFonts w:hint="eastAsia"/>
          <w:sz w:val="28"/>
          <w:szCs w:val="28"/>
        </w:rPr>
        <w:t>办公协同服务</w:t>
      </w:r>
    </w:p>
    <w:p>
      <w:pPr>
        <w:ind w:left="240" w:leftChars="100" w:firstLine="280" w:firstLineChars="100"/>
        <w:rPr>
          <w:sz w:val="28"/>
          <w:szCs w:val="28"/>
        </w:rPr>
      </w:pPr>
      <w:r>
        <w:rPr>
          <w:rFonts w:hint="eastAsia"/>
          <w:sz w:val="28"/>
          <w:szCs w:val="28"/>
        </w:rPr>
        <w:t xml:space="preserve">  </w:t>
      </w:r>
      <w:r>
        <w:rPr>
          <w:rFonts w:hint="eastAsia" w:ascii="华文仿宋" w:hAnsi="华文仿宋" w:eastAsia="华文仿宋" w:cs="华文仿宋"/>
          <w:sz w:val="28"/>
          <w:szCs w:val="28"/>
        </w:rPr>
        <w:t>本月共建办公协同服务工单</w:t>
      </w:r>
      <w:r>
        <w:rPr>
          <w:rFonts w:hint="eastAsia" w:ascii="华文仿宋" w:hAnsi="华文仿宋" w:eastAsia="华文仿宋" w:cs="华文仿宋"/>
          <w:sz w:val="28"/>
          <w:szCs w:val="28"/>
          <w:lang w:eastAsia="zh-CN"/>
        </w:rPr>
        <w:t>共</w:t>
      </w:r>
      <w:r>
        <w:rPr>
          <w:rFonts w:hint="eastAsia" w:ascii="华文仿宋" w:hAnsi="华文仿宋" w:eastAsia="华文仿宋" w:cs="华文仿宋"/>
          <w:sz w:val="28"/>
          <w:szCs w:val="28"/>
          <w:lang w:val="en-US" w:eastAsia="zh-CN"/>
        </w:rPr>
        <w:t>801</w:t>
      </w:r>
      <w:r>
        <w:rPr>
          <w:rFonts w:hint="eastAsia" w:ascii="华文仿宋" w:hAnsi="华文仿宋" w:eastAsia="华文仿宋" w:cs="华文仿宋"/>
          <w:sz w:val="28"/>
          <w:szCs w:val="28"/>
        </w:rPr>
        <w:t>条，其中</w:t>
      </w:r>
      <w:r>
        <w:rPr>
          <w:rFonts w:hint="eastAsia" w:ascii="华文仿宋" w:hAnsi="华文仿宋" w:eastAsia="华文仿宋" w:cs="华文仿宋"/>
          <w:sz w:val="28"/>
          <w:szCs w:val="28"/>
          <w:lang w:eastAsia="zh-CN"/>
        </w:rPr>
        <w:t>公司</w:t>
      </w:r>
      <w:r>
        <w:rPr>
          <w:rFonts w:hint="eastAsia" w:ascii="华文仿宋" w:hAnsi="华文仿宋" w:eastAsia="华文仿宋" w:cs="华文仿宋"/>
          <w:sz w:val="28"/>
          <w:szCs w:val="28"/>
        </w:rPr>
        <w:t>本部</w:t>
      </w:r>
      <w:r>
        <w:rPr>
          <w:rFonts w:hint="eastAsia" w:ascii="华文仿宋" w:hAnsi="华文仿宋" w:eastAsia="华文仿宋" w:cs="华文仿宋"/>
          <w:sz w:val="28"/>
          <w:szCs w:val="28"/>
          <w:lang w:val="en-US" w:eastAsia="zh-CN"/>
        </w:rPr>
        <w:t>699</w:t>
      </w:r>
      <w:r>
        <w:rPr>
          <w:rFonts w:hint="eastAsia" w:ascii="华文仿宋" w:hAnsi="华文仿宋" w:eastAsia="华文仿宋" w:cs="华文仿宋"/>
          <w:sz w:val="28"/>
          <w:szCs w:val="28"/>
        </w:rPr>
        <w:t>条，广州</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74</w:t>
      </w:r>
      <w:r>
        <w:rPr>
          <w:rFonts w:hint="eastAsia" w:ascii="华文仿宋" w:hAnsi="华文仿宋" w:eastAsia="华文仿宋" w:cs="华文仿宋"/>
          <w:sz w:val="28"/>
          <w:szCs w:val="28"/>
        </w:rPr>
        <w:t>条，韶关</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及湛江厂皆0条，梅州厂28条。</w:t>
      </w:r>
    </w:p>
    <w:p>
      <w:pPr>
        <w:ind w:firstLine="480"/>
        <w:jc w:val="center"/>
        <w:rPr>
          <w:rFonts w:hint="eastAsia"/>
          <w:lang w:eastAsia="zh-CN"/>
        </w:rPr>
      </w:pPr>
      <w:r>
        <w:drawing>
          <wp:inline distT="0" distB="0" distL="114300" distR="114300">
            <wp:extent cx="4838700" cy="2903220"/>
            <wp:effectExtent l="4445" t="4445" r="14605" b="6985"/>
            <wp:docPr id="2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eastAsia"/>
        </w:rPr>
        <w:t xml:space="preserve"> </w:t>
      </w:r>
    </w:p>
    <w:p>
      <w:pPr>
        <w:ind w:left="240" w:leftChars="100" w:firstLine="560" w:firstLineChars="20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eastAsia="zh-CN"/>
        </w:rPr>
        <w:t>主要</w:t>
      </w:r>
      <w:r>
        <w:rPr>
          <w:rFonts w:hint="eastAsia" w:ascii="华文仿宋" w:hAnsi="华文仿宋" w:eastAsia="华文仿宋" w:cs="华文仿宋"/>
          <w:sz w:val="28"/>
          <w:szCs w:val="28"/>
        </w:rPr>
        <w:t>内容：协同软件的</w:t>
      </w:r>
      <w:r>
        <w:rPr>
          <w:rFonts w:hint="eastAsia" w:ascii="华文仿宋" w:hAnsi="华文仿宋" w:eastAsia="华文仿宋" w:cs="华文仿宋"/>
          <w:sz w:val="28"/>
          <w:szCs w:val="28"/>
          <w:lang w:eastAsia="zh-CN"/>
        </w:rPr>
        <w:t>咨询类及转协同</w:t>
      </w:r>
      <w:r>
        <w:rPr>
          <w:rFonts w:hint="eastAsia" w:ascii="华文仿宋" w:hAnsi="华文仿宋" w:eastAsia="华文仿宋" w:cs="华文仿宋"/>
          <w:sz w:val="28"/>
          <w:szCs w:val="28"/>
        </w:rPr>
        <w:t>问题</w:t>
      </w:r>
      <w:r>
        <w:rPr>
          <w:rFonts w:hint="eastAsia" w:ascii="华文仿宋" w:hAnsi="华文仿宋" w:eastAsia="华文仿宋" w:cs="华文仿宋"/>
          <w:sz w:val="28"/>
          <w:szCs w:val="28"/>
          <w:lang w:val="en-US" w:eastAsia="zh-CN"/>
        </w:rPr>
        <w:t>251</w:t>
      </w:r>
      <w:r>
        <w:rPr>
          <w:rFonts w:hint="eastAsia" w:ascii="华文仿宋" w:hAnsi="华文仿宋" w:eastAsia="华文仿宋" w:cs="华文仿宋"/>
          <w:sz w:val="28"/>
          <w:szCs w:val="28"/>
        </w:rPr>
        <w:t>条；</w:t>
      </w:r>
      <w:r>
        <w:rPr>
          <w:rFonts w:hint="eastAsia" w:ascii="华文仿宋" w:hAnsi="华文仿宋" w:eastAsia="华文仿宋" w:cs="华文仿宋"/>
          <w:sz w:val="28"/>
          <w:szCs w:val="28"/>
          <w:lang w:eastAsia="zh-CN"/>
        </w:rPr>
        <w:t>授权修改</w:t>
      </w:r>
      <w:r>
        <w:rPr>
          <w:rFonts w:hint="eastAsia" w:ascii="华文仿宋" w:hAnsi="华文仿宋" w:eastAsia="华文仿宋" w:cs="华文仿宋"/>
          <w:sz w:val="28"/>
          <w:szCs w:val="28"/>
          <w:lang w:val="en-US" w:eastAsia="zh-CN"/>
        </w:rPr>
        <w:t>/协助</w:t>
      </w:r>
      <w:r>
        <w:rPr>
          <w:rFonts w:hint="eastAsia" w:ascii="华文仿宋" w:hAnsi="华文仿宋" w:eastAsia="华文仿宋" w:cs="华文仿宋"/>
          <w:sz w:val="28"/>
          <w:szCs w:val="28"/>
          <w:lang w:eastAsia="zh-CN"/>
        </w:rPr>
        <w:t>修改</w:t>
      </w:r>
      <w:r>
        <w:rPr>
          <w:rFonts w:hint="eastAsia" w:ascii="华文仿宋" w:hAnsi="华文仿宋" w:eastAsia="华文仿宋" w:cs="华文仿宋"/>
          <w:sz w:val="28"/>
          <w:szCs w:val="28"/>
          <w:lang w:val="en-US" w:eastAsia="zh-CN"/>
        </w:rPr>
        <w:t>/删除类</w:t>
      </w:r>
      <w:r>
        <w:rPr>
          <w:rFonts w:hint="eastAsia" w:ascii="华文仿宋" w:hAnsi="华文仿宋" w:eastAsia="华文仿宋" w:cs="华文仿宋"/>
          <w:sz w:val="28"/>
          <w:szCs w:val="28"/>
          <w:lang w:eastAsia="zh-CN"/>
        </w:rPr>
        <w:t>工单共</w:t>
      </w:r>
      <w:r>
        <w:rPr>
          <w:rFonts w:hint="eastAsia" w:ascii="华文仿宋" w:hAnsi="华文仿宋" w:eastAsia="华文仿宋" w:cs="华文仿宋"/>
          <w:sz w:val="28"/>
          <w:szCs w:val="28"/>
          <w:lang w:val="en-US" w:eastAsia="zh-CN"/>
        </w:rPr>
        <w:t>237条；开/关权限问题70条，协同增加特殊步骤/退回步骤问题38条；协同发送提示错问题5条；账号锁定同步密码登录问题6条。</w:t>
      </w:r>
    </w:p>
    <w:p>
      <w:pPr>
        <w:ind w:left="240" w:leftChars="100" w:firstLine="560"/>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rPr>
        <w:t>申告内容以</w:t>
      </w:r>
      <w:r>
        <w:rPr>
          <w:rFonts w:hint="eastAsia" w:ascii="华文仿宋" w:hAnsi="华文仿宋" w:eastAsia="华文仿宋" w:cs="华文仿宋"/>
          <w:sz w:val="28"/>
          <w:szCs w:val="28"/>
          <w:lang w:eastAsia="zh-CN"/>
        </w:rPr>
        <w:t>咨询协助，授权修改</w:t>
      </w:r>
      <w:r>
        <w:rPr>
          <w:rFonts w:hint="eastAsia" w:ascii="华文仿宋" w:hAnsi="华文仿宋" w:eastAsia="华文仿宋" w:cs="华文仿宋"/>
          <w:sz w:val="28"/>
          <w:szCs w:val="28"/>
          <w:lang w:val="en-US" w:eastAsia="zh-CN"/>
        </w:rPr>
        <w:t>/</w:t>
      </w:r>
      <w:r>
        <w:rPr>
          <w:rFonts w:hint="eastAsia" w:ascii="华文仿宋" w:hAnsi="华文仿宋" w:eastAsia="华文仿宋" w:cs="华文仿宋"/>
          <w:sz w:val="28"/>
          <w:szCs w:val="28"/>
          <w:lang w:eastAsia="zh-CN"/>
        </w:rPr>
        <w:t>权限开通或关闭、协同账号密码问题、修改数据维护</w:t>
      </w:r>
      <w:r>
        <w:rPr>
          <w:rFonts w:hint="eastAsia" w:ascii="华文仿宋" w:hAnsi="华文仿宋" w:eastAsia="华文仿宋" w:cs="华文仿宋"/>
          <w:sz w:val="28"/>
          <w:szCs w:val="28"/>
        </w:rPr>
        <w:t>为主</w:t>
      </w:r>
      <w:r>
        <w:rPr>
          <w:rFonts w:hint="eastAsia" w:ascii="华文仿宋" w:hAnsi="华文仿宋" w:eastAsia="华文仿宋" w:cs="华文仿宋"/>
          <w:sz w:val="28"/>
          <w:szCs w:val="28"/>
          <w:lang w:eastAsia="zh-CN"/>
        </w:rPr>
        <w:t>。</w:t>
      </w:r>
    </w:p>
    <w:p>
      <w:pPr>
        <w:pStyle w:val="5"/>
        <w:numPr>
          <w:ilvl w:val="0"/>
          <w:numId w:val="11"/>
        </w:numPr>
        <w:spacing w:before="156" w:after="156"/>
        <w:ind w:left="425" w:hanging="425"/>
        <w:rPr>
          <w:rFonts w:hint="eastAsia"/>
          <w:sz w:val="28"/>
          <w:szCs w:val="28"/>
        </w:rPr>
      </w:pPr>
      <w:r>
        <w:rPr>
          <w:rFonts w:hint="eastAsia"/>
          <w:sz w:val="28"/>
          <w:szCs w:val="28"/>
        </w:rPr>
        <w:t>综合项目管理平台</w:t>
      </w:r>
    </w:p>
    <w:p>
      <w:pPr>
        <w:ind w:left="278" w:leftChars="116" w:firstLine="560" w:firstLineChars="200"/>
        <w:rPr>
          <w:sz w:val="28"/>
          <w:szCs w:val="28"/>
        </w:rPr>
      </w:pPr>
      <w:r>
        <w:rPr>
          <w:rFonts w:hint="eastAsia" w:ascii="华文仿宋" w:hAnsi="华文仿宋" w:eastAsia="华文仿宋" w:cs="华文仿宋"/>
          <w:sz w:val="28"/>
          <w:szCs w:val="28"/>
        </w:rPr>
        <w:t>本月共建综合项目管理平台的工单</w:t>
      </w:r>
      <w:r>
        <w:rPr>
          <w:rFonts w:hint="eastAsia" w:ascii="华文仿宋" w:hAnsi="华文仿宋" w:eastAsia="华文仿宋" w:cs="华文仿宋"/>
          <w:sz w:val="28"/>
          <w:szCs w:val="28"/>
          <w:lang w:eastAsia="zh-CN"/>
        </w:rPr>
        <w:t>共</w:t>
      </w:r>
      <w:r>
        <w:rPr>
          <w:rFonts w:hint="eastAsia" w:ascii="华文仿宋" w:hAnsi="华文仿宋" w:eastAsia="华文仿宋" w:cs="华文仿宋"/>
          <w:sz w:val="28"/>
          <w:szCs w:val="28"/>
          <w:lang w:val="en-US" w:eastAsia="zh-CN"/>
        </w:rPr>
        <w:t>264</w:t>
      </w:r>
      <w:r>
        <w:rPr>
          <w:rFonts w:hint="eastAsia" w:ascii="华文仿宋" w:hAnsi="华文仿宋" w:eastAsia="华文仿宋" w:cs="华文仿宋"/>
          <w:sz w:val="28"/>
          <w:szCs w:val="28"/>
        </w:rPr>
        <w:t>条，其中本部</w:t>
      </w:r>
      <w:r>
        <w:rPr>
          <w:rFonts w:hint="eastAsia" w:ascii="华文仿宋" w:hAnsi="华文仿宋" w:eastAsia="华文仿宋" w:cs="华文仿宋"/>
          <w:sz w:val="28"/>
          <w:szCs w:val="28"/>
          <w:lang w:val="en-US" w:eastAsia="zh-CN"/>
        </w:rPr>
        <w:t>138</w:t>
      </w:r>
      <w:r>
        <w:rPr>
          <w:rFonts w:hint="eastAsia" w:ascii="华文仿宋" w:hAnsi="华文仿宋" w:eastAsia="华文仿宋" w:cs="华文仿宋"/>
          <w:sz w:val="28"/>
          <w:szCs w:val="28"/>
        </w:rPr>
        <w:t>条，广州</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55</w:t>
      </w:r>
      <w:r>
        <w:rPr>
          <w:rFonts w:hint="eastAsia" w:ascii="华文仿宋" w:hAnsi="华文仿宋" w:eastAsia="华文仿宋" w:cs="华文仿宋"/>
          <w:sz w:val="28"/>
          <w:szCs w:val="28"/>
        </w:rPr>
        <w:t>条，韶关</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11</w:t>
      </w:r>
      <w:r>
        <w:rPr>
          <w:rFonts w:hint="eastAsia" w:ascii="华文仿宋" w:hAnsi="华文仿宋" w:eastAsia="华文仿宋" w:cs="华文仿宋"/>
          <w:sz w:val="28"/>
          <w:szCs w:val="28"/>
        </w:rPr>
        <w:t>条，梅州</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14</w:t>
      </w:r>
      <w:r>
        <w:rPr>
          <w:rFonts w:hint="eastAsia" w:ascii="华文仿宋" w:hAnsi="华文仿宋" w:eastAsia="华文仿宋" w:cs="华文仿宋"/>
          <w:sz w:val="28"/>
          <w:szCs w:val="28"/>
        </w:rPr>
        <w:t>条，湛江</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46</w:t>
      </w:r>
      <w:r>
        <w:rPr>
          <w:rFonts w:hint="eastAsia" w:ascii="华文仿宋" w:hAnsi="华文仿宋" w:eastAsia="华文仿宋" w:cs="华文仿宋"/>
          <w:sz w:val="28"/>
          <w:szCs w:val="28"/>
        </w:rPr>
        <w:t>条。</w:t>
      </w:r>
      <w:r>
        <w:rPr>
          <w:rFonts w:hint="eastAsia"/>
          <w:color w:val="FF0000"/>
          <w:sz w:val="21"/>
          <w:szCs w:val="21"/>
          <w:lang w:eastAsia="zh-CN"/>
        </w:rPr>
        <w:t>（各厂区的综合项目管理平台事件工单是咨询公司本部综合项目管理平台建单在本部综合项目管理平台服务目录下，所以从申告部门区分统计）</w:t>
      </w:r>
    </w:p>
    <w:p>
      <w:pPr>
        <w:ind w:firstLine="0" w:firstLineChars="0"/>
        <w:jc w:val="center"/>
        <w:rPr>
          <w:sz w:val="28"/>
          <w:szCs w:val="28"/>
        </w:rPr>
      </w:pPr>
      <w:r>
        <w:drawing>
          <wp:inline distT="0" distB="0" distL="114300" distR="114300">
            <wp:extent cx="4838700" cy="2903220"/>
            <wp:effectExtent l="4445" t="4445" r="14605" b="6985"/>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left="278" w:leftChars="116" w:firstLine="560" w:firstLineChars="20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eastAsia="zh-CN"/>
        </w:rPr>
        <w:t>主要</w:t>
      </w:r>
      <w:r>
        <w:rPr>
          <w:rFonts w:hint="eastAsia" w:ascii="华文仿宋" w:hAnsi="华文仿宋" w:eastAsia="华文仿宋" w:cs="华文仿宋"/>
          <w:sz w:val="28"/>
          <w:szCs w:val="28"/>
        </w:rPr>
        <w:t>内容：</w:t>
      </w:r>
      <w:r>
        <w:rPr>
          <w:rFonts w:hint="eastAsia" w:ascii="华文仿宋" w:hAnsi="华文仿宋" w:eastAsia="华文仿宋" w:cs="华文仿宋"/>
          <w:sz w:val="28"/>
          <w:szCs w:val="28"/>
          <w:lang w:eastAsia="zh-CN"/>
        </w:rPr>
        <w:t>关于咨询类</w:t>
      </w:r>
      <w:r>
        <w:rPr>
          <w:rFonts w:hint="eastAsia" w:ascii="华文仿宋" w:hAnsi="华文仿宋" w:eastAsia="华文仿宋" w:cs="华文仿宋"/>
          <w:sz w:val="28"/>
          <w:szCs w:val="28"/>
          <w:lang w:val="en-US" w:eastAsia="zh-CN"/>
        </w:rPr>
        <w:t>50条</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删除</w:t>
      </w:r>
      <w:r>
        <w:rPr>
          <w:rFonts w:hint="eastAsia" w:ascii="华文仿宋" w:hAnsi="华文仿宋" w:eastAsia="华文仿宋" w:cs="华文仿宋"/>
          <w:sz w:val="28"/>
          <w:szCs w:val="28"/>
          <w:lang w:val="en-US" w:eastAsia="zh-CN"/>
        </w:rPr>
        <w:t>/修改工单内容157条，</w:t>
      </w:r>
      <w:r>
        <w:rPr>
          <w:rFonts w:hint="eastAsia" w:ascii="华文仿宋" w:hAnsi="华文仿宋" w:eastAsia="华文仿宋" w:cs="华文仿宋"/>
          <w:sz w:val="28"/>
          <w:szCs w:val="28"/>
        </w:rPr>
        <w:t xml:space="preserve"> </w:t>
      </w:r>
      <w:r>
        <w:rPr>
          <w:rFonts w:hint="eastAsia" w:ascii="华文仿宋" w:hAnsi="华文仿宋" w:eastAsia="华文仿宋" w:cs="华文仿宋"/>
          <w:sz w:val="28"/>
          <w:szCs w:val="28"/>
          <w:lang w:eastAsia="zh-CN"/>
        </w:rPr>
        <w:t>上传</w:t>
      </w:r>
      <w:r>
        <w:rPr>
          <w:rFonts w:hint="eastAsia" w:ascii="华文仿宋" w:hAnsi="华文仿宋" w:eastAsia="华文仿宋" w:cs="华文仿宋"/>
          <w:sz w:val="28"/>
          <w:szCs w:val="28"/>
          <w:lang w:val="en-US" w:eastAsia="zh-CN"/>
        </w:rPr>
        <w:t>/补充/修更新附件问题16条；关闭或修改权限问题4条。</w:t>
      </w:r>
    </w:p>
    <w:p>
      <w:pPr>
        <w:ind w:left="278" w:leftChars="116"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申告内容以</w:t>
      </w:r>
      <w:r>
        <w:rPr>
          <w:rFonts w:hint="eastAsia" w:ascii="华文仿宋" w:hAnsi="华文仿宋" w:eastAsia="华文仿宋" w:cs="华文仿宋"/>
          <w:sz w:val="28"/>
          <w:szCs w:val="28"/>
          <w:lang w:eastAsia="zh-CN"/>
        </w:rPr>
        <w:t>采购方面的咨询、权限开通</w:t>
      </w:r>
      <w:r>
        <w:rPr>
          <w:rFonts w:hint="eastAsia" w:ascii="华文仿宋" w:hAnsi="华文仿宋" w:eastAsia="华文仿宋" w:cs="华文仿宋"/>
          <w:sz w:val="28"/>
          <w:szCs w:val="28"/>
          <w:lang w:val="en-US" w:eastAsia="zh-CN"/>
        </w:rPr>
        <w:t>/关闭修改</w:t>
      </w:r>
      <w:r>
        <w:rPr>
          <w:rFonts w:hint="eastAsia" w:ascii="华文仿宋" w:hAnsi="华文仿宋" w:eastAsia="华文仿宋" w:cs="华文仿宋"/>
          <w:sz w:val="28"/>
          <w:szCs w:val="28"/>
        </w:rPr>
        <w:t>和</w:t>
      </w:r>
      <w:r>
        <w:rPr>
          <w:rFonts w:hint="eastAsia" w:ascii="华文仿宋" w:hAnsi="华文仿宋" w:eastAsia="华文仿宋" w:cs="华文仿宋"/>
          <w:sz w:val="28"/>
          <w:szCs w:val="28"/>
          <w:lang w:eastAsia="zh-CN"/>
        </w:rPr>
        <w:t>工单内容修改数据</w:t>
      </w:r>
      <w:r>
        <w:rPr>
          <w:rFonts w:hint="eastAsia" w:ascii="华文仿宋" w:hAnsi="华文仿宋" w:eastAsia="华文仿宋" w:cs="华文仿宋"/>
          <w:sz w:val="28"/>
          <w:szCs w:val="28"/>
        </w:rPr>
        <w:t>维护为主。</w:t>
      </w:r>
    </w:p>
    <w:p>
      <w:pPr>
        <w:pStyle w:val="5"/>
        <w:numPr>
          <w:ilvl w:val="0"/>
          <w:numId w:val="11"/>
        </w:numPr>
        <w:spacing w:before="156" w:after="156"/>
        <w:ind w:left="425" w:hanging="425"/>
        <w:rPr>
          <w:rFonts w:hint="eastAsia"/>
          <w:sz w:val="28"/>
          <w:szCs w:val="28"/>
        </w:rPr>
      </w:pPr>
      <w:r>
        <w:rPr>
          <w:rFonts w:hint="eastAsia"/>
          <w:sz w:val="28"/>
          <w:szCs w:val="28"/>
        </w:rPr>
        <w:t>ERP服务</w:t>
      </w:r>
    </w:p>
    <w:p>
      <w:pPr>
        <w:ind w:left="480" w:leftChars="200" w:firstLine="560" w:firstLineChars="200"/>
        <w:rPr>
          <w:sz w:val="28"/>
          <w:szCs w:val="28"/>
        </w:rPr>
      </w:pPr>
      <w:r>
        <w:rPr>
          <w:rFonts w:hint="eastAsia" w:ascii="华文仿宋" w:hAnsi="华文仿宋" w:eastAsia="华文仿宋" w:cs="华文仿宋"/>
          <w:sz w:val="28"/>
          <w:szCs w:val="28"/>
        </w:rPr>
        <w:t>本月共建</w:t>
      </w:r>
      <w:r>
        <w:rPr>
          <w:rFonts w:hint="eastAsia" w:ascii="华文仿宋" w:hAnsi="华文仿宋" w:eastAsia="华文仿宋" w:cs="华文仿宋"/>
          <w:sz w:val="28"/>
          <w:szCs w:val="28"/>
          <w:lang w:val="en-US" w:eastAsia="zh-CN"/>
        </w:rPr>
        <w:t>ERP</w:t>
      </w:r>
      <w:r>
        <w:rPr>
          <w:rFonts w:hint="eastAsia" w:ascii="华文仿宋" w:hAnsi="华文仿宋" w:eastAsia="华文仿宋" w:cs="华文仿宋"/>
          <w:sz w:val="28"/>
          <w:szCs w:val="28"/>
        </w:rPr>
        <w:t>服务的工单</w:t>
      </w:r>
      <w:r>
        <w:rPr>
          <w:rFonts w:hint="eastAsia" w:ascii="华文仿宋" w:hAnsi="华文仿宋" w:eastAsia="华文仿宋" w:cs="华文仿宋"/>
          <w:sz w:val="28"/>
          <w:szCs w:val="28"/>
          <w:lang w:eastAsia="zh-CN"/>
        </w:rPr>
        <w:t>共</w:t>
      </w:r>
      <w:r>
        <w:rPr>
          <w:rFonts w:hint="eastAsia" w:ascii="华文仿宋" w:hAnsi="华文仿宋" w:eastAsia="华文仿宋" w:cs="华文仿宋"/>
          <w:sz w:val="28"/>
          <w:szCs w:val="28"/>
          <w:lang w:val="en-US" w:eastAsia="zh-CN"/>
        </w:rPr>
        <w:t>107</w:t>
      </w:r>
      <w:r>
        <w:rPr>
          <w:rFonts w:hint="eastAsia" w:ascii="华文仿宋" w:hAnsi="华文仿宋" w:eastAsia="华文仿宋" w:cs="华文仿宋"/>
          <w:sz w:val="28"/>
          <w:szCs w:val="28"/>
        </w:rPr>
        <w:t>条，其中本部</w:t>
      </w:r>
      <w:r>
        <w:rPr>
          <w:rFonts w:hint="eastAsia" w:ascii="华文仿宋" w:hAnsi="华文仿宋" w:eastAsia="华文仿宋" w:cs="华文仿宋"/>
          <w:sz w:val="28"/>
          <w:szCs w:val="28"/>
          <w:lang w:val="en-US" w:eastAsia="zh-CN"/>
        </w:rPr>
        <w:t>63</w:t>
      </w:r>
      <w:r>
        <w:rPr>
          <w:rFonts w:hint="eastAsia" w:ascii="华文仿宋" w:hAnsi="华文仿宋" w:eastAsia="华文仿宋" w:cs="华文仿宋"/>
          <w:sz w:val="28"/>
          <w:szCs w:val="28"/>
        </w:rPr>
        <w:t>条，广州</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28</w:t>
      </w:r>
      <w:r>
        <w:rPr>
          <w:rFonts w:hint="eastAsia" w:ascii="华文仿宋" w:hAnsi="华文仿宋" w:eastAsia="华文仿宋" w:cs="华文仿宋"/>
          <w:sz w:val="28"/>
          <w:szCs w:val="28"/>
        </w:rPr>
        <w:t>条，韶关</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1</w:t>
      </w:r>
      <w:r>
        <w:rPr>
          <w:rFonts w:hint="eastAsia" w:ascii="华文仿宋" w:hAnsi="华文仿宋" w:eastAsia="华文仿宋" w:cs="华文仿宋"/>
          <w:sz w:val="28"/>
          <w:szCs w:val="28"/>
        </w:rPr>
        <w:t>条，梅州</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4</w:t>
      </w:r>
      <w:r>
        <w:rPr>
          <w:rFonts w:hint="eastAsia" w:ascii="华文仿宋" w:hAnsi="华文仿宋" w:eastAsia="华文仿宋" w:cs="华文仿宋"/>
          <w:sz w:val="28"/>
          <w:szCs w:val="28"/>
        </w:rPr>
        <w:t>条，湛江</w:t>
      </w:r>
      <w:r>
        <w:rPr>
          <w:rFonts w:hint="eastAsia" w:ascii="华文仿宋" w:hAnsi="华文仿宋" w:eastAsia="华文仿宋" w:cs="华文仿宋"/>
          <w:sz w:val="28"/>
          <w:szCs w:val="28"/>
          <w:lang w:eastAsia="zh-CN"/>
        </w:rPr>
        <w:t>厂</w:t>
      </w:r>
      <w:r>
        <w:rPr>
          <w:rFonts w:hint="eastAsia" w:ascii="华文仿宋" w:hAnsi="华文仿宋" w:eastAsia="华文仿宋" w:cs="华文仿宋"/>
          <w:sz w:val="28"/>
          <w:szCs w:val="28"/>
          <w:lang w:val="en-US" w:eastAsia="zh-CN"/>
        </w:rPr>
        <w:t>11</w:t>
      </w:r>
      <w:r>
        <w:rPr>
          <w:rFonts w:hint="eastAsia" w:ascii="华文仿宋" w:hAnsi="华文仿宋" w:eastAsia="华文仿宋" w:cs="华文仿宋"/>
          <w:sz w:val="28"/>
          <w:szCs w:val="28"/>
        </w:rPr>
        <w:t>条。</w:t>
      </w:r>
      <w:r>
        <w:rPr>
          <w:rFonts w:hint="eastAsia"/>
          <w:color w:val="FF0000"/>
          <w:sz w:val="21"/>
          <w:szCs w:val="21"/>
          <w:lang w:eastAsia="zh-CN"/>
        </w:rPr>
        <w:t>（各厂区的</w:t>
      </w:r>
      <w:r>
        <w:rPr>
          <w:rFonts w:hint="eastAsia"/>
          <w:color w:val="FF0000"/>
          <w:sz w:val="21"/>
          <w:szCs w:val="21"/>
          <w:lang w:val="en-US" w:eastAsia="zh-CN"/>
        </w:rPr>
        <w:t>ERP</w:t>
      </w:r>
      <w:r>
        <w:rPr>
          <w:rFonts w:hint="eastAsia"/>
          <w:color w:val="FF0000"/>
          <w:sz w:val="21"/>
          <w:szCs w:val="21"/>
          <w:lang w:eastAsia="zh-CN"/>
        </w:rPr>
        <w:t>事件工单是咨询公司本部</w:t>
      </w:r>
      <w:r>
        <w:rPr>
          <w:rFonts w:hint="eastAsia"/>
          <w:color w:val="FF0000"/>
          <w:sz w:val="21"/>
          <w:szCs w:val="21"/>
          <w:lang w:val="en-US" w:eastAsia="zh-CN"/>
        </w:rPr>
        <w:t>ERP服务台建单在本部ERP</w:t>
      </w:r>
      <w:r>
        <w:rPr>
          <w:rFonts w:hint="eastAsia"/>
          <w:color w:val="FF0000"/>
          <w:sz w:val="21"/>
          <w:szCs w:val="21"/>
          <w:lang w:eastAsia="zh-CN"/>
        </w:rPr>
        <w:t>的服务目录下，所以从申告部门区分统计）</w:t>
      </w:r>
    </w:p>
    <w:p>
      <w:pPr>
        <w:ind w:firstLine="560"/>
        <w:jc w:val="center"/>
        <w:rPr>
          <w:sz w:val="28"/>
          <w:szCs w:val="28"/>
        </w:rPr>
      </w:pPr>
      <w:r>
        <w:drawing>
          <wp:inline distT="0" distB="0" distL="114300" distR="114300">
            <wp:extent cx="4838700" cy="2903220"/>
            <wp:effectExtent l="4445" t="4445" r="14605" b="698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left="480" w:leftChars="200" w:firstLine="56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eastAsia="zh-CN"/>
        </w:rPr>
        <w:t>主要</w:t>
      </w:r>
      <w:r>
        <w:rPr>
          <w:rFonts w:hint="eastAsia" w:ascii="华文仿宋" w:hAnsi="华文仿宋" w:eastAsia="华文仿宋" w:cs="华文仿宋"/>
          <w:sz w:val="28"/>
          <w:szCs w:val="28"/>
        </w:rPr>
        <w:t>内容：</w:t>
      </w:r>
      <w:r>
        <w:rPr>
          <w:rFonts w:hint="eastAsia" w:ascii="华文仿宋" w:hAnsi="华文仿宋" w:eastAsia="华文仿宋" w:cs="华文仿宋"/>
          <w:sz w:val="28"/>
          <w:szCs w:val="28"/>
          <w:lang w:val="en-US" w:eastAsia="zh-CN"/>
        </w:rPr>
        <w:t>查询/咨询类问题59条；账号</w:t>
      </w:r>
      <w:r>
        <w:rPr>
          <w:rFonts w:hint="eastAsia" w:ascii="华文仿宋" w:hAnsi="华文仿宋" w:eastAsia="华文仿宋" w:cs="华文仿宋"/>
          <w:sz w:val="28"/>
          <w:szCs w:val="28"/>
          <w:lang w:eastAsia="zh-CN"/>
        </w:rPr>
        <w:t>密码问题</w:t>
      </w:r>
      <w:r>
        <w:rPr>
          <w:rFonts w:hint="eastAsia" w:ascii="华文仿宋" w:hAnsi="华文仿宋" w:eastAsia="华文仿宋" w:cs="华文仿宋"/>
          <w:sz w:val="28"/>
          <w:szCs w:val="28"/>
          <w:lang w:val="en-US" w:eastAsia="zh-CN"/>
        </w:rPr>
        <w:t>9</w:t>
      </w:r>
      <w:r>
        <w:rPr>
          <w:rFonts w:hint="eastAsia" w:ascii="华文仿宋" w:hAnsi="华文仿宋" w:eastAsia="华文仿宋" w:cs="华文仿宋"/>
          <w:sz w:val="28"/>
          <w:szCs w:val="28"/>
          <w:lang w:eastAsia="zh-CN"/>
        </w:rPr>
        <w:t>条。</w:t>
      </w:r>
    </w:p>
    <w:p>
      <w:pPr>
        <w:ind w:left="480" w:leftChars="200" w:firstLine="560"/>
        <w:rPr>
          <w:rFonts w:hint="eastAsia" w:ascii="华文仿宋" w:hAnsi="华文仿宋" w:eastAsia="华文仿宋" w:cs="华文仿宋"/>
          <w:sz w:val="28"/>
          <w:szCs w:val="28"/>
        </w:rPr>
      </w:pPr>
      <w:r>
        <w:rPr>
          <w:rFonts w:hint="eastAsia" w:ascii="华文仿宋" w:hAnsi="华文仿宋" w:eastAsia="华文仿宋" w:cs="华文仿宋"/>
          <w:sz w:val="28"/>
          <w:szCs w:val="28"/>
        </w:rPr>
        <w:t>申告内容以系统使用</w:t>
      </w:r>
      <w:r>
        <w:rPr>
          <w:rFonts w:hint="eastAsia" w:ascii="华文仿宋" w:hAnsi="华文仿宋" w:eastAsia="华文仿宋" w:cs="华文仿宋"/>
          <w:sz w:val="28"/>
          <w:szCs w:val="28"/>
          <w:lang w:eastAsia="zh-CN"/>
        </w:rPr>
        <w:t>咨询协助、密码账号问题及少量</w:t>
      </w:r>
      <w:r>
        <w:rPr>
          <w:rFonts w:hint="eastAsia" w:ascii="华文仿宋" w:hAnsi="华文仿宋" w:eastAsia="华文仿宋" w:cs="华文仿宋"/>
          <w:sz w:val="28"/>
          <w:szCs w:val="28"/>
        </w:rPr>
        <w:t>数据维护为主。</w:t>
      </w:r>
    </w:p>
    <w:p>
      <w:pPr>
        <w:pStyle w:val="5"/>
        <w:spacing w:before="312" w:after="156"/>
        <w:ind w:left="567"/>
        <w:outlineLvl w:val="1"/>
        <w:rPr>
          <w:rFonts w:hint="eastAsia"/>
          <w:sz w:val="28"/>
          <w:szCs w:val="28"/>
        </w:rPr>
      </w:pPr>
      <w:bookmarkStart w:id="29" w:name="_Toc16019"/>
      <w:bookmarkStart w:id="30" w:name="_Toc31032"/>
      <w:r>
        <w:rPr>
          <w:rFonts w:hint="eastAsia"/>
          <w:sz w:val="28"/>
          <w:szCs w:val="28"/>
        </w:rPr>
        <w:t>事件工单处理情况</w:t>
      </w:r>
      <w:bookmarkEnd w:id="29"/>
      <w:bookmarkEnd w:id="30"/>
    </w:p>
    <w:p>
      <w:pPr>
        <w:ind w:left="480" w:leftChars="200" w:firstLine="560"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各组织事件解决率：</w:t>
      </w:r>
      <w:r>
        <w:rPr>
          <w:rFonts w:hint="eastAsia" w:ascii="华文仿宋" w:hAnsi="华文仿宋" w:eastAsia="华文仿宋" w:cs="华文仿宋"/>
          <w:sz w:val="28"/>
          <w:szCs w:val="28"/>
          <w:lang w:eastAsia="zh-CN"/>
        </w:rPr>
        <w:t>本月</w:t>
      </w:r>
      <w:r>
        <w:rPr>
          <w:rFonts w:hint="eastAsia" w:ascii="华文仿宋" w:hAnsi="华文仿宋" w:eastAsia="华文仿宋" w:cs="华文仿宋"/>
          <w:sz w:val="28"/>
          <w:szCs w:val="28"/>
        </w:rPr>
        <w:t>公司本部事件工单的解决率</w:t>
      </w:r>
      <w:r>
        <w:rPr>
          <w:rFonts w:hint="eastAsia" w:ascii="华文仿宋" w:hAnsi="华文仿宋" w:eastAsia="华文仿宋" w:cs="华文仿宋"/>
          <w:sz w:val="28"/>
          <w:szCs w:val="28"/>
          <w:lang w:eastAsia="zh-CN"/>
        </w:rPr>
        <w:t>为</w:t>
      </w:r>
      <w:r>
        <w:rPr>
          <w:rFonts w:hint="eastAsia" w:ascii="华文仿宋" w:hAnsi="华文仿宋" w:eastAsia="华文仿宋" w:cs="华文仿宋"/>
          <w:sz w:val="28"/>
          <w:szCs w:val="28"/>
          <w:lang w:val="en-US" w:eastAsia="zh-CN"/>
        </w:rPr>
        <w:t>98.35</w:t>
      </w:r>
      <w:r>
        <w:rPr>
          <w:rFonts w:hint="eastAsia" w:ascii="华文仿宋" w:hAnsi="华文仿宋" w:eastAsia="华文仿宋" w:cs="华文仿宋"/>
          <w:sz w:val="28"/>
          <w:szCs w:val="28"/>
        </w:rPr>
        <w:t>%，广州厂</w:t>
      </w:r>
      <w:r>
        <w:rPr>
          <w:rFonts w:hint="eastAsia" w:ascii="华文仿宋" w:hAnsi="华文仿宋" w:eastAsia="华文仿宋" w:cs="华文仿宋"/>
          <w:sz w:val="28"/>
          <w:szCs w:val="28"/>
          <w:lang w:val="en-US" w:eastAsia="zh-CN"/>
        </w:rPr>
        <w:t>84.57%</w:t>
      </w:r>
      <w:r>
        <w:rPr>
          <w:rFonts w:hint="eastAsia" w:ascii="华文仿宋" w:hAnsi="华文仿宋" w:eastAsia="华文仿宋" w:cs="华文仿宋"/>
          <w:sz w:val="28"/>
          <w:szCs w:val="28"/>
        </w:rPr>
        <w:t>，湛江厂为</w:t>
      </w:r>
      <w:r>
        <w:rPr>
          <w:rFonts w:hint="eastAsia" w:ascii="华文仿宋" w:hAnsi="华文仿宋" w:eastAsia="华文仿宋" w:cs="华文仿宋"/>
          <w:sz w:val="28"/>
          <w:szCs w:val="28"/>
          <w:lang w:val="en-US" w:eastAsia="zh-CN"/>
        </w:rPr>
        <w:t>75.97</w:t>
      </w:r>
      <w:r>
        <w:rPr>
          <w:rFonts w:hint="eastAsia" w:ascii="华文仿宋" w:hAnsi="华文仿宋" w:eastAsia="华文仿宋" w:cs="华文仿宋"/>
          <w:sz w:val="28"/>
          <w:szCs w:val="28"/>
        </w:rPr>
        <w:t>%，梅州厂为</w:t>
      </w:r>
      <w:r>
        <w:rPr>
          <w:rFonts w:hint="eastAsia" w:ascii="华文仿宋" w:hAnsi="华文仿宋" w:eastAsia="华文仿宋" w:cs="华文仿宋"/>
          <w:sz w:val="28"/>
          <w:szCs w:val="28"/>
          <w:lang w:val="en-US" w:eastAsia="zh-CN"/>
        </w:rPr>
        <w:t>98.23</w:t>
      </w:r>
      <w:r>
        <w:rPr>
          <w:rFonts w:hint="eastAsia" w:ascii="华文仿宋" w:hAnsi="华文仿宋" w:eastAsia="华文仿宋" w:cs="华文仿宋"/>
          <w:sz w:val="28"/>
          <w:szCs w:val="28"/>
        </w:rPr>
        <w:t>%，韶关厂为</w:t>
      </w:r>
      <w:r>
        <w:rPr>
          <w:rFonts w:hint="eastAsia" w:ascii="华文仿宋" w:hAnsi="华文仿宋" w:eastAsia="华文仿宋" w:cs="华文仿宋"/>
          <w:sz w:val="28"/>
          <w:szCs w:val="28"/>
          <w:lang w:val="en-US" w:eastAsia="zh-CN"/>
        </w:rPr>
        <w:t>91.18</w:t>
      </w:r>
      <w:r>
        <w:rPr>
          <w:rFonts w:hint="eastAsia" w:ascii="华文仿宋" w:hAnsi="华文仿宋" w:eastAsia="华文仿宋" w:cs="华文仿宋"/>
          <w:sz w:val="28"/>
          <w:szCs w:val="28"/>
        </w:rPr>
        <w:t>%。</w:t>
      </w:r>
    </w:p>
    <w:p>
      <w:pPr>
        <w:ind w:firstLine="480"/>
        <w:jc w:val="center"/>
      </w:pPr>
      <w:r>
        <w:drawing>
          <wp:inline distT="0" distB="0" distL="114300" distR="114300">
            <wp:extent cx="4979035" cy="2978150"/>
            <wp:effectExtent l="0" t="0" r="12065" b="1270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3"/>
                    <a:stretch>
                      <a:fillRect/>
                    </a:stretch>
                  </pic:blipFill>
                  <pic:spPr>
                    <a:xfrm>
                      <a:off x="0" y="0"/>
                      <a:ext cx="4979035" cy="2978150"/>
                    </a:xfrm>
                    <a:prstGeom prst="rect">
                      <a:avLst/>
                    </a:prstGeom>
                    <a:noFill/>
                    <a:ln>
                      <a:noFill/>
                    </a:ln>
                  </pic:spPr>
                </pic:pic>
              </a:graphicData>
            </a:graphic>
          </wp:inline>
        </w:drawing>
      </w:r>
    </w:p>
    <w:p>
      <w:pPr>
        <w:ind w:firstLine="480"/>
        <w:jc w:val="left"/>
        <w:rPr>
          <w:rFonts w:hint="eastAsia"/>
          <w:color w:val="FF0000"/>
          <w:sz w:val="21"/>
          <w:szCs w:val="21"/>
          <w:lang w:eastAsia="zh-CN"/>
        </w:rPr>
      </w:pPr>
      <w:r>
        <w:rPr>
          <w:rFonts w:hint="eastAsia"/>
          <w:color w:val="FF0000"/>
          <w:sz w:val="21"/>
          <w:szCs w:val="21"/>
          <w:lang w:eastAsia="zh-CN"/>
        </w:rPr>
        <w:t>（</w:t>
      </w:r>
      <w:r>
        <w:rPr>
          <w:rFonts w:hint="eastAsia"/>
          <w:color w:val="FF0000"/>
          <w:sz w:val="21"/>
          <w:szCs w:val="21"/>
          <w:lang w:val="en-US" w:eastAsia="zh-CN"/>
        </w:rPr>
        <w:t>PS：本月公司本部及其他厂区的组织解决率良好。建议各厂区继续保持良好解决率为业务正常运行提供保障</w:t>
      </w:r>
      <w:r>
        <w:rPr>
          <w:rFonts w:hint="eastAsia"/>
          <w:color w:val="FF0000"/>
          <w:sz w:val="21"/>
          <w:szCs w:val="21"/>
          <w:lang w:eastAsia="zh-CN"/>
        </w:rPr>
        <w:t>）</w:t>
      </w:r>
    </w:p>
    <w:p>
      <w:pPr>
        <w:pStyle w:val="5"/>
        <w:numPr>
          <w:ilvl w:val="0"/>
          <w:numId w:val="13"/>
        </w:numPr>
        <w:spacing w:before="156" w:after="156"/>
        <w:ind w:left="425" w:hanging="425"/>
        <w:rPr>
          <w:rFonts w:hint="eastAsia"/>
          <w:sz w:val="28"/>
          <w:szCs w:val="28"/>
        </w:rPr>
      </w:pPr>
      <w:r>
        <w:rPr>
          <w:rFonts w:hint="eastAsia"/>
          <w:sz w:val="28"/>
          <w:szCs w:val="28"/>
        </w:rPr>
        <w:t>公司本部</w:t>
      </w:r>
    </w:p>
    <w:p>
      <w:pPr>
        <w:ind w:firstLine="840" w:firstLineChars="300"/>
        <w:rPr>
          <w:rFonts w:hint="eastAsia" w:ascii="宋体" w:hAnsi="宋体"/>
          <w:sz w:val="32"/>
          <w:szCs w:val="32"/>
        </w:rPr>
      </w:pPr>
      <w:r>
        <w:rPr>
          <w:rFonts w:hint="eastAsia" w:ascii="华文仿宋" w:hAnsi="华文仿宋" w:eastAsia="华文仿宋" w:cs="华文仿宋"/>
          <w:sz w:val="28"/>
          <w:szCs w:val="28"/>
          <w:lang w:eastAsia="zh-CN"/>
        </w:rPr>
        <w:t>业务事件解决率：</w:t>
      </w:r>
      <w:r>
        <w:rPr>
          <w:rFonts w:hint="eastAsia" w:ascii="华文仿宋" w:hAnsi="华文仿宋" w:eastAsia="华文仿宋" w:cs="华文仿宋"/>
          <w:sz w:val="28"/>
          <w:szCs w:val="28"/>
        </w:rPr>
        <w:t>公司本部共</w:t>
      </w:r>
      <w:r>
        <w:rPr>
          <w:rFonts w:hint="eastAsia" w:ascii="华文仿宋" w:hAnsi="华文仿宋" w:eastAsia="华文仿宋" w:cs="华文仿宋"/>
          <w:sz w:val="28"/>
          <w:szCs w:val="28"/>
          <w:lang w:val="en-US" w:eastAsia="zh-CN"/>
        </w:rPr>
        <w:t>1815</w:t>
      </w:r>
      <w:r>
        <w:rPr>
          <w:rFonts w:hint="eastAsia" w:ascii="华文仿宋" w:hAnsi="华文仿宋" w:eastAsia="华文仿宋" w:cs="华文仿宋"/>
          <w:sz w:val="28"/>
          <w:szCs w:val="28"/>
        </w:rPr>
        <w:t>事件，分别处理状态如下：</w:t>
      </w:r>
    </w:p>
    <w:tbl>
      <w:tblPr>
        <w:tblStyle w:val="34"/>
        <w:tblW w:w="9465" w:type="dxa"/>
        <w:jc w:val="center"/>
        <w:shd w:val="clear" w:color="auto" w:fill="auto"/>
        <w:tblLayout w:type="autofit"/>
        <w:tblCellMar>
          <w:top w:w="0" w:type="dxa"/>
          <w:left w:w="108" w:type="dxa"/>
          <w:bottom w:w="0" w:type="dxa"/>
          <w:right w:w="108" w:type="dxa"/>
        </w:tblCellMar>
      </w:tblPr>
      <w:tblGrid>
        <w:gridCol w:w="3075"/>
        <w:gridCol w:w="1500"/>
        <w:gridCol w:w="1500"/>
        <w:gridCol w:w="1500"/>
        <w:gridCol w:w="1890"/>
      </w:tblGrid>
      <w:tr>
        <w:tblPrEx>
          <w:shd w:val="clear" w:color="auto" w:fill="auto"/>
          <w:tblCellMar>
            <w:top w:w="0" w:type="dxa"/>
            <w:left w:w="108" w:type="dxa"/>
            <w:bottom w:w="0" w:type="dxa"/>
            <w:right w:w="108" w:type="dxa"/>
          </w:tblCellMar>
        </w:tblPrEx>
        <w:trPr>
          <w:trHeight w:val="540" w:hRule="atLeast"/>
          <w:jc w:val="center"/>
        </w:trPr>
        <w:tc>
          <w:tcPr>
            <w:tcW w:w="3075"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业务模块</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281" w:firstLineChars="10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总数</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281" w:firstLineChars="10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待处理</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281" w:firstLineChars="10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已关闭</w:t>
            </w:r>
          </w:p>
        </w:tc>
        <w:tc>
          <w:tcPr>
            <w:tcW w:w="1890" w:type="dxa"/>
            <w:tcBorders>
              <w:top w:val="nil"/>
              <w:left w:val="nil"/>
              <w:bottom w:val="nil"/>
              <w:right w:val="nil"/>
            </w:tcBorders>
            <w:shd w:val="clear" w:color="auto" w:fill="8DB4E2"/>
            <w:noWrap/>
            <w:vAlign w:val="center"/>
          </w:tcPr>
          <w:p>
            <w:pPr>
              <w:keepNext w:val="0"/>
              <w:keepLines w:val="0"/>
              <w:widowControl/>
              <w:suppressLineNumbers w:val="0"/>
              <w:ind w:left="0" w:leftChars="0" w:firstLine="281" w:firstLineChars="10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解决率</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末端服务和技术服务</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655</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15</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640</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97.71</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办公协同服务</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699</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699</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综合项目管理平台</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264</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264</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ERP 服务</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107</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107</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资产管理系统</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32</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28</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4</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12.5</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IT运维管理平台</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主数据管理平台</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29</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29</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ind w:left="0" w:leftChars="0" w:firstLine="0" w:firstLineChars="0"/>
              <w:jc w:val="center"/>
              <w:textAlignment w:val="center"/>
              <w:rPr>
                <w:rFonts w:hint="default"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企业门户</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26</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26</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ind w:left="0" w:leftChars="0" w:firstLine="0" w:firstLineChars="0"/>
              <w:jc w:val="center"/>
              <w:textAlignment w:val="center"/>
              <w:rPr>
                <w:rFonts w:hint="eastAsia"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企业管理工作平台</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FF0000"/>
                <w:sz w:val="24"/>
                <w:szCs w:val="24"/>
                <w:u w:val="none"/>
                <w:lang w:val="en-US" w:eastAsia="zh-CN"/>
              </w:rPr>
            </w:pPr>
            <w:r>
              <w:rPr>
                <w:rFonts w:hint="eastAsia" w:ascii="宋体" w:hAnsi="宋体" w:cs="宋体"/>
                <w:b/>
                <w:bCs/>
                <w:i w:val="0"/>
                <w:iCs w:val="0"/>
                <w:color w:val="FF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w:t>
            </w:r>
          </w:p>
        </w:tc>
        <w:tc>
          <w:tcPr>
            <w:tcW w:w="189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总计</w:t>
            </w:r>
          </w:p>
        </w:tc>
        <w:tc>
          <w:tcPr>
            <w:tcW w:w="150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1815</w:t>
            </w:r>
          </w:p>
        </w:tc>
        <w:tc>
          <w:tcPr>
            <w:tcW w:w="150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FF0000"/>
                <w:sz w:val="24"/>
                <w:szCs w:val="24"/>
                <w:u w:val="none"/>
                <w:lang w:val="en-US" w:eastAsia="zh-CN"/>
              </w:rPr>
            </w:pPr>
            <w:r>
              <w:rPr>
                <w:rFonts w:hint="eastAsia" w:ascii="Arial" w:hAnsi="Arial" w:cs="Arial"/>
                <w:b/>
                <w:bCs/>
                <w:i w:val="0"/>
                <w:iCs w:val="0"/>
                <w:color w:val="FF0000"/>
                <w:sz w:val="24"/>
                <w:szCs w:val="24"/>
                <w:u w:val="none"/>
                <w:lang w:val="en-US" w:eastAsia="zh-CN"/>
              </w:rPr>
              <w:t>43</w:t>
            </w:r>
          </w:p>
        </w:tc>
        <w:tc>
          <w:tcPr>
            <w:tcW w:w="150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1772</w:t>
            </w:r>
          </w:p>
        </w:tc>
        <w:tc>
          <w:tcPr>
            <w:tcW w:w="1890" w:type="dxa"/>
            <w:tcBorders>
              <w:top w:val="nil"/>
              <w:left w:val="nil"/>
              <w:bottom w:val="nil"/>
              <w:right w:val="nil"/>
            </w:tcBorders>
            <w:shd w:val="clear" w:color="auto" w:fill="77CC77"/>
            <w:vAlign w:val="center"/>
          </w:tcPr>
          <w:p>
            <w:pPr>
              <w:keepNext w:val="0"/>
              <w:keepLines w:val="0"/>
              <w:widowControl/>
              <w:suppressLineNumbers w:val="0"/>
              <w:jc w:val="both"/>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97.63%</w:t>
            </w:r>
          </w:p>
        </w:tc>
      </w:tr>
    </w:tbl>
    <w:p>
      <w:pPr>
        <w:pStyle w:val="5"/>
        <w:numPr>
          <w:ilvl w:val="0"/>
          <w:numId w:val="13"/>
        </w:numPr>
        <w:spacing w:before="156" w:after="156"/>
        <w:ind w:left="425" w:hanging="425"/>
        <w:rPr>
          <w:rFonts w:hint="eastAsia"/>
          <w:sz w:val="28"/>
          <w:szCs w:val="28"/>
        </w:rPr>
      </w:pPr>
      <w:r>
        <w:rPr>
          <w:rFonts w:hint="eastAsia"/>
          <w:sz w:val="28"/>
          <w:szCs w:val="28"/>
        </w:rPr>
        <w:t>广州厂</w:t>
      </w:r>
    </w:p>
    <w:p>
      <w:pPr>
        <w:ind w:firstLine="840" w:firstLineChars="30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业务事件解决率：</w:t>
      </w:r>
      <w:r>
        <w:rPr>
          <w:rFonts w:hint="eastAsia" w:ascii="华文仿宋" w:hAnsi="华文仿宋" w:eastAsia="华文仿宋" w:cs="华文仿宋"/>
          <w:sz w:val="28"/>
          <w:szCs w:val="28"/>
        </w:rPr>
        <w:t>广州厂共</w:t>
      </w:r>
      <w:r>
        <w:rPr>
          <w:rFonts w:hint="eastAsia" w:ascii="华文仿宋" w:hAnsi="华文仿宋" w:eastAsia="华文仿宋" w:cs="华文仿宋"/>
          <w:sz w:val="28"/>
          <w:szCs w:val="28"/>
          <w:lang w:val="en-US" w:eastAsia="zh-CN"/>
        </w:rPr>
        <w:t>406</w:t>
      </w:r>
      <w:r>
        <w:rPr>
          <w:rFonts w:hint="eastAsia" w:ascii="华文仿宋" w:hAnsi="华文仿宋" w:eastAsia="华文仿宋" w:cs="华文仿宋"/>
          <w:sz w:val="28"/>
          <w:szCs w:val="28"/>
        </w:rPr>
        <w:t>条事件，分别处理状态如下：</w:t>
      </w:r>
    </w:p>
    <w:tbl>
      <w:tblPr>
        <w:tblStyle w:val="34"/>
        <w:tblW w:w="9465" w:type="dxa"/>
        <w:jc w:val="center"/>
        <w:shd w:val="clear" w:color="auto" w:fill="auto"/>
        <w:tblLayout w:type="autofit"/>
        <w:tblCellMar>
          <w:top w:w="0" w:type="dxa"/>
          <w:left w:w="108" w:type="dxa"/>
          <w:bottom w:w="0" w:type="dxa"/>
          <w:right w:w="108" w:type="dxa"/>
        </w:tblCellMar>
      </w:tblPr>
      <w:tblGrid>
        <w:gridCol w:w="3075"/>
        <w:gridCol w:w="1500"/>
        <w:gridCol w:w="1500"/>
        <w:gridCol w:w="1500"/>
        <w:gridCol w:w="1890"/>
      </w:tblGrid>
      <w:tr>
        <w:tblPrEx>
          <w:shd w:val="clear" w:color="auto" w:fill="auto"/>
          <w:tblCellMar>
            <w:top w:w="0" w:type="dxa"/>
            <w:left w:w="108" w:type="dxa"/>
            <w:bottom w:w="0" w:type="dxa"/>
            <w:right w:w="108" w:type="dxa"/>
          </w:tblCellMar>
        </w:tblPrEx>
        <w:trPr>
          <w:trHeight w:val="540" w:hRule="atLeast"/>
          <w:jc w:val="center"/>
        </w:trPr>
        <w:tc>
          <w:tcPr>
            <w:tcW w:w="3075"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业务模块</w:t>
            </w:r>
          </w:p>
        </w:tc>
        <w:tc>
          <w:tcPr>
            <w:tcW w:w="1500"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总数</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待处理</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已关闭</w:t>
            </w:r>
          </w:p>
        </w:tc>
        <w:tc>
          <w:tcPr>
            <w:tcW w:w="1890"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解决率</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末端服务</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260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52</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208</w:t>
            </w:r>
          </w:p>
        </w:tc>
        <w:tc>
          <w:tcPr>
            <w:tcW w:w="189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80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办公协同服务</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74</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17</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57</w:t>
            </w:r>
          </w:p>
        </w:tc>
        <w:tc>
          <w:tcPr>
            <w:tcW w:w="189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77.03</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一号工程</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68</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68</w:t>
            </w:r>
          </w:p>
        </w:tc>
        <w:tc>
          <w:tcPr>
            <w:tcW w:w="189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企业门户</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4</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4</w:t>
            </w:r>
          </w:p>
        </w:tc>
        <w:tc>
          <w:tcPr>
            <w:tcW w:w="189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r>
              <w:rPr>
                <w:rFonts w:hint="eastAsia" w:ascii="Arial" w:hAnsi="Arial" w:cs="Arial"/>
                <w:b/>
                <w:bCs/>
                <w:i w:val="0"/>
                <w:iCs w:val="0"/>
                <w:color w:val="000000"/>
                <w:sz w:val="24"/>
                <w:szCs w:val="24"/>
                <w:u w:val="none"/>
                <w:lang w:val="en-US" w:eastAsia="zh-CN"/>
              </w:rPr>
              <w:t>%</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总计</w:t>
            </w:r>
          </w:p>
        </w:tc>
        <w:tc>
          <w:tcPr>
            <w:tcW w:w="150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406</w:t>
            </w:r>
          </w:p>
        </w:tc>
        <w:tc>
          <w:tcPr>
            <w:tcW w:w="150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69</w:t>
            </w:r>
          </w:p>
        </w:tc>
        <w:tc>
          <w:tcPr>
            <w:tcW w:w="150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337</w:t>
            </w:r>
          </w:p>
        </w:tc>
        <w:tc>
          <w:tcPr>
            <w:tcW w:w="189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83%</w:t>
            </w:r>
          </w:p>
        </w:tc>
      </w:tr>
    </w:tbl>
    <w:p>
      <w:pPr>
        <w:ind w:left="0" w:leftChars="0" w:firstLine="0" w:firstLineChars="0"/>
      </w:pPr>
    </w:p>
    <w:p>
      <w:pPr>
        <w:pStyle w:val="5"/>
        <w:numPr>
          <w:ilvl w:val="0"/>
          <w:numId w:val="13"/>
        </w:numPr>
        <w:spacing w:before="156" w:after="156"/>
        <w:ind w:left="425" w:hanging="425"/>
        <w:rPr>
          <w:rFonts w:hint="eastAsia"/>
          <w:sz w:val="28"/>
          <w:szCs w:val="28"/>
        </w:rPr>
      </w:pPr>
      <w:r>
        <w:rPr>
          <w:rFonts w:hint="eastAsia"/>
          <w:sz w:val="28"/>
          <w:szCs w:val="28"/>
        </w:rPr>
        <w:t>韶关厂</w:t>
      </w:r>
    </w:p>
    <w:p>
      <w:pPr>
        <w:ind w:firstLine="840" w:firstLineChars="300"/>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t>业务事件解决率：韶关厂共</w:t>
      </w:r>
      <w:r>
        <w:rPr>
          <w:rFonts w:hint="eastAsia" w:ascii="华文仿宋" w:hAnsi="华文仿宋" w:eastAsia="华文仿宋" w:cs="华文仿宋"/>
          <w:sz w:val="28"/>
          <w:szCs w:val="28"/>
          <w:lang w:val="en-US" w:eastAsia="zh-CN"/>
        </w:rPr>
        <w:t>31</w:t>
      </w:r>
      <w:r>
        <w:rPr>
          <w:rFonts w:hint="eastAsia" w:ascii="华文仿宋" w:hAnsi="华文仿宋" w:eastAsia="华文仿宋" w:cs="华文仿宋"/>
          <w:sz w:val="28"/>
          <w:szCs w:val="28"/>
          <w:lang w:eastAsia="zh-CN"/>
        </w:rPr>
        <w:t>条事件，分别处理状态如下：</w:t>
      </w:r>
    </w:p>
    <w:tbl>
      <w:tblPr>
        <w:tblStyle w:val="34"/>
        <w:tblW w:w="9465" w:type="dxa"/>
        <w:jc w:val="center"/>
        <w:shd w:val="clear" w:color="auto" w:fill="auto"/>
        <w:tblLayout w:type="autofit"/>
        <w:tblCellMar>
          <w:top w:w="0" w:type="dxa"/>
          <w:left w:w="108" w:type="dxa"/>
          <w:bottom w:w="0" w:type="dxa"/>
          <w:right w:w="108" w:type="dxa"/>
        </w:tblCellMar>
      </w:tblPr>
      <w:tblGrid>
        <w:gridCol w:w="3075"/>
        <w:gridCol w:w="1500"/>
        <w:gridCol w:w="1500"/>
        <w:gridCol w:w="1500"/>
        <w:gridCol w:w="1890"/>
      </w:tblGrid>
      <w:tr>
        <w:tblPrEx>
          <w:shd w:val="clear" w:color="auto" w:fill="auto"/>
          <w:tblCellMar>
            <w:top w:w="0" w:type="dxa"/>
            <w:left w:w="108" w:type="dxa"/>
            <w:bottom w:w="0" w:type="dxa"/>
            <w:right w:w="108" w:type="dxa"/>
          </w:tblCellMar>
        </w:tblPrEx>
        <w:trPr>
          <w:trHeight w:val="540" w:hRule="atLeast"/>
          <w:jc w:val="center"/>
        </w:trPr>
        <w:tc>
          <w:tcPr>
            <w:tcW w:w="3075"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业务模块</w:t>
            </w:r>
          </w:p>
        </w:tc>
        <w:tc>
          <w:tcPr>
            <w:tcW w:w="1500"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总数</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待处理</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已关闭</w:t>
            </w:r>
          </w:p>
        </w:tc>
        <w:tc>
          <w:tcPr>
            <w:tcW w:w="1890"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解决率</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一号工程</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31</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31</w:t>
            </w:r>
          </w:p>
        </w:tc>
        <w:tc>
          <w:tcPr>
            <w:tcW w:w="189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kern w:val="0"/>
                <w:sz w:val="24"/>
                <w:szCs w:val="24"/>
                <w:u w:val="none"/>
                <w:lang w:val="en-US" w:eastAsia="zh-CN" w:bidi="ar"/>
              </w:rPr>
            </w:pPr>
            <w:r>
              <w:rPr>
                <w:rFonts w:hint="eastAsia" w:ascii="Arial" w:hAnsi="Arial" w:cs="Arial"/>
                <w:b/>
                <w:bCs/>
                <w:i w:val="0"/>
                <w:iCs w:val="0"/>
                <w:color w:val="000000"/>
                <w:kern w:val="0"/>
                <w:sz w:val="24"/>
                <w:szCs w:val="24"/>
                <w:u w:val="none"/>
                <w:lang w:val="en-US" w:eastAsia="zh-CN" w:bidi="ar"/>
              </w:rPr>
              <w:t>总计</w:t>
            </w:r>
          </w:p>
        </w:tc>
        <w:tc>
          <w:tcPr>
            <w:tcW w:w="1500" w:type="dxa"/>
            <w:tcBorders>
              <w:top w:val="nil"/>
              <w:left w:val="nil"/>
              <w:bottom w:val="nil"/>
              <w:right w:val="nil"/>
            </w:tcBorders>
            <w:shd w:val="clear" w:color="auto"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31</w:t>
            </w:r>
          </w:p>
        </w:tc>
        <w:tc>
          <w:tcPr>
            <w:tcW w:w="1500" w:type="dxa"/>
            <w:tcBorders>
              <w:top w:val="nil"/>
              <w:left w:val="nil"/>
              <w:bottom w:val="nil"/>
              <w:right w:val="nil"/>
            </w:tcBorders>
            <w:shd w:val="clear" w:color="auto"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0</w:t>
            </w:r>
          </w:p>
        </w:tc>
        <w:tc>
          <w:tcPr>
            <w:tcW w:w="1500" w:type="dxa"/>
            <w:tcBorders>
              <w:top w:val="nil"/>
              <w:left w:val="nil"/>
              <w:bottom w:val="nil"/>
              <w:right w:val="nil"/>
            </w:tcBorders>
            <w:shd w:val="clear" w:color="auto"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31</w:t>
            </w:r>
          </w:p>
        </w:tc>
        <w:tc>
          <w:tcPr>
            <w:tcW w:w="1890" w:type="dxa"/>
            <w:tcBorders>
              <w:top w:val="nil"/>
              <w:left w:val="nil"/>
              <w:bottom w:val="nil"/>
              <w:right w:val="nil"/>
            </w:tcBorders>
            <w:shd w:val="clear" w:color="auto"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p>
        </w:tc>
      </w:tr>
    </w:tbl>
    <w:p>
      <w:pPr>
        <w:ind w:left="0" w:leftChars="0" w:firstLine="0" w:firstLineChars="0"/>
      </w:pPr>
    </w:p>
    <w:p>
      <w:pPr>
        <w:pStyle w:val="5"/>
        <w:numPr>
          <w:ilvl w:val="0"/>
          <w:numId w:val="13"/>
        </w:numPr>
        <w:spacing w:before="156" w:after="156"/>
        <w:ind w:left="425" w:hanging="425"/>
        <w:rPr>
          <w:rFonts w:hint="eastAsia"/>
          <w:sz w:val="28"/>
          <w:szCs w:val="28"/>
        </w:rPr>
      </w:pPr>
      <w:r>
        <w:rPr>
          <w:rFonts w:hint="eastAsia"/>
          <w:sz w:val="28"/>
          <w:szCs w:val="28"/>
        </w:rPr>
        <w:t>梅州厂</w:t>
      </w:r>
    </w:p>
    <w:p>
      <w:pPr>
        <w:ind w:firstLine="840" w:firstLineChars="30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业务事件解决率：</w:t>
      </w:r>
      <w:r>
        <w:rPr>
          <w:rFonts w:hint="eastAsia" w:ascii="华文仿宋" w:hAnsi="华文仿宋" w:eastAsia="华文仿宋" w:cs="华文仿宋"/>
          <w:sz w:val="28"/>
          <w:szCs w:val="28"/>
        </w:rPr>
        <w:t>梅州厂共</w:t>
      </w:r>
      <w:r>
        <w:rPr>
          <w:rFonts w:hint="eastAsia" w:ascii="华文仿宋" w:hAnsi="华文仿宋" w:eastAsia="华文仿宋" w:cs="华文仿宋"/>
          <w:sz w:val="28"/>
          <w:szCs w:val="28"/>
          <w:lang w:val="en-US" w:eastAsia="zh-CN"/>
        </w:rPr>
        <w:t>76</w:t>
      </w:r>
      <w:r>
        <w:rPr>
          <w:rFonts w:hint="eastAsia" w:ascii="华文仿宋" w:hAnsi="华文仿宋" w:eastAsia="华文仿宋" w:cs="华文仿宋"/>
          <w:sz w:val="28"/>
          <w:szCs w:val="28"/>
        </w:rPr>
        <w:t>条事件，分别处理状态如下：</w:t>
      </w:r>
    </w:p>
    <w:tbl>
      <w:tblPr>
        <w:tblStyle w:val="34"/>
        <w:tblW w:w="9560" w:type="dxa"/>
        <w:jc w:val="center"/>
        <w:tblLayout w:type="autofit"/>
        <w:tblCellMar>
          <w:top w:w="0" w:type="dxa"/>
          <w:left w:w="108" w:type="dxa"/>
          <w:bottom w:w="0" w:type="dxa"/>
          <w:right w:w="108" w:type="dxa"/>
        </w:tblCellMar>
      </w:tblPr>
      <w:tblGrid>
        <w:gridCol w:w="3096"/>
        <w:gridCol w:w="1516"/>
        <w:gridCol w:w="1516"/>
        <w:gridCol w:w="1516"/>
        <w:gridCol w:w="1916"/>
      </w:tblGrid>
      <w:tr>
        <w:tblPrEx>
          <w:tblCellMar>
            <w:top w:w="0" w:type="dxa"/>
            <w:left w:w="108" w:type="dxa"/>
            <w:bottom w:w="0" w:type="dxa"/>
            <w:right w:w="108" w:type="dxa"/>
          </w:tblCellMar>
        </w:tblPrEx>
        <w:trPr>
          <w:trHeight w:val="540" w:hRule="atLeast"/>
          <w:jc w:val="center"/>
        </w:trPr>
        <w:tc>
          <w:tcPr>
            <w:tcW w:w="3096" w:type="dxa"/>
            <w:tcBorders>
              <w:top w:val="nil"/>
              <w:left w:val="nil"/>
              <w:bottom w:val="nil"/>
              <w:right w:val="nil"/>
            </w:tcBorders>
            <w:shd w:val="clear" w:color="000000" w:fill="8DB4E3"/>
            <w:noWrap/>
            <w:vAlign w:val="center"/>
          </w:tcPr>
          <w:p>
            <w:pPr>
              <w:widowControl/>
              <w:adjustRightInd/>
              <w:spacing w:line="240" w:lineRule="auto"/>
              <w:ind w:firstLine="562" w:firstLineChars="0"/>
              <w:jc w:val="center"/>
              <w:textAlignment w:val="auto"/>
              <w:rPr>
                <w:rFonts w:ascii="宋体" w:hAnsi="宋体" w:cs="宋体"/>
                <w:b/>
                <w:bCs/>
                <w:color w:val="000000"/>
                <w:kern w:val="0"/>
                <w:sz w:val="28"/>
                <w:szCs w:val="28"/>
              </w:rPr>
            </w:pPr>
            <w:r>
              <w:rPr>
                <w:rFonts w:hint="eastAsia" w:ascii="宋体" w:hAnsi="宋体" w:cs="宋体"/>
                <w:b/>
                <w:bCs/>
                <w:color w:val="000000"/>
                <w:kern w:val="0"/>
                <w:sz w:val="28"/>
                <w:szCs w:val="28"/>
              </w:rPr>
              <w:t>业务模块</w:t>
            </w:r>
          </w:p>
        </w:tc>
        <w:tc>
          <w:tcPr>
            <w:tcW w:w="1516"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sz w:val="28"/>
                <w:szCs w:val="28"/>
              </w:rPr>
            </w:pPr>
            <w:r>
              <w:rPr>
                <w:rFonts w:hint="eastAsia" w:ascii="宋体" w:hAnsi="宋体" w:cs="宋体"/>
                <w:b/>
                <w:bCs/>
                <w:color w:val="000000"/>
                <w:kern w:val="0"/>
                <w:sz w:val="28"/>
                <w:szCs w:val="28"/>
              </w:rPr>
              <w:t>总数</w:t>
            </w:r>
          </w:p>
        </w:tc>
        <w:tc>
          <w:tcPr>
            <w:tcW w:w="1516"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sz w:val="28"/>
                <w:szCs w:val="28"/>
              </w:rPr>
            </w:pPr>
            <w:r>
              <w:rPr>
                <w:rFonts w:hint="eastAsia" w:ascii="宋体" w:hAnsi="宋体" w:cs="宋体"/>
                <w:b/>
                <w:bCs/>
                <w:color w:val="000000"/>
                <w:kern w:val="0"/>
                <w:sz w:val="28"/>
                <w:szCs w:val="28"/>
              </w:rPr>
              <w:t>待处理</w:t>
            </w:r>
          </w:p>
        </w:tc>
        <w:tc>
          <w:tcPr>
            <w:tcW w:w="1516"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sz w:val="28"/>
                <w:szCs w:val="28"/>
              </w:rPr>
            </w:pPr>
            <w:r>
              <w:rPr>
                <w:rFonts w:hint="eastAsia" w:ascii="宋体" w:hAnsi="宋体" w:cs="宋体"/>
                <w:b/>
                <w:bCs/>
                <w:color w:val="000000"/>
                <w:kern w:val="0"/>
                <w:sz w:val="28"/>
                <w:szCs w:val="28"/>
              </w:rPr>
              <w:t>已关闭</w:t>
            </w:r>
          </w:p>
        </w:tc>
        <w:tc>
          <w:tcPr>
            <w:tcW w:w="1916" w:type="dxa"/>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sz w:val="28"/>
                <w:szCs w:val="28"/>
              </w:rPr>
            </w:pPr>
            <w:r>
              <w:rPr>
                <w:rFonts w:hint="eastAsia" w:ascii="宋体" w:hAnsi="宋体" w:cs="宋体"/>
                <w:b/>
                <w:bCs/>
                <w:color w:val="000000"/>
                <w:kern w:val="0"/>
                <w:sz w:val="28"/>
                <w:szCs w:val="28"/>
              </w:rPr>
              <w:t>解决率</w:t>
            </w:r>
          </w:p>
        </w:tc>
      </w:tr>
      <w:tr>
        <w:tblPrEx>
          <w:tblCellMar>
            <w:top w:w="0" w:type="dxa"/>
            <w:left w:w="108" w:type="dxa"/>
            <w:bottom w:w="0" w:type="dxa"/>
            <w:right w:w="108" w:type="dxa"/>
          </w:tblCellMar>
        </w:tblPrEx>
        <w:trPr>
          <w:trHeight w:val="435" w:hRule="atLeast"/>
          <w:jc w:val="center"/>
        </w:trPr>
        <w:tc>
          <w:tcPr>
            <w:tcW w:w="309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一号工程</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34</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kern w:val="0"/>
                <w:lang w:val="en-US" w:eastAsia="zh-CN"/>
              </w:rPr>
            </w:pPr>
            <w:r>
              <w:rPr>
                <w:rFonts w:hint="eastAsia" w:ascii="宋体" w:hAnsi="宋体" w:cs="宋体"/>
                <w:b/>
                <w:bCs/>
                <w:kern w:val="0"/>
                <w:lang w:val="en-US" w:eastAsia="zh-CN"/>
              </w:rPr>
              <w:t>0</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34</w:t>
            </w:r>
          </w:p>
        </w:tc>
        <w:tc>
          <w:tcPr>
            <w:tcW w:w="19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100%</w:t>
            </w:r>
          </w:p>
        </w:tc>
      </w:tr>
      <w:tr>
        <w:tblPrEx>
          <w:tblCellMar>
            <w:top w:w="0" w:type="dxa"/>
            <w:left w:w="108" w:type="dxa"/>
            <w:bottom w:w="0" w:type="dxa"/>
            <w:right w:w="108" w:type="dxa"/>
          </w:tblCellMar>
        </w:tblPrEx>
        <w:trPr>
          <w:trHeight w:val="435" w:hRule="atLeast"/>
          <w:jc w:val="center"/>
        </w:trPr>
        <w:tc>
          <w:tcPr>
            <w:tcW w:w="309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MES服务</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12</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kern w:val="0"/>
                <w:lang w:val="en-US" w:eastAsia="zh-CN"/>
              </w:rPr>
            </w:pPr>
            <w:r>
              <w:rPr>
                <w:rFonts w:hint="eastAsia" w:ascii="宋体" w:hAnsi="宋体" w:cs="宋体"/>
                <w:b/>
                <w:bCs/>
                <w:kern w:val="0"/>
                <w:lang w:val="en-US" w:eastAsia="zh-CN"/>
              </w:rPr>
              <w:t>0</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12</w:t>
            </w:r>
          </w:p>
        </w:tc>
        <w:tc>
          <w:tcPr>
            <w:tcW w:w="19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100%</w:t>
            </w:r>
          </w:p>
        </w:tc>
      </w:tr>
      <w:tr>
        <w:tblPrEx>
          <w:tblCellMar>
            <w:top w:w="0" w:type="dxa"/>
            <w:left w:w="108" w:type="dxa"/>
            <w:bottom w:w="0" w:type="dxa"/>
            <w:right w:w="108" w:type="dxa"/>
          </w:tblCellMar>
        </w:tblPrEx>
        <w:trPr>
          <w:trHeight w:val="435" w:hRule="atLeast"/>
          <w:jc w:val="center"/>
        </w:trPr>
        <w:tc>
          <w:tcPr>
            <w:tcW w:w="309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eastAsia"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办公协同服务</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28</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kern w:val="0"/>
                <w:lang w:val="en-US" w:eastAsia="zh-CN"/>
              </w:rPr>
            </w:pPr>
            <w:r>
              <w:rPr>
                <w:rFonts w:hint="eastAsia" w:ascii="宋体" w:hAnsi="宋体" w:cs="宋体"/>
                <w:b/>
                <w:bCs/>
                <w:kern w:val="0"/>
                <w:lang w:val="en-US" w:eastAsia="zh-CN"/>
              </w:rPr>
              <w:t>0</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28</w:t>
            </w:r>
          </w:p>
        </w:tc>
        <w:tc>
          <w:tcPr>
            <w:tcW w:w="19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100%</w:t>
            </w:r>
          </w:p>
        </w:tc>
      </w:tr>
      <w:tr>
        <w:tblPrEx>
          <w:tblCellMar>
            <w:top w:w="0" w:type="dxa"/>
            <w:left w:w="108" w:type="dxa"/>
            <w:bottom w:w="0" w:type="dxa"/>
            <w:right w:w="108" w:type="dxa"/>
          </w:tblCellMar>
        </w:tblPrEx>
        <w:trPr>
          <w:trHeight w:val="435" w:hRule="atLeast"/>
          <w:jc w:val="center"/>
        </w:trPr>
        <w:tc>
          <w:tcPr>
            <w:tcW w:w="309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eastAsia" w:ascii="宋体" w:hAnsi="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末端服务</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2</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kern w:val="0"/>
                <w:lang w:val="en-US" w:eastAsia="zh-CN"/>
              </w:rPr>
            </w:pPr>
            <w:r>
              <w:rPr>
                <w:rFonts w:hint="eastAsia" w:ascii="宋体" w:hAnsi="宋体" w:cs="宋体"/>
                <w:b/>
                <w:bCs/>
                <w:kern w:val="0"/>
                <w:lang w:val="en-US" w:eastAsia="zh-CN"/>
              </w:rPr>
              <w:t>0</w:t>
            </w:r>
          </w:p>
        </w:tc>
        <w:tc>
          <w:tcPr>
            <w:tcW w:w="15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2</w:t>
            </w:r>
          </w:p>
        </w:tc>
        <w:tc>
          <w:tcPr>
            <w:tcW w:w="1916" w:type="dxa"/>
            <w:tcBorders>
              <w:top w:val="nil"/>
              <w:left w:val="nil"/>
              <w:bottom w:val="nil"/>
              <w:right w:val="nil"/>
            </w:tcBorders>
            <w:shd w:val="clear" w:color="000000" w:fill="DBE5F1"/>
            <w:vAlign w:val="center"/>
          </w:tcPr>
          <w:p>
            <w:pPr>
              <w:keepNext w:val="0"/>
              <w:keepLines w:val="0"/>
              <w:widowControl/>
              <w:suppressLineNumbers w:val="0"/>
              <w:ind w:firstLine="482" w:firstLineChars="200"/>
              <w:jc w:val="center"/>
              <w:textAlignment w:val="center"/>
              <w:rPr>
                <w:rFonts w:hint="default" w:ascii="宋体" w:hAnsi="宋体" w:cs="宋体"/>
                <w:b/>
                <w:bCs/>
                <w:color w:val="000000"/>
                <w:kern w:val="0"/>
                <w:lang w:val="en-US" w:eastAsia="zh-CN"/>
              </w:rPr>
            </w:pPr>
            <w:r>
              <w:rPr>
                <w:rFonts w:hint="eastAsia" w:ascii="宋体" w:hAnsi="宋体" w:cs="宋体"/>
                <w:b/>
                <w:bCs/>
                <w:color w:val="000000"/>
                <w:kern w:val="0"/>
                <w:lang w:val="en-US" w:eastAsia="zh-CN"/>
              </w:rPr>
              <w:t>100%</w:t>
            </w:r>
          </w:p>
        </w:tc>
      </w:tr>
      <w:tr>
        <w:tblPrEx>
          <w:tblCellMar>
            <w:top w:w="0" w:type="dxa"/>
            <w:left w:w="108" w:type="dxa"/>
            <w:bottom w:w="0" w:type="dxa"/>
            <w:right w:w="108" w:type="dxa"/>
          </w:tblCellMar>
        </w:tblPrEx>
        <w:trPr>
          <w:trHeight w:val="435" w:hRule="atLeast"/>
          <w:jc w:val="center"/>
        </w:trPr>
        <w:tc>
          <w:tcPr>
            <w:tcW w:w="3096" w:type="dxa"/>
            <w:tcBorders>
              <w:top w:val="nil"/>
              <w:left w:val="nil"/>
              <w:bottom w:val="nil"/>
              <w:right w:val="nil"/>
            </w:tcBorders>
            <w:shd w:val="clear" w:color="000000" w:fill="77CC77"/>
            <w:vAlign w:val="center"/>
          </w:tcPr>
          <w:p>
            <w:pPr>
              <w:keepNext w:val="0"/>
              <w:keepLines w:val="0"/>
              <w:widowControl/>
              <w:suppressLineNumbers w:val="0"/>
              <w:ind w:firstLine="482" w:firstLineChars="200"/>
              <w:jc w:val="center"/>
              <w:textAlignment w:val="center"/>
              <w:rPr>
                <w:rFonts w:ascii="Arial" w:hAnsi="Arial" w:cs="Arial"/>
                <w:b/>
                <w:bCs/>
                <w:kern w:val="0"/>
              </w:rPr>
            </w:pPr>
            <w:r>
              <w:rPr>
                <w:rFonts w:hint="default" w:ascii="Arial" w:hAnsi="Arial" w:eastAsia="宋体" w:cs="Arial"/>
                <w:b/>
                <w:bCs/>
                <w:i w:val="0"/>
                <w:iCs w:val="0"/>
                <w:color w:val="000000"/>
                <w:kern w:val="0"/>
                <w:sz w:val="24"/>
                <w:szCs w:val="24"/>
                <w:u w:val="none"/>
                <w:lang w:val="en-US" w:eastAsia="zh-CN" w:bidi="ar"/>
              </w:rPr>
              <w:t>总计</w:t>
            </w:r>
          </w:p>
        </w:tc>
        <w:tc>
          <w:tcPr>
            <w:tcW w:w="1516" w:type="dxa"/>
            <w:tcBorders>
              <w:top w:val="nil"/>
              <w:left w:val="nil"/>
              <w:bottom w:val="nil"/>
              <w:right w:val="nil"/>
            </w:tcBorders>
            <w:shd w:val="clear" w:color="000000"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kern w:val="0"/>
                <w:lang w:val="en-US" w:eastAsia="zh-CN"/>
              </w:rPr>
            </w:pPr>
            <w:r>
              <w:rPr>
                <w:rFonts w:hint="eastAsia" w:ascii="Arial" w:hAnsi="Arial" w:cs="Arial"/>
                <w:b/>
                <w:bCs/>
                <w:kern w:val="0"/>
                <w:lang w:val="en-US" w:eastAsia="zh-CN"/>
              </w:rPr>
              <w:t>76</w:t>
            </w:r>
          </w:p>
        </w:tc>
        <w:tc>
          <w:tcPr>
            <w:tcW w:w="1516" w:type="dxa"/>
            <w:tcBorders>
              <w:top w:val="nil"/>
              <w:left w:val="nil"/>
              <w:bottom w:val="nil"/>
              <w:right w:val="nil"/>
            </w:tcBorders>
            <w:shd w:val="clear" w:color="000000"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kern w:val="0"/>
                <w:lang w:val="en-US" w:eastAsia="zh-CN"/>
              </w:rPr>
            </w:pPr>
            <w:r>
              <w:rPr>
                <w:rFonts w:hint="eastAsia" w:ascii="Arial" w:hAnsi="Arial" w:cs="Arial"/>
                <w:b/>
                <w:bCs/>
                <w:kern w:val="0"/>
                <w:lang w:val="en-US" w:eastAsia="zh-CN"/>
              </w:rPr>
              <w:t>0</w:t>
            </w:r>
          </w:p>
        </w:tc>
        <w:tc>
          <w:tcPr>
            <w:tcW w:w="1516" w:type="dxa"/>
            <w:tcBorders>
              <w:top w:val="nil"/>
              <w:left w:val="nil"/>
              <w:bottom w:val="nil"/>
              <w:right w:val="nil"/>
            </w:tcBorders>
            <w:shd w:val="clear" w:color="000000"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kern w:val="0"/>
                <w:lang w:val="en-US" w:eastAsia="zh-CN"/>
              </w:rPr>
            </w:pPr>
            <w:r>
              <w:rPr>
                <w:rFonts w:hint="eastAsia" w:ascii="Arial" w:hAnsi="Arial" w:cs="Arial"/>
                <w:b/>
                <w:bCs/>
                <w:kern w:val="0"/>
                <w:lang w:val="en-US" w:eastAsia="zh-CN"/>
              </w:rPr>
              <w:t>76</w:t>
            </w:r>
          </w:p>
        </w:tc>
        <w:tc>
          <w:tcPr>
            <w:tcW w:w="1916" w:type="dxa"/>
            <w:tcBorders>
              <w:top w:val="nil"/>
              <w:left w:val="nil"/>
              <w:bottom w:val="nil"/>
              <w:right w:val="nil"/>
            </w:tcBorders>
            <w:shd w:val="clear" w:color="000000" w:fill="77CC77"/>
            <w:vAlign w:val="center"/>
          </w:tcPr>
          <w:p>
            <w:pPr>
              <w:keepNext w:val="0"/>
              <w:keepLines w:val="0"/>
              <w:widowControl/>
              <w:suppressLineNumbers w:val="0"/>
              <w:ind w:firstLine="482" w:firstLineChars="200"/>
              <w:jc w:val="center"/>
              <w:textAlignment w:val="center"/>
              <w:rPr>
                <w:rFonts w:hint="default" w:ascii="Arial" w:hAnsi="Arial" w:eastAsia="宋体" w:cs="Arial"/>
                <w:b/>
                <w:bCs/>
                <w:kern w:val="0"/>
                <w:lang w:val="en-US" w:eastAsia="zh-CN"/>
              </w:rPr>
            </w:pPr>
            <w:r>
              <w:rPr>
                <w:rFonts w:hint="eastAsia" w:ascii="宋体" w:hAnsi="宋体" w:cs="宋体"/>
                <w:b/>
                <w:bCs/>
                <w:color w:val="000000"/>
                <w:kern w:val="0"/>
                <w:lang w:val="en-US" w:eastAsia="zh-CN"/>
              </w:rPr>
              <w:t>100%</w:t>
            </w:r>
          </w:p>
        </w:tc>
      </w:tr>
    </w:tbl>
    <w:p>
      <w:pPr>
        <w:pStyle w:val="5"/>
        <w:numPr>
          <w:ilvl w:val="0"/>
          <w:numId w:val="13"/>
        </w:numPr>
        <w:spacing w:before="156" w:after="156"/>
        <w:ind w:left="425" w:hanging="425"/>
        <w:rPr>
          <w:rFonts w:hint="eastAsia"/>
          <w:sz w:val="28"/>
          <w:szCs w:val="28"/>
        </w:rPr>
      </w:pPr>
      <w:r>
        <w:rPr>
          <w:rFonts w:hint="eastAsia"/>
          <w:sz w:val="28"/>
          <w:szCs w:val="28"/>
        </w:rPr>
        <w:t>湛江厂</w:t>
      </w:r>
    </w:p>
    <w:p>
      <w:pPr>
        <w:ind w:firstLine="840" w:firstLineChars="30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业务事件解决率：</w:t>
      </w:r>
      <w:r>
        <w:rPr>
          <w:rFonts w:hint="eastAsia" w:ascii="华文仿宋" w:hAnsi="华文仿宋" w:eastAsia="华文仿宋" w:cs="华文仿宋"/>
          <w:sz w:val="28"/>
          <w:szCs w:val="28"/>
        </w:rPr>
        <w:t>湛江厂共</w:t>
      </w:r>
      <w:r>
        <w:rPr>
          <w:rFonts w:hint="eastAsia" w:ascii="华文仿宋" w:hAnsi="华文仿宋" w:eastAsia="华文仿宋" w:cs="华文仿宋"/>
          <w:sz w:val="28"/>
          <w:szCs w:val="28"/>
          <w:lang w:val="en-US" w:eastAsia="zh-CN"/>
        </w:rPr>
        <w:t>138条</w:t>
      </w:r>
      <w:r>
        <w:rPr>
          <w:rFonts w:hint="eastAsia" w:ascii="华文仿宋" w:hAnsi="华文仿宋" w:eastAsia="华文仿宋" w:cs="华文仿宋"/>
          <w:sz w:val="28"/>
          <w:szCs w:val="28"/>
        </w:rPr>
        <w:t>事件，分别处理状态如下：</w:t>
      </w:r>
      <w:bookmarkStart w:id="31" w:name="_Toc453140251"/>
    </w:p>
    <w:tbl>
      <w:tblPr>
        <w:tblStyle w:val="34"/>
        <w:tblW w:w="9465" w:type="dxa"/>
        <w:jc w:val="center"/>
        <w:shd w:val="clear" w:color="auto" w:fill="auto"/>
        <w:tblLayout w:type="autofit"/>
        <w:tblCellMar>
          <w:top w:w="0" w:type="dxa"/>
          <w:left w:w="108" w:type="dxa"/>
          <w:bottom w:w="0" w:type="dxa"/>
          <w:right w:w="108" w:type="dxa"/>
        </w:tblCellMar>
      </w:tblPr>
      <w:tblGrid>
        <w:gridCol w:w="3075"/>
        <w:gridCol w:w="1500"/>
        <w:gridCol w:w="1500"/>
        <w:gridCol w:w="1500"/>
        <w:gridCol w:w="1890"/>
      </w:tblGrid>
      <w:tr>
        <w:tblPrEx>
          <w:shd w:val="clear" w:color="auto" w:fill="auto"/>
          <w:tblCellMar>
            <w:top w:w="0" w:type="dxa"/>
            <w:left w:w="108" w:type="dxa"/>
            <w:bottom w:w="0" w:type="dxa"/>
            <w:right w:w="108" w:type="dxa"/>
          </w:tblCellMar>
        </w:tblPrEx>
        <w:trPr>
          <w:trHeight w:val="540" w:hRule="atLeast"/>
          <w:jc w:val="center"/>
        </w:trPr>
        <w:tc>
          <w:tcPr>
            <w:tcW w:w="3075" w:type="dxa"/>
            <w:tcBorders>
              <w:top w:val="nil"/>
              <w:left w:val="nil"/>
              <w:bottom w:val="nil"/>
              <w:right w:val="nil"/>
            </w:tcBorders>
            <w:shd w:val="clear" w:color="auto" w:fill="8DB4E2"/>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业务模块</w:t>
            </w:r>
          </w:p>
        </w:tc>
        <w:tc>
          <w:tcPr>
            <w:tcW w:w="1500" w:type="dxa"/>
            <w:tcBorders>
              <w:top w:val="nil"/>
              <w:left w:val="nil"/>
              <w:bottom w:val="nil"/>
              <w:right w:val="nil"/>
            </w:tcBorders>
            <w:shd w:val="clear" w:color="auto" w:fill="8DB4E2"/>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总数</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281" w:firstLineChars="10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待处理</w:t>
            </w:r>
          </w:p>
        </w:tc>
        <w:tc>
          <w:tcPr>
            <w:tcW w:w="1500" w:type="dxa"/>
            <w:tcBorders>
              <w:top w:val="nil"/>
              <w:left w:val="nil"/>
              <w:bottom w:val="nil"/>
              <w:right w:val="nil"/>
            </w:tcBorders>
            <w:shd w:val="clear" w:color="auto" w:fill="8DB4E2"/>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已关闭</w:t>
            </w:r>
          </w:p>
        </w:tc>
        <w:tc>
          <w:tcPr>
            <w:tcW w:w="1890" w:type="dxa"/>
            <w:tcBorders>
              <w:top w:val="nil"/>
              <w:left w:val="nil"/>
              <w:bottom w:val="nil"/>
              <w:right w:val="nil"/>
            </w:tcBorders>
            <w:shd w:val="clear" w:color="auto" w:fill="8DB4E2"/>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解决率</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末端服务</w:t>
            </w:r>
          </w:p>
        </w:tc>
        <w:tc>
          <w:tcPr>
            <w:tcW w:w="150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103</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50</w:t>
            </w:r>
          </w:p>
        </w:tc>
        <w:tc>
          <w:tcPr>
            <w:tcW w:w="150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53</w:t>
            </w:r>
          </w:p>
        </w:tc>
        <w:tc>
          <w:tcPr>
            <w:tcW w:w="189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51.46%</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一号工程</w:t>
            </w:r>
          </w:p>
        </w:tc>
        <w:tc>
          <w:tcPr>
            <w:tcW w:w="150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21</w:t>
            </w:r>
          </w:p>
        </w:tc>
        <w:tc>
          <w:tcPr>
            <w:tcW w:w="150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0</w:t>
            </w:r>
          </w:p>
        </w:tc>
        <w:tc>
          <w:tcPr>
            <w:tcW w:w="1500" w:type="dxa"/>
            <w:tcBorders>
              <w:top w:val="nil"/>
              <w:left w:val="nil"/>
              <w:bottom w:val="nil"/>
              <w:right w:val="nil"/>
            </w:tcBorders>
            <w:shd w:val="clear" w:color="auto" w:fill="DCE6F1"/>
            <w:vAlign w:val="center"/>
          </w:tcPr>
          <w:p>
            <w:pPr>
              <w:keepNext w:val="0"/>
              <w:keepLines w:val="0"/>
              <w:widowControl/>
              <w:suppressLineNumbers w:val="0"/>
              <w:jc w:val="both"/>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21</w:t>
            </w:r>
          </w:p>
        </w:tc>
        <w:tc>
          <w:tcPr>
            <w:tcW w:w="1890" w:type="dxa"/>
            <w:tcBorders>
              <w:top w:val="nil"/>
              <w:left w:val="nil"/>
              <w:bottom w:val="nil"/>
              <w:right w:val="nil"/>
            </w:tcBorders>
            <w:shd w:val="clear" w:color="auto" w:fill="DCE6F1"/>
            <w:vAlign w:val="center"/>
          </w:tcPr>
          <w:p>
            <w:pPr>
              <w:keepNext w:val="0"/>
              <w:keepLines w:val="0"/>
              <w:widowControl/>
              <w:suppressLineNumbers w:val="0"/>
              <w:jc w:val="center"/>
              <w:textAlignment w:val="center"/>
              <w:rPr>
                <w:rFonts w:hint="default" w:ascii="宋体" w:hAnsi="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100%</w:t>
            </w:r>
          </w:p>
        </w:tc>
      </w:tr>
      <w:tr>
        <w:tblPrEx>
          <w:tblCellMar>
            <w:top w:w="0" w:type="dxa"/>
            <w:left w:w="108" w:type="dxa"/>
            <w:bottom w:w="0" w:type="dxa"/>
            <w:right w:w="108" w:type="dxa"/>
          </w:tblCellMar>
        </w:tblPrEx>
        <w:trPr>
          <w:trHeight w:val="435" w:hRule="atLeast"/>
          <w:jc w:val="center"/>
        </w:trPr>
        <w:tc>
          <w:tcPr>
            <w:tcW w:w="3075"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ascii="Arial" w:hAnsi="Arial" w:eastAsia="宋体" w:cs="Arial"/>
                <w:b/>
                <w:bCs/>
                <w:i w:val="0"/>
                <w:iCs w:val="0"/>
                <w:color w:val="000000"/>
                <w:sz w:val="24"/>
                <w:szCs w:val="24"/>
                <w:u w:val="none"/>
              </w:rPr>
            </w:pPr>
            <w:r>
              <w:rPr>
                <w:rFonts w:hint="default" w:ascii="Arial" w:hAnsi="Arial" w:eastAsia="宋体" w:cs="Arial"/>
                <w:b/>
                <w:bCs/>
                <w:i w:val="0"/>
                <w:iCs w:val="0"/>
                <w:color w:val="000000"/>
                <w:kern w:val="0"/>
                <w:sz w:val="24"/>
                <w:szCs w:val="24"/>
                <w:u w:val="none"/>
                <w:lang w:val="en-US" w:eastAsia="zh-CN" w:bidi="ar"/>
              </w:rPr>
              <w:t>总计</w:t>
            </w:r>
          </w:p>
        </w:tc>
        <w:tc>
          <w:tcPr>
            <w:tcW w:w="1500" w:type="dxa"/>
            <w:tcBorders>
              <w:top w:val="nil"/>
              <w:left w:val="nil"/>
              <w:bottom w:val="nil"/>
              <w:right w:val="nil"/>
            </w:tcBorders>
            <w:shd w:val="clear" w:color="auto" w:fill="77CC77"/>
            <w:vAlign w:val="center"/>
          </w:tcPr>
          <w:p>
            <w:pPr>
              <w:keepNext w:val="0"/>
              <w:keepLines w:val="0"/>
              <w:widowControl/>
              <w:suppressLineNumbers w:val="0"/>
              <w:jc w:val="both"/>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124</w:t>
            </w:r>
          </w:p>
        </w:tc>
        <w:tc>
          <w:tcPr>
            <w:tcW w:w="150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50</w:t>
            </w:r>
          </w:p>
        </w:tc>
        <w:tc>
          <w:tcPr>
            <w:tcW w:w="1500" w:type="dxa"/>
            <w:tcBorders>
              <w:top w:val="nil"/>
              <w:left w:val="nil"/>
              <w:bottom w:val="nil"/>
              <w:right w:val="nil"/>
            </w:tcBorders>
            <w:shd w:val="clear" w:color="auto" w:fill="77CC77"/>
            <w:vAlign w:val="center"/>
          </w:tcPr>
          <w:p>
            <w:pPr>
              <w:keepNext w:val="0"/>
              <w:keepLines w:val="0"/>
              <w:widowControl/>
              <w:suppressLineNumbers w:val="0"/>
              <w:jc w:val="both"/>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74</w:t>
            </w:r>
          </w:p>
        </w:tc>
        <w:tc>
          <w:tcPr>
            <w:tcW w:w="1890" w:type="dxa"/>
            <w:tcBorders>
              <w:top w:val="nil"/>
              <w:left w:val="nil"/>
              <w:bottom w:val="nil"/>
              <w:right w:val="nil"/>
            </w:tcBorders>
            <w:shd w:val="clear" w:color="auto" w:fill="77CC77"/>
            <w:vAlign w:val="center"/>
          </w:tcPr>
          <w:p>
            <w:pPr>
              <w:keepNext w:val="0"/>
              <w:keepLines w:val="0"/>
              <w:widowControl/>
              <w:suppressLineNumbers w:val="0"/>
              <w:jc w:val="center"/>
              <w:textAlignment w:val="center"/>
              <w:rPr>
                <w:rFonts w:hint="default" w:ascii="Arial" w:hAnsi="Arial" w:eastAsia="宋体" w:cs="Arial"/>
                <w:b/>
                <w:bCs/>
                <w:i w:val="0"/>
                <w:iCs w:val="0"/>
                <w:color w:val="000000"/>
                <w:sz w:val="24"/>
                <w:szCs w:val="24"/>
                <w:u w:val="none"/>
                <w:lang w:val="en-US" w:eastAsia="zh-CN"/>
              </w:rPr>
            </w:pPr>
            <w:r>
              <w:rPr>
                <w:rFonts w:hint="eastAsia" w:ascii="Arial" w:hAnsi="Arial" w:cs="Arial"/>
                <w:b/>
                <w:bCs/>
                <w:i w:val="0"/>
                <w:iCs w:val="0"/>
                <w:color w:val="000000"/>
                <w:sz w:val="24"/>
                <w:szCs w:val="24"/>
                <w:u w:val="none"/>
                <w:lang w:val="en-US" w:eastAsia="zh-CN"/>
              </w:rPr>
              <w:t>59.68</w:t>
            </w:r>
            <w:r>
              <w:rPr>
                <w:rFonts w:hint="eastAsia" w:ascii="宋体" w:hAnsi="宋体" w:cs="宋体"/>
                <w:b/>
                <w:bCs/>
                <w:i w:val="0"/>
                <w:iCs w:val="0"/>
                <w:color w:val="000000"/>
                <w:sz w:val="24"/>
                <w:szCs w:val="24"/>
                <w:u w:val="none"/>
                <w:lang w:val="en-US" w:eastAsia="zh-CN"/>
              </w:rPr>
              <w:t>%</w:t>
            </w:r>
          </w:p>
        </w:tc>
      </w:tr>
    </w:tbl>
    <w:p>
      <w:pPr>
        <w:ind w:left="0" w:leftChars="0" w:firstLine="560" w:firstLineChars="200"/>
        <w:rPr>
          <w:rFonts w:hint="eastAsia" w:ascii="华文仿宋" w:hAnsi="华文仿宋" w:eastAsia="华文仿宋" w:cs="华文仿宋"/>
          <w:sz w:val="28"/>
          <w:szCs w:val="28"/>
        </w:rPr>
      </w:pPr>
    </w:p>
    <w:p>
      <w:pPr>
        <w:ind w:firstLine="560"/>
        <w:rPr>
          <w:rFonts w:hint="eastAsia" w:ascii="华文仿宋" w:hAnsi="华文仿宋" w:eastAsia="华文仿宋" w:cs="华文仿宋"/>
          <w:sz w:val="28"/>
          <w:szCs w:val="28"/>
        </w:rPr>
      </w:pPr>
      <w:r>
        <w:rPr>
          <w:rFonts w:hint="eastAsia" w:ascii="华文仿宋" w:hAnsi="华文仿宋" w:eastAsia="华文仿宋" w:cs="华文仿宋"/>
          <w:sz w:val="28"/>
          <w:szCs w:val="28"/>
        </w:rPr>
        <w:t>总体来说，</w:t>
      </w:r>
      <w:r>
        <w:rPr>
          <w:rFonts w:hint="eastAsia" w:ascii="华文仿宋" w:hAnsi="华文仿宋" w:eastAsia="华文仿宋" w:cs="华文仿宋"/>
          <w:sz w:val="28"/>
          <w:szCs w:val="28"/>
          <w:lang w:val="en-US" w:eastAsia="zh-CN"/>
        </w:rPr>
        <w:t>本</w:t>
      </w:r>
      <w:r>
        <w:rPr>
          <w:rFonts w:hint="eastAsia" w:ascii="华文仿宋" w:hAnsi="华文仿宋" w:eastAsia="华文仿宋" w:cs="华文仿宋"/>
          <w:sz w:val="28"/>
          <w:szCs w:val="28"/>
        </w:rPr>
        <w:t>月IT运维服务台运行情况</w:t>
      </w:r>
      <w:r>
        <w:rPr>
          <w:rFonts w:hint="eastAsia" w:ascii="华文仿宋" w:hAnsi="华文仿宋" w:eastAsia="华文仿宋" w:cs="华文仿宋"/>
          <w:sz w:val="28"/>
          <w:szCs w:val="28"/>
          <w:lang w:eastAsia="zh-CN"/>
        </w:rPr>
        <w:t>整体业务解决率一般</w:t>
      </w:r>
      <w:r>
        <w:rPr>
          <w:rFonts w:hint="eastAsia" w:ascii="华文仿宋" w:hAnsi="华文仿宋" w:eastAsia="华文仿宋" w:cs="华文仿宋"/>
          <w:sz w:val="28"/>
          <w:szCs w:val="28"/>
        </w:rPr>
        <w:t>，“已关闭”的工单</w:t>
      </w:r>
      <w:r>
        <w:rPr>
          <w:rFonts w:hint="eastAsia" w:ascii="华文仿宋" w:hAnsi="华文仿宋" w:eastAsia="华文仿宋" w:cs="华文仿宋"/>
          <w:sz w:val="28"/>
          <w:szCs w:val="28"/>
          <w:lang w:eastAsia="zh-CN"/>
        </w:rPr>
        <w:t>占</w:t>
      </w:r>
      <w:r>
        <w:rPr>
          <w:rFonts w:hint="eastAsia" w:ascii="华文仿宋" w:hAnsi="华文仿宋" w:eastAsia="华文仿宋" w:cs="华文仿宋"/>
          <w:sz w:val="28"/>
          <w:szCs w:val="28"/>
          <w:lang w:val="en-US" w:eastAsia="zh-CN"/>
        </w:rPr>
        <w:t>93.32</w:t>
      </w:r>
      <w:r>
        <w:rPr>
          <w:rFonts w:hint="eastAsia" w:ascii="华文仿宋" w:hAnsi="华文仿宋" w:eastAsia="华文仿宋" w:cs="华文仿宋"/>
          <w:sz w:val="28"/>
          <w:szCs w:val="28"/>
        </w:rPr>
        <w:t>%，对比</w:t>
      </w:r>
      <w:r>
        <w:rPr>
          <w:rFonts w:hint="eastAsia" w:ascii="华文仿宋" w:hAnsi="华文仿宋" w:eastAsia="华文仿宋" w:cs="华文仿宋"/>
          <w:sz w:val="28"/>
          <w:szCs w:val="28"/>
          <w:lang w:val="en-US" w:eastAsia="zh-CN"/>
        </w:rPr>
        <w:t>8</w:t>
      </w:r>
      <w:r>
        <w:rPr>
          <w:rFonts w:hint="eastAsia" w:ascii="华文仿宋" w:hAnsi="华文仿宋" w:eastAsia="华文仿宋" w:cs="华文仿宋"/>
          <w:sz w:val="28"/>
          <w:szCs w:val="28"/>
        </w:rPr>
        <w:t>月的</w:t>
      </w:r>
      <w:r>
        <w:rPr>
          <w:rFonts w:hint="eastAsia" w:ascii="华文仿宋" w:hAnsi="华文仿宋" w:eastAsia="华文仿宋" w:cs="华文仿宋"/>
          <w:sz w:val="28"/>
          <w:szCs w:val="28"/>
          <w:lang w:val="en-US" w:eastAsia="zh-CN"/>
        </w:rPr>
        <w:t>75.83</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有所</w:t>
      </w:r>
      <w:r>
        <w:rPr>
          <w:rFonts w:hint="eastAsia" w:ascii="华文仿宋" w:hAnsi="华文仿宋" w:eastAsia="华文仿宋" w:cs="华文仿宋"/>
          <w:sz w:val="28"/>
          <w:szCs w:val="28"/>
          <w:lang w:val="en-US" w:eastAsia="zh-CN"/>
        </w:rPr>
        <w:t>提高</w:t>
      </w:r>
      <w:r>
        <w:rPr>
          <w:rFonts w:hint="eastAsia" w:ascii="华文仿宋" w:hAnsi="华文仿宋" w:eastAsia="华文仿宋" w:cs="华文仿宋"/>
          <w:sz w:val="28"/>
          <w:szCs w:val="28"/>
        </w:rPr>
        <w:t>。“待处理”状态的工单共</w:t>
      </w:r>
      <w:r>
        <w:rPr>
          <w:rFonts w:hint="eastAsia" w:ascii="华文仿宋" w:hAnsi="华文仿宋" w:eastAsia="华文仿宋" w:cs="华文仿宋"/>
          <w:sz w:val="28"/>
          <w:szCs w:val="28"/>
          <w:lang w:val="en-US" w:eastAsia="zh-CN"/>
        </w:rPr>
        <w:t>162</w:t>
      </w:r>
      <w:r>
        <w:rPr>
          <w:rFonts w:hint="eastAsia" w:ascii="华文仿宋" w:hAnsi="华文仿宋" w:eastAsia="华文仿宋" w:cs="华文仿宋"/>
          <w:sz w:val="28"/>
          <w:szCs w:val="28"/>
        </w:rPr>
        <w:t>张，</w:t>
      </w:r>
      <w:r>
        <w:rPr>
          <w:rFonts w:hint="eastAsia" w:ascii="华文仿宋" w:hAnsi="华文仿宋" w:eastAsia="华文仿宋" w:cs="华文仿宋"/>
          <w:sz w:val="28"/>
          <w:szCs w:val="28"/>
          <w:lang w:eastAsia="zh-CN"/>
        </w:rPr>
        <w:t>占</w:t>
      </w:r>
      <w:r>
        <w:rPr>
          <w:rFonts w:hint="eastAsia" w:ascii="华文仿宋" w:hAnsi="华文仿宋" w:eastAsia="华文仿宋" w:cs="华文仿宋"/>
          <w:sz w:val="28"/>
          <w:szCs w:val="28"/>
          <w:lang w:val="en-US" w:eastAsia="zh-CN"/>
        </w:rPr>
        <w:t>6.68</w:t>
      </w:r>
      <w:r>
        <w:rPr>
          <w:rFonts w:hint="eastAsia" w:ascii="华文仿宋" w:hAnsi="华文仿宋" w:eastAsia="华文仿宋" w:cs="华文仿宋"/>
          <w:sz w:val="28"/>
          <w:szCs w:val="28"/>
        </w:rPr>
        <w:t>%，对比</w:t>
      </w:r>
      <w:r>
        <w:rPr>
          <w:rFonts w:hint="eastAsia" w:ascii="华文仿宋" w:hAnsi="华文仿宋" w:eastAsia="华文仿宋" w:cs="华文仿宋"/>
          <w:sz w:val="28"/>
          <w:szCs w:val="28"/>
          <w:lang w:eastAsia="zh-CN"/>
        </w:rPr>
        <w:t>上</w:t>
      </w:r>
      <w:r>
        <w:rPr>
          <w:rFonts w:hint="eastAsia" w:ascii="华文仿宋" w:hAnsi="华文仿宋" w:eastAsia="华文仿宋" w:cs="华文仿宋"/>
          <w:sz w:val="28"/>
          <w:szCs w:val="28"/>
        </w:rPr>
        <w:t>月的</w:t>
      </w:r>
      <w:r>
        <w:rPr>
          <w:rFonts w:hint="eastAsia" w:ascii="华文仿宋" w:hAnsi="华文仿宋" w:eastAsia="华文仿宋" w:cs="华文仿宋"/>
          <w:sz w:val="28"/>
          <w:szCs w:val="28"/>
          <w:lang w:eastAsia="zh-CN"/>
        </w:rPr>
        <w:t>待处理</w:t>
      </w:r>
      <w:r>
        <w:rPr>
          <w:rFonts w:hint="eastAsia" w:ascii="华文仿宋" w:hAnsi="华文仿宋" w:eastAsia="华文仿宋" w:cs="华文仿宋"/>
          <w:sz w:val="28"/>
          <w:szCs w:val="28"/>
          <w:lang w:val="en-US" w:eastAsia="zh-CN"/>
        </w:rPr>
        <w:t>24.17</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有所降低。本月待处理工单</w:t>
      </w:r>
      <w:r>
        <w:rPr>
          <w:rFonts w:hint="eastAsia" w:ascii="华文仿宋" w:hAnsi="华文仿宋" w:eastAsia="华文仿宋" w:cs="华文仿宋"/>
          <w:sz w:val="28"/>
          <w:szCs w:val="28"/>
        </w:rPr>
        <w:t>主要</w:t>
      </w:r>
      <w:r>
        <w:rPr>
          <w:rFonts w:hint="eastAsia" w:ascii="华文仿宋" w:hAnsi="华文仿宋" w:eastAsia="华文仿宋" w:cs="华文仿宋"/>
          <w:sz w:val="28"/>
          <w:szCs w:val="28"/>
          <w:lang w:eastAsia="zh-CN"/>
        </w:rPr>
        <w:t>分布在公司本部（</w:t>
      </w:r>
      <w:r>
        <w:rPr>
          <w:rFonts w:hint="eastAsia" w:ascii="华文仿宋" w:hAnsi="华文仿宋" w:eastAsia="华文仿宋" w:cs="华文仿宋"/>
          <w:sz w:val="28"/>
          <w:szCs w:val="28"/>
          <w:lang w:val="en-US" w:eastAsia="zh-CN"/>
        </w:rPr>
        <w:t xml:space="preserve"> 43条</w:t>
      </w:r>
      <w:r>
        <w:rPr>
          <w:rFonts w:hint="eastAsia" w:ascii="华文仿宋" w:hAnsi="华文仿宋" w:eastAsia="华文仿宋" w:cs="华文仿宋"/>
          <w:sz w:val="28"/>
          <w:szCs w:val="28"/>
          <w:lang w:eastAsia="zh-CN"/>
        </w:rPr>
        <w:t>）、广州厂（</w:t>
      </w:r>
      <w:r>
        <w:rPr>
          <w:rFonts w:hint="eastAsia" w:ascii="华文仿宋" w:hAnsi="华文仿宋" w:eastAsia="华文仿宋" w:cs="华文仿宋"/>
          <w:sz w:val="28"/>
          <w:szCs w:val="28"/>
          <w:lang w:val="en-US" w:eastAsia="zh-CN"/>
        </w:rPr>
        <w:t xml:space="preserve"> 69条</w:t>
      </w:r>
      <w:r>
        <w:rPr>
          <w:rFonts w:hint="eastAsia" w:ascii="华文仿宋" w:hAnsi="华文仿宋" w:eastAsia="华文仿宋" w:cs="华文仿宋"/>
          <w:sz w:val="28"/>
          <w:szCs w:val="28"/>
          <w:lang w:eastAsia="zh-CN"/>
        </w:rPr>
        <w:t>）以及湛江厂（</w:t>
      </w:r>
      <w:r>
        <w:rPr>
          <w:rFonts w:hint="eastAsia" w:ascii="华文仿宋" w:hAnsi="华文仿宋" w:eastAsia="华文仿宋" w:cs="华文仿宋"/>
          <w:sz w:val="28"/>
          <w:szCs w:val="28"/>
          <w:lang w:val="en-US" w:eastAsia="zh-CN"/>
        </w:rPr>
        <w:t>50 条</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请各服务台继续保持并及时处理工单，尽量避免事件长时间停留在“待处理”状态。</w:t>
      </w:r>
      <w:bookmarkEnd w:id="31"/>
    </w:p>
    <w:p>
      <w:pPr>
        <w:pStyle w:val="4"/>
        <w:bidi w:val="0"/>
        <w:ind w:left="567"/>
      </w:pPr>
      <w:bookmarkStart w:id="32" w:name="_Toc24408"/>
      <w:bookmarkStart w:id="33" w:name="_Toc8329"/>
      <w:r>
        <w:rPr>
          <w:rFonts w:hint="default"/>
          <w:lang w:val="en-US" w:eastAsia="zh-CN"/>
        </w:rPr>
        <w:t>变更工单分析</w:t>
      </w:r>
      <w:bookmarkEnd w:id="32"/>
      <w:bookmarkEnd w:id="33"/>
    </w:p>
    <w:p>
      <w:pPr>
        <w:pStyle w:val="5"/>
        <w:bidi w:val="0"/>
        <w:ind w:left="987"/>
        <w:outlineLvl w:val="1"/>
      </w:pPr>
      <w:bookmarkStart w:id="34" w:name="_Toc298"/>
      <w:bookmarkStart w:id="35" w:name="_Toc19483"/>
      <w:r>
        <w:rPr>
          <w:rFonts w:hint="eastAsia"/>
          <w:lang w:eastAsia="zh-CN"/>
        </w:rPr>
        <w:t>服务台变更工单处理情况</w:t>
      </w:r>
      <w:bookmarkEnd w:id="34"/>
      <w:bookmarkEnd w:id="35"/>
    </w:p>
    <w:p>
      <w:pPr>
        <w:rPr>
          <w:rFonts w:hint="default" w:ascii="Times New Roman" w:hAnsi="Times New Roman" w:eastAsia="宋体" w:cs="Times New Roman"/>
          <w:sz w:val="20"/>
          <w:szCs w:val="20"/>
          <w:lang w:val="en-US" w:eastAsia="zh-CN"/>
        </w:rPr>
      </w:pPr>
      <w:r>
        <w:rPr>
          <w:rFonts w:hint="eastAsia" w:ascii="华文仿宋" w:hAnsi="华文仿宋" w:eastAsia="华文仿宋" w:cs="华文仿宋"/>
          <w:color w:val="C00000"/>
          <w:sz w:val="28"/>
          <w:szCs w:val="28"/>
          <w:lang w:val="en-US" w:eastAsia="zh-CN"/>
        </w:rPr>
        <w:t>截止2023年9月止，系统变更工单总待实施变更单数共204条，</w:t>
      </w:r>
      <w:r>
        <w:rPr>
          <w:rFonts w:hint="eastAsia" w:ascii="华文仿宋" w:hAnsi="华文仿宋" w:eastAsia="华文仿宋" w:cs="华文仿宋"/>
          <w:sz w:val="28"/>
          <w:szCs w:val="28"/>
          <w:lang w:val="en-US" w:eastAsia="zh-CN"/>
        </w:rPr>
        <w:t>2023年9月的变更工单共96宗。本月变更工单当前状态处于待实施为33宗，已关闭为63宗，关闭率为65.63%。</w:t>
      </w:r>
    </w:p>
    <w:tbl>
      <w:tblPr>
        <w:tblStyle w:val="34"/>
        <w:tblW w:w="97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54"/>
        <w:gridCol w:w="1455"/>
        <w:gridCol w:w="1470"/>
        <w:gridCol w:w="1335"/>
        <w:gridCol w:w="1476"/>
        <w:gridCol w:w="21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854"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ind w:left="0" w:leftChars="0" w:firstLine="0" w:firstLineChars="0"/>
              <w:jc w:val="both"/>
              <w:textAlignment w:val="bottom"/>
              <w:rPr>
                <w:rFonts w:hint="eastAsia" w:ascii="宋体" w:hAnsi="宋体" w:eastAsia="宋体" w:cs="宋体"/>
                <w:b/>
                <w:bCs/>
                <w:i w:val="0"/>
                <w:iCs w:val="0"/>
                <w:color w:val="262626"/>
                <w:sz w:val="20"/>
                <w:szCs w:val="20"/>
                <w:u w:val="none"/>
              </w:rPr>
            </w:pPr>
            <w:r>
              <w:rPr>
                <w:rFonts w:hint="eastAsia" w:ascii="宋体" w:hAnsi="宋体" w:eastAsia="宋体" w:cs="宋体"/>
                <w:b/>
                <w:bCs/>
                <w:i w:val="0"/>
                <w:iCs w:val="0"/>
                <w:color w:val="262626"/>
                <w:kern w:val="0"/>
                <w:sz w:val="20"/>
                <w:szCs w:val="20"/>
                <w:u w:val="none"/>
                <w:lang w:val="en-US" w:eastAsia="zh-CN" w:bidi="ar"/>
              </w:rPr>
              <w:t>状态/总变更数</w:t>
            </w:r>
          </w:p>
        </w:tc>
        <w:tc>
          <w:tcPr>
            <w:tcW w:w="1455"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ind w:left="0" w:leftChars="0" w:firstLine="0" w:firstLineChars="0"/>
              <w:jc w:val="both"/>
              <w:textAlignment w:val="bottom"/>
              <w:rPr>
                <w:rFonts w:hint="eastAsia" w:ascii="宋体" w:hAnsi="宋体" w:eastAsia="宋体" w:cs="宋体"/>
                <w:b/>
                <w:bCs/>
                <w:i w:val="0"/>
                <w:iCs w:val="0"/>
                <w:color w:val="262626"/>
                <w:sz w:val="20"/>
                <w:szCs w:val="20"/>
                <w:u w:val="none"/>
              </w:rPr>
            </w:pPr>
            <w:r>
              <w:rPr>
                <w:rFonts w:hint="eastAsia" w:ascii="宋体" w:hAnsi="宋体" w:eastAsia="宋体" w:cs="宋体"/>
                <w:b/>
                <w:bCs/>
                <w:i w:val="0"/>
                <w:iCs w:val="0"/>
                <w:color w:val="262626"/>
                <w:kern w:val="0"/>
                <w:sz w:val="20"/>
                <w:szCs w:val="20"/>
                <w:u w:val="none"/>
                <w:lang w:val="en-US" w:eastAsia="zh-CN" w:bidi="ar"/>
              </w:rPr>
              <w:t>202</w:t>
            </w:r>
            <w:r>
              <w:rPr>
                <w:rFonts w:hint="eastAsia" w:ascii="宋体" w:hAnsi="宋体" w:cs="宋体"/>
                <w:b/>
                <w:bCs/>
                <w:i w:val="0"/>
                <w:iCs w:val="0"/>
                <w:color w:val="262626"/>
                <w:kern w:val="0"/>
                <w:sz w:val="20"/>
                <w:szCs w:val="20"/>
                <w:u w:val="none"/>
                <w:lang w:val="en-US" w:eastAsia="zh-CN" w:bidi="ar"/>
              </w:rPr>
              <w:t>3</w:t>
            </w:r>
            <w:r>
              <w:rPr>
                <w:rFonts w:hint="eastAsia" w:ascii="宋体" w:hAnsi="宋体" w:eastAsia="宋体" w:cs="宋体"/>
                <w:b/>
                <w:bCs/>
                <w:i w:val="0"/>
                <w:iCs w:val="0"/>
                <w:color w:val="262626"/>
                <w:kern w:val="0"/>
                <w:sz w:val="20"/>
                <w:szCs w:val="20"/>
                <w:u w:val="none"/>
                <w:lang w:val="en-US" w:eastAsia="zh-CN" w:bidi="ar"/>
              </w:rPr>
              <w:t>年</w:t>
            </w:r>
            <w:r>
              <w:rPr>
                <w:rFonts w:hint="eastAsia" w:ascii="宋体" w:hAnsi="宋体" w:cs="宋体"/>
                <w:b/>
                <w:bCs/>
                <w:i w:val="0"/>
                <w:iCs w:val="0"/>
                <w:color w:val="262626"/>
                <w:kern w:val="0"/>
                <w:sz w:val="20"/>
                <w:szCs w:val="20"/>
                <w:u w:val="none"/>
                <w:lang w:val="en-US" w:eastAsia="zh-CN" w:bidi="ar"/>
              </w:rPr>
              <w:t>6</w:t>
            </w:r>
            <w:r>
              <w:rPr>
                <w:rFonts w:hint="eastAsia" w:ascii="宋体" w:hAnsi="宋体" w:eastAsia="宋体" w:cs="宋体"/>
                <w:b/>
                <w:bCs/>
                <w:i w:val="0"/>
                <w:iCs w:val="0"/>
                <w:color w:val="262626"/>
                <w:kern w:val="0"/>
                <w:sz w:val="20"/>
                <w:szCs w:val="20"/>
                <w:u w:val="none"/>
                <w:lang w:val="en-US" w:eastAsia="zh-CN" w:bidi="ar"/>
              </w:rPr>
              <w:t>月</w:t>
            </w:r>
          </w:p>
        </w:tc>
        <w:tc>
          <w:tcPr>
            <w:tcW w:w="1470"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ind w:left="0" w:leftChars="0" w:firstLine="0" w:firstLineChars="0"/>
              <w:jc w:val="both"/>
              <w:textAlignment w:val="bottom"/>
              <w:rPr>
                <w:rFonts w:hint="eastAsia" w:ascii="宋体" w:hAnsi="宋体" w:eastAsia="宋体" w:cs="宋体"/>
                <w:b/>
                <w:bCs/>
                <w:i w:val="0"/>
                <w:iCs w:val="0"/>
                <w:color w:val="262626"/>
                <w:sz w:val="20"/>
                <w:szCs w:val="20"/>
                <w:u w:val="none"/>
              </w:rPr>
            </w:pPr>
            <w:r>
              <w:rPr>
                <w:rFonts w:hint="eastAsia" w:ascii="宋体" w:hAnsi="宋体" w:eastAsia="宋体" w:cs="宋体"/>
                <w:b/>
                <w:bCs/>
                <w:i w:val="0"/>
                <w:iCs w:val="0"/>
                <w:color w:val="262626"/>
                <w:kern w:val="0"/>
                <w:sz w:val="20"/>
                <w:szCs w:val="20"/>
                <w:u w:val="none"/>
                <w:lang w:val="en-US" w:eastAsia="zh-CN" w:bidi="ar"/>
              </w:rPr>
              <w:t>202</w:t>
            </w:r>
            <w:r>
              <w:rPr>
                <w:rFonts w:hint="eastAsia" w:ascii="宋体" w:hAnsi="宋体" w:cs="宋体"/>
                <w:b/>
                <w:bCs/>
                <w:i w:val="0"/>
                <w:iCs w:val="0"/>
                <w:color w:val="262626"/>
                <w:kern w:val="0"/>
                <w:sz w:val="20"/>
                <w:szCs w:val="20"/>
                <w:u w:val="none"/>
                <w:lang w:val="en-US" w:eastAsia="zh-CN" w:bidi="ar"/>
              </w:rPr>
              <w:t>3</w:t>
            </w:r>
            <w:r>
              <w:rPr>
                <w:rFonts w:hint="eastAsia" w:ascii="宋体" w:hAnsi="宋体" w:eastAsia="宋体" w:cs="宋体"/>
                <w:b/>
                <w:bCs/>
                <w:i w:val="0"/>
                <w:iCs w:val="0"/>
                <w:color w:val="262626"/>
                <w:kern w:val="0"/>
                <w:sz w:val="20"/>
                <w:szCs w:val="20"/>
                <w:u w:val="none"/>
                <w:lang w:val="en-US" w:eastAsia="zh-CN" w:bidi="ar"/>
              </w:rPr>
              <w:t>年</w:t>
            </w:r>
            <w:r>
              <w:rPr>
                <w:rFonts w:hint="eastAsia" w:ascii="宋体" w:hAnsi="宋体" w:cs="宋体"/>
                <w:b/>
                <w:bCs/>
                <w:i w:val="0"/>
                <w:iCs w:val="0"/>
                <w:color w:val="262626"/>
                <w:kern w:val="0"/>
                <w:sz w:val="20"/>
                <w:szCs w:val="20"/>
                <w:u w:val="none"/>
                <w:lang w:val="en-US" w:eastAsia="zh-CN" w:bidi="ar"/>
              </w:rPr>
              <w:t>7</w:t>
            </w:r>
            <w:r>
              <w:rPr>
                <w:rFonts w:hint="eastAsia" w:ascii="宋体" w:hAnsi="宋体" w:eastAsia="宋体" w:cs="宋体"/>
                <w:b/>
                <w:bCs/>
                <w:i w:val="0"/>
                <w:iCs w:val="0"/>
                <w:color w:val="262626"/>
                <w:kern w:val="0"/>
                <w:sz w:val="20"/>
                <w:szCs w:val="20"/>
                <w:u w:val="none"/>
                <w:lang w:val="en-US" w:eastAsia="zh-CN" w:bidi="ar"/>
              </w:rPr>
              <w:t>月</w:t>
            </w:r>
          </w:p>
        </w:tc>
        <w:tc>
          <w:tcPr>
            <w:tcW w:w="1335"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ind w:left="0" w:leftChars="0" w:firstLine="0" w:firstLineChars="0"/>
              <w:jc w:val="both"/>
              <w:textAlignment w:val="bottom"/>
              <w:rPr>
                <w:rFonts w:hint="eastAsia" w:ascii="宋体" w:hAnsi="宋体" w:eastAsia="宋体" w:cs="宋体"/>
                <w:b/>
                <w:bCs/>
                <w:i w:val="0"/>
                <w:iCs w:val="0"/>
                <w:color w:val="262626"/>
                <w:sz w:val="20"/>
                <w:szCs w:val="20"/>
                <w:u w:val="none"/>
              </w:rPr>
            </w:pPr>
            <w:r>
              <w:rPr>
                <w:rFonts w:hint="eastAsia" w:ascii="宋体" w:hAnsi="宋体" w:eastAsia="宋体" w:cs="宋体"/>
                <w:b/>
                <w:bCs/>
                <w:i w:val="0"/>
                <w:iCs w:val="0"/>
                <w:color w:val="262626"/>
                <w:kern w:val="0"/>
                <w:sz w:val="20"/>
                <w:szCs w:val="20"/>
                <w:u w:val="none"/>
                <w:lang w:val="en-US" w:eastAsia="zh-CN" w:bidi="ar"/>
              </w:rPr>
              <w:t>202</w:t>
            </w:r>
            <w:r>
              <w:rPr>
                <w:rFonts w:hint="eastAsia" w:ascii="宋体" w:hAnsi="宋体" w:cs="宋体"/>
                <w:b/>
                <w:bCs/>
                <w:i w:val="0"/>
                <w:iCs w:val="0"/>
                <w:color w:val="262626"/>
                <w:kern w:val="0"/>
                <w:sz w:val="20"/>
                <w:szCs w:val="20"/>
                <w:u w:val="none"/>
                <w:lang w:val="en-US" w:eastAsia="zh-CN" w:bidi="ar"/>
              </w:rPr>
              <w:t>3</w:t>
            </w:r>
            <w:r>
              <w:rPr>
                <w:rFonts w:hint="eastAsia" w:ascii="宋体" w:hAnsi="宋体" w:eastAsia="宋体" w:cs="宋体"/>
                <w:b/>
                <w:bCs/>
                <w:i w:val="0"/>
                <w:iCs w:val="0"/>
                <w:color w:val="262626"/>
                <w:kern w:val="0"/>
                <w:sz w:val="20"/>
                <w:szCs w:val="20"/>
                <w:u w:val="none"/>
                <w:lang w:val="en-US" w:eastAsia="zh-CN" w:bidi="ar"/>
              </w:rPr>
              <w:t>年</w:t>
            </w:r>
            <w:r>
              <w:rPr>
                <w:rFonts w:hint="eastAsia" w:ascii="宋体" w:hAnsi="宋体" w:cs="宋体"/>
                <w:b/>
                <w:bCs/>
                <w:i w:val="0"/>
                <w:iCs w:val="0"/>
                <w:color w:val="262626"/>
                <w:kern w:val="0"/>
                <w:sz w:val="20"/>
                <w:szCs w:val="20"/>
                <w:u w:val="none"/>
                <w:lang w:val="en-US" w:eastAsia="zh-CN" w:bidi="ar"/>
              </w:rPr>
              <w:t>8</w:t>
            </w:r>
            <w:r>
              <w:rPr>
                <w:rFonts w:hint="eastAsia" w:ascii="宋体" w:hAnsi="宋体" w:eastAsia="宋体" w:cs="宋体"/>
                <w:b/>
                <w:bCs/>
                <w:i w:val="0"/>
                <w:iCs w:val="0"/>
                <w:color w:val="262626"/>
                <w:kern w:val="0"/>
                <w:sz w:val="20"/>
                <w:szCs w:val="20"/>
                <w:u w:val="none"/>
                <w:lang w:val="en-US" w:eastAsia="zh-CN" w:bidi="ar"/>
              </w:rPr>
              <w:t>月</w:t>
            </w:r>
          </w:p>
        </w:tc>
        <w:tc>
          <w:tcPr>
            <w:tcW w:w="1476"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ind w:left="0" w:leftChars="0" w:firstLine="0" w:firstLineChars="0"/>
              <w:jc w:val="both"/>
              <w:textAlignment w:val="bottom"/>
              <w:rPr>
                <w:rFonts w:hint="eastAsia" w:ascii="宋体" w:hAnsi="宋体" w:eastAsia="宋体" w:cs="宋体"/>
                <w:b/>
                <w:bCs/>
                <w:i w:val="0"/>
                <w:iCs w:val="0"/>
                <w:color w:val="262626"/>
                <w:sz w:val="20"/>
                <w:szCs w:val="20"/>
                <w:u w:val="none"/>
              </w:rPr>
            </w:pPr>
            <w:r>
              <w:rPr>
                <w:rFonts w:hint="eastAsia" w:ascii="宋体" w:hAnsi="宋体" w:eastAsia="宋体" w:cs="宋体"/>
                <w:b/>
                <w:bCs/>
                <w:i w:val="0"/>
                <w:iCs w:val="0"/>
                <w:color w:val="262626"/>
                <w:kern w:val="0"/>
                <w:sz w:val="20"/>
                <w:szCs w:val="20"/>
                <w:u w:val="none"/>
                <w:lang w:val="en-US" w:eastAsia="zh-CN" w:bidi="ar"/>
              </w:rPr>
              <w:t>202</w:t>
            </w:r>
            <w:r>
              <w:rPr>
                <w:rFonts w:hint="eastAsia" w:ascii="宋体" w:hAnsi="宋体" w:cs="宋体"/>
                <w:b/>
                <w:bCs/>
                <w:i w:val="0"/>
                <w:iCs w:val="0"/>
                <w:color w:val="262626"/>
                <w:kern w:val="0"/>
                <w:sz w:val="20"/>
                <w:szCs w:val="20"/>
                <w:u w:val="none"/>
                <w:lang w:val="en-US" w:eastAsia="zh-CN" w:bidi="ar"/>
              </w:rPr>
              <w:t>3</w:t>
            </w:r>
            <w:r>
              <w:rPr>
                <w:rFonts w:hint="eastAsia" w:ascii="宋体" w:hAnsi="宋体" w:eastAsia="宋体" w:cs="宋体"/>
                <w:b/>
                <w:bCs/>
                <w:i w:val="0"/>
                <w:iCs w:val="0"/>
                <w:color w:val="262626"/>
                <w:kern w:val="0"/>
                <w:sz w:val="20"/>
                <w:szCs w:val="20"/>
                <w:u w:val="none"/>
                <w:lang w:val="en-US" w:eastAsia="zh-CN" w:bidi="ar"/>
              </w:rPr>
              <w:t>年</w:t>
            </w:r>
            <w:r>
              <w:rPr>
                <w:rFonts w:hint="eastAsia" w:ascii="宋体" w:hAnsi="宋体" w:cs="宋体"/>
                <w:b/>
                <w:bCs/>
                <w:i w:val="0"/>
                <w:iCs w:val="0"/>
                <w:color w:val="262626"/>
                <w:kern w:val="0"/>
                <w:sz w:val="20"/>
                <w:szCs w:val="20"/>
                <w:u w:val="none"/>
                <w:lang w:val="en-US" w:eastAsia="zh-CN" w:bidi="ar"/>
              </w:rPr>
              <w:t>9</w:t>
            </w:r>
            <w:r>
              <w:rPr>
                <w:rFonts w:hint="eastAsia" w:ascii="宋体" w:hAnsi="宋体" w:eastAsia="宋体" w:cs="宋体"/>
                <w:b/>
                <w:bCs/>
                <w:i w:val="0"/>
                <w:iCs w:val="0"/>
                <w:color w:val="262626"/>
                <w:kern w:val="0"/>
                <w:sz w:val="20"/>
                <w:szCs w:val="20"/>
                <w:u w:val="none"/>
                <w:lang w:val="en-US" w:eastAsia="zh-CN" w:bidi="ar"/>
              </w:rPr>
              <w:t>月</w:t>
            </w:r>
          </w:p>
        </w:tc>
        <w:tc>
          <w:tcPr>
            <w:tcW w:w="2199"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ind w:left="0" w:leftChars="0" w:firstLine="0" w:firstLineChars="0"/>
              <w:jc w:val="center"/>
              <w:textAlignment w:val="bottom"/>
              <w:rPr>
                <w:rFonts w:hint="eastAsia" w:ascii="宋体" w:hAnsi="宋体" w:eastAsia="宋体" w:cs="宋体"/>
                <w:b/>
                <w:bCs/>
                <w:i w:val="0"/>
                <w:iCs w:val="0"/>
                <w:color w:val="262626"/>
                <w:sz w:val="20"/>
                <w:szCs w:val="20"/>
                <w:u w:val="none"/>
              </w:rPr>
            </w:pPr>
            <w:r>
              <w:rPr>
                <w:rFonts w:hint="eastAsia" w:ascii="宋体" w:hAnsi="宋体" w:eastAsia="宋体" w:cs="宋体"/>
                <w:b/>
                <w:bCs/>
                <w:i w:val="0"/>
                <w:iCs w:val="0"/>
                <w:color w:val="262626"/>
                <w:kern w:val="0"/>
                <w:sz w:val="15"/>
                <w:szCs w:val="15"/>
                <w:u w:val="none"/>
                <w:lang w:val="en-US" w:eastAsia="zh-CN" w:bidi="ar"/>
              </w:rPr>
              <w:t>与</w:t>
            </w:r>
            <w:r>
              <w:rPr>
                <w:rFonts w:hint="eastAsia" w:ascii="宋体" w:hAnsi="宋体" w:cs="宋体"/>
                <w:b/>
                <w:bCs/>
                <w:i w:val="0"/>
                <w:iCs w:val="0"/>
                <w:color w:val="262626"/>
                <w:kern w:val="0"/>
                <w:sz w:val="15"/>
                <w:szCs w:val="15"/>
                <w:u w:val="none"/>
                <w:lang w:val="en-US" w:eastAsia="zh-CN" w:bidi="ar"/>
              </w:rPr>
              <w:t>8</w:t>
            </w:r>
            <w:r>
              <w:rPr>
                <w:rFonts w:hint="eastAsia" w:ascii="宋体" w:hAnsi="宋体" w:eastAsia="宋体" w:cs="宋体"/>
                <w:b/>
                <w:bCs/>
                <w:i w:val="0"/>
                <w:iCs w:val="0"/>
                <w:color w:val="262626"/>
                <w:kern w:val="0"/>
                <w:sz w:val="15"/>
                <w:szCs w:val="15"/>
                <w:u w:val="none"/>
                <w:lang w:val="en-US" w:eastAsia="zh-CN" w:bidi="ar"/>
              </w:rPr>
              <w:t>月相比浮动情况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854"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待实施</w:t>
            </w:r>
          </w:p>
        </w:tc>
        <w:tc>
          <w:tcPr>
            <w:tcW w:w="1455"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8</w:t>
            </w:r>
          </w:p>
        </w:tc>
        <w:tc>
          <w:tcPr>
            <w:tcW w:w="1470"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15</w:t>
            </w:r>
          </w:p>
        </w:tc>
        <w:tc>
          <w:tcPr>
            <w:tcW w:w="1335"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10</w:t>
            </w:r>
          </w:p>
        </w:tc>
        <w:tc>
          <w:tcPr>
            <w:tcW w:w="1476"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33</w:t>
            </w:r>
          </w:p>
        </w:tc>
        <w:tc>
          <w:tcPr>
            <w:tcW w:w="2199"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宋体" w:hAnsi="宋体" w:eastAsia="宋体" w:cs="宋体"/>
                <w:b/>
                <w:bCs/>
                <w:i w:val="0"/>
                <w:iCs w:val="0"/>
                <w:color w:val="FF0000"/>
                <w:sz w:val="22"/>
                <w:szCs w:val="22"/>
                <w:u w:val="none"/>
                <w:lang w:val="en-US" w:eastAsia="zh-CN"/>
              </w:rPr>
            </w:pPr>
            <w:r>
              <w:rPr>
                <w:rFonts w:hint="default" w:ascii="宋体" w:hAnsi="宋体" w:eastAsia="宋体" w:cs="宋体"/>
                <w:b/>
                <w:bCs/>
                <w:i w:val="0"/>
                <w:iCs w:val="0"/>
                <w:color w:val="FF0000"/>
                <w:sz w:val="22"/>
                <w:szCs w:val="22"/>
                <w:u w:val="none"/>
                <w:lang w:val="en-US"/>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854"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已关闭</w:t>
            </w:r>
          </w:p>
        </w:tc>
        <w:tc>
          <w:tcPr>
            <w:tcW w:w="1455"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79</w:t>
            </w:r>
          </w:p>
        </w:tc>
        <w:tc>
          <w:tcPr>
            <w:tcW w:w="1470"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66</w:t>
            </w:r>
          </w:p>
        </w:tc>
        <w:tc>
          <w:tcPr>
            <w:tcW w:w="1335"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58</w:t>
            </w:r>
          </w:p>
        </w:tc>
        <w:tc>
          <w:tcPr>
            <w:tcW w:w="1476"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63</w:t>
            </w:r>
          </w:p>
        </w:tc>
        <w:tc>
          <w:tcPr>
            <w:tcW w:w="2199"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宋体" w:hAnsi="宋体" w:eastAsia="宋体" w:cs="宋体"/>
                <w:b/>
                <w:bCs/>
                <w:i w:val="0"/>
                <w:iCs w:val="0"/>
                <w:color w:val="FF0000"/>
                <w:sz w:val="22"/>
                <w:szCs w:val="22"/>
                <w:u w:val="none"/>
                <w:lang w:val="en-US"/>
              </w:rPr>
            </w:pPr>
            <w:r>
              <w:rPr>
                <w:rFonts w:hint="eastAsia" w:ascii="宋体" w:hAnsi="宋体" w:eastAsia="宋体" w:cs="宋体"/>
                <w:b/>
                <w:bCs/>
                <w:i w:val="0"/>
                <w:iCs w:val="0"/>
                <w:color w:val="FF0000"/>
                <w:kern w:val="0"/>
                <w:sz w:val="22"/>
                <w:szCs w:val="22"/>
                <w:u w:val="none"/>
                <w:lang w:val="en-US" w:eastAsia="zh-CN" w:bidi="ar"/>
              </w:rPr>
              <w:t>↓</w:t>
            </w:r>
            <w:r>
              <w:rPr>
                <w:rFonts w:hint="eastAsia" w:ascii="宋体" w:hAnsi="宋体" w:cs="宋体"/>
                <w:b/>
                <w:bCs/>
                <w:i w:val="0"/>
                <w:iCs w:val="0"/>
                <w:color w:val="FF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54"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总变更数</w:t>
            </w:r>
          </w:p>
        </w:tc>
        <w:tc>
          <w:tcPr>
            <w:tcW w:w="1455" w:type="dxa"/>
            <w:tcBorders>
              <w:top w:val="single" w:color="000000" w:sz="4" w:space="0"/>
              <w:left w:val="single" w:color="000000" w:sz="4" w:space="0"/>
              <w:bottom w:val="single" w:color="000000" w:sz="4" w:space="0"/>
              <w:right w:val="single" w:color="000000" w:sz="4" w:space="0"/>
            </w:tcBorders>
            <w:shd w:val="clear" w:color="auto" w:fill="D8E4BC"/>
            <w:noWrap/>
            <w:vAlign w:val="bottom"/>
          </w:tcPr>
          <w:p>
            <w:pPr>
              <w:keepNext w:val="0"/>
              <w:keepLines w:val="0"/>
              <w:widowControl/>
              <w:suppressLineNumbers w:val="0"/>
              <w:jc w:val="center"/>
              <w:textAlignment w:val="bottom"/>
              <w:rPr>
                <w:rFonts w:hint="default" w:ascii="Arial" w:hAnsi="Arial" w:eastAsia="宋体" w:cs="Arial"/>
                <w:b/>
                <w:bCs/>
                <w:i w:val="0"/>
                <w:iCs w:val="0"/>
                <w:color w:val="C00000"/>
                <w:sz w:val="20"/>
                <w:szCs w:val="20"/>
                <w:u w:val="none"/>
                <w:lang w:val="en-US" w:eastAsia="zh-CN"/>
              </w:rPr>
            </w:pPr>
            <w:r>
              <w:rPr>
                <w:rFonts w:hint="eastAsia" w:ascii="Arial" w:hAnsi="Arial" w:cs="Arial"/>
                <w:b/>
                <w:bCs/>
                <w:i w:val="0"/>
                <w:iCs w:val="0"/>
                <w:color w:val="C00000"/>
                <w:sz w:val="20"/>
                <w:szCs w:val="20"/>
                <w:u w:val="none"/>
                <w:lang w:val="en-US" w:eastAsia="zh-CN"/>
              </w:rPr>
              <w:t>87</w:t>
            </w:r>
          </w:p>
        </w:tc>
        <w:tc>
          <w:tcPr>
            <w:tcW w:w="1470" w:type="dxa"/>
            <w:tcBorders>
              <w:top w:val="single" w:color="000000" w:sz="4" w:space="0"/>
              <w:left w:val="single" w:color="000000" w:sz="4" w:space="0"/>
              <w:bottom w:val="single" w:color="000000" w:sz="4" w:space="0"/>
              <w:right w:val="single" w:color="000000" w:sz="4" w:space="0"/>
            </w:tcBorders>
            <w:shd w:val="clear" w:color="auto" w:fill="D8E4BC"/>
            <w:noWrap/>
            <w:vAlign w:val="bottom"/>
          </w:tcPr>
          <w:p>
            <w:pPr>
              <w:keepNext w:val="0"/>
              <w:keepLines w:val="0"/>
              <w:widowControl/>
              <w:suppressLineNumbers w:val="0"/>
              <w:jc w:val="center"/>
              <w:textAlignment w:val="bottom"/>
              <w:rPr>
                <w:rFonts w:hint="default" w:ascii="Arial" w:hAnsi="Arial" w:eastAsia="宋体" w:cs="Arial"/>
                <w:b/>
                <w:bCs/>
                <w:i w:val="0"/>
                <w:iCs w:val="0"/>
                <w:color w:val="C00000"/>
                <w:sz w:val="20"/>
                <w:szCs w:val="20"/>
                <w:u w:val="none"/>
                <w:lang w:val="en-US" w:eastAsia="zh-CN"/>
              </w:rPr>
            </w:pPr>
            <w:r>
              <w:rPr>
                <w:rFonts w:hint="eastAsia" w:ascii="Arial" w:hAnsi="Arial" w:cs="Arial"/>
                <w:b/>
                <w:bCs/>
                <w:i w:val="0"/>
                <w:iCs w:val="0"/>
                <w:color w:val="C00000"/>
                <w:sz w:val="20"/>
                <w:szCs w:val="20"/>
                <w:u w:val="none"/>
                <w:lang w:val="en-US" w:eastAsia="zh-CN"/>
              </w:rPr>
              <w:t>81</w:t>
            </w:r>
          </w:p>
        </w:tc>
        <w:tc>
          <w:tcPr>
            <w:tcW w:w="1335" w:type="dxa"/>
            <w:tcBorders>
              <w:top w:val="single" w:color="000000" w:sz="4" w:space="0"/>
              <w:left w:val="single" w:color="000000" w:sz="4" w:space="0"/>
              <w:bottom w:val="single" w:color="000000" w:sz="4" w:space="0"/>
              <w:right w:val="single" w:color="000000" w:sz="4" w:space="0"/>
            </w:tcBorders>
            <w:shd w:val="clear" w:color="auto" w:fill="D8E4BC"/>
            <w:noWrap/>
            <w:vAlign w:val="bottom"/>
          </w:tcPr>
          <w:p>
            <w:pPr>
              <w:keepNext w:val="0"/>
              <w:keepLines w:val="0"/>
              <w:widowControl/>
              <w:suppressLineNumbers w:val="0"/>
              <w:jc w:val="center"/>
              <w:textAlignment w:val="bottom"/>
              <w:rPr>
                <w:rFonts w:hint="default" w:ascii="Arial" w:hAnsi="Arial" w:eastAsia="宋体" w:cs="Arial"/>
                <w:b/>
                <w:bCs/>
                <w:i w:val="0"/>
                <w:iCs w:val="0"/>
                <w:color w:val="C00000"/>
                <w:sz w:val="20"/>
                <w:szCs w:val="20"/>
                <w:u w:val="none"/>
                <w:lang w:val="en-US" w:eastAsia="zh-CN"/>
              </w:rPr>
            </w:pPr>
            <w:r>
              <w:rPr>
                <w:rFonts w:hint="eastAsia" w:ascii="Arial" w:hAnsi="Arial" w:cs="Arial"/>
                <w:b/>
                <w:bCs/>
                <w:i w:val="0"/>
                <w:iCs w:val="0"/>
                <w:color w:val="C00000"/>
                <w:sz w:val="20"/>
                <w:szCs w:val="20"/>
                <w:u w:val="none"/>
                <w:lang w:val="en-US" w:eastAsia="zh-CN"/>
              </w:rPr>
              <w:t>68</w:t>
            </w:r>
          </w:p>
        </w:tc>
        <w:tc>
          <w:tcPr>
            <w:tcW w:w="1476" w:type="dxa"/>
            <w:tcBorders>
              <w:top w:val="single" w:color="000000" w:sz="4" w:space="0"/>
              <w:left w:val="single" w:color="000000" w:sz="4" w:space="0"/>
              <w:bottom w:val="single" w:color="000000" w:sz="4" w:space="0"/>
              <w:right w:val="single" w:color="000000" w:sz="4" w:space="0"/>
            </w:tcBorders>
            <w:shd w:val="clear" w:color="auto" w:fill="D8E4BC"/>
            <w:noWrap/>
            <w:vAlign w:val="bottom"/>
          </w:tcPr>
          <w:p>
            <w:pPr>
              <w:keepNext w:val="0"/>
              <w:keepLines w:val="0"/>
              <w:widowControl/>
              <w:suppressLineNumbers w:val="0"/>
              <w:jc w:val="center"/>
              <w:textAlignment w:val="bottom"/>
              <w:rPr>
                <w:rFonts w:hint="default" w:ascii="Arial" w:hAnsi="Arial" w:eastAsia="宋体" w:cs="Arial"/>
                <w:b/>
                <w:bCs/>
                <w:i w:val="0"/>
                <w:iCs w:val="0"/>
                <w:color w:val="C00000"/>
                <w:sz w:val="20"/>
                <w:szCs w:val="20"/>
                <w:u w:val="none"/>
                <w:lang w:val="en-US" w:eastAsia="zh-CN"/>
              </w:rPr>
            </w:pPr>
            <w:r>
              <w:rPr>
                <w:rFonts w:hint="eastAsia" w:ascii="Arial" w:hAnsi="Arial" w:cs="Arial"/>
                <w:b/>
                <w:bCs/>
                <w:i w:val="0"/>
                <w:iCs w:val="0"/>
                <w:color w:val="C00000"/>
                <w:sz w:val="20"/>
                <w:szCs w:val="20"/>
                <w:u w:val="none"/>
                <w:lang w:val="en-US" w:eastAsia="zh-CN"/>
              </w:rPr>
              <w:t>96</w:t>
            </w:r>
          </w:p>
        </w:tc>
        <w:tc>
          <w:tcPr>
            <w:tcW w:w="2199" w:type="dxa"/>
            <w:tcBorders>
              <w:top w:val="single" w:color="000000" w:sz="4" w:space="0"/>
              <w:left w:val="single" w:color="000000" w:sz="4" w:space="0"/>
              <w:bottom w:val="single" w:color="000000" w:sz="4" w:space="0"/>
              <w:right w:val="single" w:color="000000" w:sz="4" w:space="0"/>
            </w:tcBorders>
            <w:shd w:val="clear" w:color="auto" w:fill="D8E4BC"/>
            <w:noWrap/>
            <w:vAlign w:val="bottom"/>
          </w:tcPr>
          <w:p>
            <w:pPr>
              <w:keepNext w:val="0"/>
              <w:keepLines w:val="0"/>
              <w:widowControl/>
              <w:suppressLineNumbers w:val="0"/>
              <w:jc w:val="center"/>
              <w:textAlignment w:val="bottom"/>
              <w:rPr>
                <w:rFonts w:hint="default" w:ascii="宋体" w:hAnsi="宋体" w:eastAsia="宋体" w:cs="宋体"/>
                <w:b/>
                <w:bCs/>
                <w:i w:val="0"/>
                <w:iCs w:val="0"/>
                <w:color w:val="FF0000"/>
                <w:sz w:val="22"/>
                <w:szCs w:val="22"/>
                <w:u w:val="none"/>
                <w:lang w:val="en-US" w:eastAsia="zh-CN"/>
              </w:rPr>
            </w:pPr>
            <w:r>
              <w:rPr>
                <w:rFonts w:hint="eastAsia" w:ascii="宋体" w:hAnsi="宋体" w:eastAsia="宋体" w:cs="宋体"/>
                <w:b/>
                <w:bCs/>
                <w:i w:val="0"/>
                <w:iCs w:val="0"/>
                <w:color w:val="FF0000"/>
                <w:kern w:val="0"/>
                <w:sz w:val="22"/>
                <w:szCs w:val="22"/>
                <w:u w:val="none"/>
                <w:lang w:val="en-US" w:eastAsia="zh-CN" w:bidi="ar"/>
              </w:rPr>
              <w:t>↑16</w:t>
            </w:r>
          </w:p>
        </w:tc>
      </w:tr>
    </w:tbl>
    <w:p>
      <w:pPr>
        <w:jc w:val="left"/>
        <w:rPr>
          <w:rFonts w:hint="eastAsia" w:ascii="宋体" w:hAnsi="宋体" w:cs="宋体"/>
          <w:color w:val="953735" w:themeColor="accent2" w:themeShade="BF"/>
          <w:sz w:val="21"/>
          <w:szCs w:val="21"/>
          <w:lang w:val="en-US" w:eastAsia="zh-CN"/>
        </w:rPr>
      </w:pPr>
      <w:r>
        <w:rPr>
          <w:rFonts w:hint="eastAsia" w:ascii="宋体" w:hAnsi="宋体" w:cs="宋体"/>
          <w:color w:val="953735" w:themeColor="accent2" w:themeShade="BF"/>
          <w:sz w:val="21"/>
          <w:szCs w:val="21"/>
          <w:lang w:val="en-US" w:eastAsia="zh-CN"/>
        </w:rPr>
        <w:t>（PS</w:t>
      </w:r>
      <w:r>
        <w:rPr>
          <w:rFonts w:hint="eastAsia" w:ascii="宋体" w:hAnsi="宋体" w:eastAsia="宋体" w:cs="宋体"/>
          <w:color w:val="953735" w:themeColor="accent2" w:themeShade="BF"/>
          <w:sz w:val="21"/>
          <w:szCs w:val="21"/>
          <w:lang w:eastAsia="zh-CN"/>
        </w:rPr>
        <w:t>：</w:t>
      </w:r>
      <w:r>
        <w:rPr>
          <w:rFonts w:hint="eastAsia" w:ascii="宋体" w:hAnsi="宋体" w:cs="宋体"/>
          <w:color w:val="953735" w:themeColor="accent2" w:themeShade="BF"/>
          <w:sz w:val="21"/>
          <w:szCs w:val="21"/>
          <w:lang w:val="en-US" w:eastAsia="zh-CN"/>
        </w:rPr>
        <w:t>9月总变更工单数与往月相比差异不大。9月已完结,2023年6月至2023年9月皆有待实施工单，其中本月待实施工单剩33条占比最多，本月待实施主要分布在办公协同共占23条，处理人需合理分配工单及时处理，以保证用户的问题得以及时处理。）</w:t>
      </w:r>
    </w:p>
    <w:p>
      <w:pPr>
        <w:ind w:left="240" w:leftChars="100" w:firstLine="480" w:firstLineChars="200"/>
        <w:jc w:val="center"/>
      </w:pPr>
      <w:r>
        <w:drawing>
          <wp:inline distT="0" distB="0" distL="114300" distR="114300">
            <wp:extent cx="5715000" cy="3581400"/>
            <wp:effectExtent l="4445" t="5080" r="14605" b="13970"/>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5"/>
        <w:bidi w:val="0"/>
        <w:ind w:left="987"/>
        <w:rPr>
          <w:rFonts w:hint="eastAsia"/>
          <w:lang w:val="en-US" w:eastAsia="zh-CN"/>
        </w:rPr>
      </w:pPr>
      <w:bookmarkStart w:id="36" w:name="_Toc21482"/>
      <w:r>
        <w:rPr>
          <w:rFonts w:hint="eastAsia"/>
          <w:lang w:val="en-US" w:eastAsia="zh-CN"/>
        </w:rPr>
        <w:t>服务台变更工单处理人分布情况</w:t>
      </w:r>
      <w:bookmarkEnd w:id="36"/>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本月的变更工单处理人主要是徐喆较多（69条），其余处理人变更工单数较少在10条及以下，具体如下图所示：</w:t>
      </w:r>
    </w:p>
    <w:p>
      <w:pPr>
        <w:jc w:val="center"/>
      </w:pPr>
      <w:r>
        <w:drawing>
          <wp:inline distT="0" distB="0" distL="114300" distR="114300">
            <wp:extent cx="4915535" cy="4133215"/>
            <wp:effectExtent l="107315" t="99695" r="120650" b="11049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center"/>
        <w:rPr>
          <w:rFonts w:hint="eastAsia"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（PS：9月总体处理人分布情况与往月分布相比差异不大）</w:t>
      </w:r>
    </w:p>
    <w:p>
      <w:pPr>
        <w:pStyle w:val="5"/>
        <w:bidi w:val="0"/>
        <w:ind w:left="987"/>
        <w:outlineLvl w:val="1"/>
        <w:rPr>
          <w:rFonts w:hint="eastAsia"/>
        </w:rPr>
      </w:pPr>
      <w:bookmarkStart w:id="37" w:name="_Toc9522"/>
      <w:bookmarkStart w:id="38" w:name="_Toc25116"/>
      <w:r>
        <w:rPr>
          <w:rFonts w:hint="eastAsia"/>
          <w:lang w:eastAsia="zh-CN"/>
        </w:rPr>
        <w:t>服务台变更工单业务运维分布及待处理情况</w:t>
      </w:r>
      <w:bookmarkEnd w:id="37"/>
      <w:bookmarkEnd w:id="38"/>
      <w:r>
        <w:rPr>
          <w:rFonts w:hint="eastAsia"/>
          <w:lang w:val="en-US" w:eastAsia="zh-CN"/>
        </w:rPr>
        <w:t xml:space="preserve">   </w:t>
      </w:r>
    </w:p>
    <w:p>
      <w:pPr>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sz w:val="28"/>
          <w:szCs w:val="28"/>
          <w:lang w:eastAsia="zh-CN"/>
        </w:rPr>
        <w:t>本月变更工单业务运维主要分布在办公协同，少数业务运维分布在</w:t>
      </w:r>
      <w:r>
        <w:rPr>
          <w:rFonts w:hint="eastAsia" w:ascii="华文仿宋" w:hAnsi="华文仿宋" w:eastAsia="华文仿宋" w:cs="华文仿宋"/>
          <w:sz w:val="28"/>
          <w:szCs w:val="28"/>
          <w:lang w:val="en-US" w:eastAsia="zh-CN"/>
        </w:rPr>
        <w:t>ERP、桌面系统运维及综合项目管理等</w:t>
      </w:r>
      <w:r>
        <w:rPr>
          <w:rFonts w:hint="eastAsia" w:ascii="华文仿宋" w:hAnsi="华文仿宋" w:eastAsia="华文仿宋" w:cs="华文仿宋"/>
          <w:sz w:val="28"/>
          <w:szCs w:val="28"/>
          <w:lang w:eastAsia="zh-CN"/>
        </w:rPr>
        <w:t>平台。</w:t>
      </w:r>
      <w:r>
        <w:rPr>
          <w:rFonts w:hint="eastAsia" w:ascii="华文仿宋" w:hAnsi="华文仿宋" w:eastAsia="华文仿宋" w:cs="华文仿宋"/>
          <w:color w:val="auto"/>
          <w:sz w:val="28"/>
          <w:szCs w:val="28"/>
          <w:lang w:val="en-US" w:eastAsia="zh-CN"/>
        </w:rPr>
        <w:t>总体业务分布</w:t>
      </w:r>
      <w:r>
        <w:rPr>
          <w:rFonts w:hint="eastAsia" w:ascii="华文仿宋" w:hAnsi="华文仿宋" w:eastAsia="华文仿宋" w:cs="华文仿宋"/>
          <w:color w:val="auto"/>
          <w:sz w:val="28"/>
          <w:szCs w:val="28"/>
          <w:lang w:eastAsia="zh-CN"/>
        </w:rPr>
        <w:t>与往月相比有所减少。</w:t>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本月</w:t>
      </w:r>
      <w:r>
        <w:rPr>
          <w:rFonts w:hint="eastAsia" w:ascii="华文仿宋" w:hAnsi="华文仿宋" w:eastAsia="华文仿宋" w:cs="华文仿宋"/>
          <w:sz w:val="28"/>
          <w:szCs w:val="28"/>
          <w:lang w:eastAsia="zh-CN"/>
        </w:rPr>
        <w:t>的变更工单待实施共</w:t>
      </w:r>
      <w:r>
        <w:rPr>
          <w:rFonts w:hint="eastAsia" w:ascii="华文仿宋" w:hAnsi="华文仿宋" w:eastAsia="华文仿宋" w:cs="华文仿宋"/>
          <w:sz w:val="28"/>
          <w:szCs w:val="28"/>
          <w:lang w:val="en-US" w:eastAsia="zh-CN"/>
        </w:rPr>
        <w:t>33</w:t>
      </w:r>
      <w:r>
        <w:rPr>
          <w:rFonts w:hint="eastAsia" w:ascii="华文仿宋" w:hAnsi="华文仿宋" w:eastAsia="华文仿宋" w:cs="华文仿宋"/>
          <w:sz w:val="28"/>
          <w:szCs w:val="28"/>
          <w:lang w:eastAsia="zh-CN"/>
        </w:rPr>
        <w:t>条（办公协同占</w:t>
      </w:r>
      <w:r>
        <w:rPr>
          <w:rFonts w:hint="eastAsia" w:ascii="华文仿宋" w:hAnsi="华文仿宋" w:eastAsia="华文仿宋" w:cs="华文仿宋"/>
          <w:sz w:val="28"/>
          <w:szCs w:val="28"/>
          <w:lang w:val="en-US" w:eastAsia="zh-CN"/>
        </w:rPr>
        <w:t>23</w:t>
      </w:r>
      <w:r>
        <w:rPr>
          <w:rFonts w:hint="eastAsia" w:ascii="华文仿宋" w:hAnsi="华文仿宋" w:eastAsia="华文仿宋" w:cs="华文仿宋"/>
          <w:sz w:val="28"/>
          <w:szCs w:val="28"/>
          <w:lang w:eastAsia="zh-CN"/>
        </w:rPr>
        <w:t>条），需尽快处理变更工单。</w:t>
      </w:r>
      <w:r>
        <w:rPr>
          <w:rFonts w:hint="eastAsia" w:ascii="华文仿宋" w:hAnsi="华文仿宋" w:eastAsia="华文仿宋" w:cs="华文仿宋"/>
          <w:sz w:val="28"/>
          <w:szCs w:val="28"/>
          <w:lang w:val="en-US" w:eastAsia="zh-CN"/>
        </w:rPr>
        <w:t>如下图所示：</w:t>
      </w:r>
    </w:p>
    <w:p>
      <w:pPr>
        <w:jc w:val="center"/>
        <w:rPr>
          <w:rFonts w:hint="default"/>
          <w:color w:val="953735" w:themeColor="accent2" w:themeShade="BF"/>
          <w:sz w:val="21"/>
          <w:szCs w:val="21"/>
          <w:lang w:val="en-US" w:eastAsia="zh-CN"/>
        </w:rPr>
      </w:pPr>
      <w:r>
        <w:drawing>
          <wp:inline distT="0" distB="0" distL="114300" distR="114300">
            <wp:extent cx="6466205" cy="4249420"/>
            <wp:effectExtent l="0" t="0" r="10795" b="17780"/>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left"/>
        <w:rPr>
          <w:rFonts w:hint="default"/>
          <w:color w:val="953735" w:themeColor="accent2" w:themeShade="BF"/>
          <w:sz w:val="21"/>
          <w:szCs w:val="21"/>
          <w:lang w:val="en-US" w:eastAsia="zh-CN"/>
        </w:rPr>
      </w:pPr>
      <w:r>
        <w:rPr>
          <w:rFonts w:hint="eastAsia"/>
          <w:color w:val="953735" w:themeColor="accent2" w:themeShade="BF"/>
          <w:sz w:val="21"/>
          <w:szCs w:val="21"/>
          <w:lang w:val="en-US" w:eastAsia="zh-CN"/>
        </w:rPr>
        <w:t>（PS：本月办公协同系统方面的变更总工单数及其待实施数皆最高。其余平台变更工单数和待实施数占比较少，本月剩余待处理变更工单较33条，建议各处理人及时处理变更工单，避免工单长期处于“待实施”状态影响用户正常运维工作。）</w:t>
      </w:r>
    </w:p>
    <w:p>
      <w:pPr>
        <w:pStyle w:val="4"/>
        <w:bidi w:val="0"/>
        <w:ind w:left="567"/>
        <w:rPr>
          <w:rFonts w:eastAsia="宋体"/>
        </w:rPr>
      </w:pPr>
      <w:bookmarkStart w:id="39" w:name="_Toc7797"/>
      <w:bookmarkStart w:id="40" w:name="_Toc7727"/>
      <w:r>
        <w:rPr>
          <w:rFonts w:hint="default" w:eastAsia="宋体"/>
          <w:lang w:val="en-US" w:eastAsia="zh-CN"/>
        </w:rPr>
        <w:t>任务工单分析</w:t>
      </w:r>
      <w:bookmarkEnd w:id="39"/>
      <w:bookmarkEnd w:id="40"/>
    </w:p>
    <w:p>
      <w:pPr>
        <w:pStyle w:val="5"/>
        <w:bidi w:val="0"/>
        <w:ind w:left="987"/>
        <w:outlineLvl w:val="1"/>
      </w:pPr>
      <w:bookmarkStart w:id="41" w:name="_Toc30430"/>
      <w:bookmarkStart w:id="42" w:name="_Toc20039"/>
      <w:r>
        <w:rPr>
          <w:rFonts w:hint="default"/>
          <w:lang w:eastAsia="zh-CN"/>
        </w:rPr>
        <w:t>服务台任务跟踪情况</w:t>
      </w:r>
      <w:bookmarkEnd w:id="41"/>
      <w:bookmarkEnd w:id="42"/>
      <w:r>
        <w:rPr>
          <w:rFonts w:hint="default"/>
          <w:lang w:val="en-US" w:eastAsia="zh-CN"/>
        </w:rPr>
        <w:t xml:space="preserve"> </w:t>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任务跟踪是日常固定的巡检计划跟一般计划，本月的巡检任务状态为待处理80宗，已关闭331宗，共411宗，关闭率为80.54%。</w:t>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截止目前，每月任务跟踪状态情况：</w:t>
      </w:r>
    </w:p>
    <w:tbl>
      <w:tblPr>
        <w:tblStyle w:val="34"/>
        <w:tblW w:w="9052" w:type="dxa"/>
        <w:jc w:val="center"/>
        <w:shd w:val="clear" w:color="auto" w:fill="auto"/>
        <w:tblLayout w:type="fixed"/>
        <w:tblCellMar>
          <w:top w:w="0" w:type="dxa"/>
          <w:left w:w="108" w:type="dxa"/>
          <w:bottom w:w="0" w:type="dxa"/>
          <w:right w:w="108" w:type="dxa"/>
        </w:tblCellMar>
      </w:tblPr>
      <w:tblGrid>
        <w:gridCol w:w="2505"/>
        <w:gridCol w:w="2143"/>
        <w:gridCol w:w="2181"/>
        <w:gridCol w:w="2223"/>
      </w:tblGrid>
      <w:tr>
        <w:tblPrEx>
          <w:shd w:val="clear" w:color="auto" w:fill="auto"/>
          <w:tblCellMar>
            <w:top w:w="0" w:type="dxa"/>
            <w:left w:w="108" w:type="dxa"/>
            <w:bottom w:w="0" w:type="dxa"/>
            <w:right w:w="108" w:type="dxa"/>
          </w:tblCellMar>
        </w:tblPrEx>
        <w:trPr>
          <w:trHeight w:val="90" w:hRule="atLeast"/>
          <w:jc w:val="center"/>
        </w:trPr>
        <w:tc>
          <w:tcPr>
            <w:tcW w:w="2505"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jc w:val="center"/>
              <w:textAlignment w:val="bottom"/>
              <w:rPr>
                <w:rFonts w:hint="eastAsia" w:ascii="宋体" w:hAnsi="宋体" w:eastAsia="宋体" w:cs="宋体"/>
                <w:b/>
                <w:bCs/>
                <w:i w:val="0"/>
                <w:iCs w:val="0"/>
                <w:color w:val="262626"/>
                <w:sz w:val="22"/>
                <w:szCs w:val="22"/>
                <w:u w:val="none"/>
              </w:rPr>
            </w:pPr>
            <w:r>
              <w:rPr>
                <w:rFonts w:hint="eastAsia" w:ascii="宋体" w:hAnsi="宋体" w:eastAsia="宋体" w:cs="宋体"/>
                <w:b/>
                <w:bCs/>
                <w:i w:val="0"/>
                <w:iCs w:val="0"/>
                <w:color w:val="262626"/>
                <w:kern w:val="0"/>
                <w:sz w:val="22"/>
                <w:szCs w:val="22"/>
                <w:u w:val="none"/>
                <w:lang w:val="en-US" w:eastAsia="zh-CN" w:bidi="ar"/>
              </w:rPr>
              <w:t>任务跟踪状态</w:t>
            </w:r>
          </w:p>
        </w:tc>
        <w:tc>
          <w:tcPr>
            <w:tcW w:w="2143" w:type="dxa"/>
            <w:tcBorders>
              <w:top w:val="single" w:color="000000" w:sz="4" w:space="0"/>
              <w:left w:val="single" w:color="000000" w:sz="4" w:space="0"/>
              <w:bottom w:val="single" w:color="000000" w:sz="4" w:space="0"/>
              <w:right w:val="nil"/>
            </w:tcBorders>
            <w:shd w:val="clear" w:color="auto" w:fill="C5D9F1"/>
            <w:noWrap/>
            <w:vAlign w:val="bottom"/>
          </w:tcPr>
          <w:p>
            <w:pPr>
              <w:keepNext w:val="0"/>
              <w:keepLines w:val="0"/>
              <w:widowControl/>
              <w:suppressLineNumbers w:val="0"/>
              <w:jc w:val="center"/>
              <w:textAlignment w:val="bottom"/>
              <w:rPr>
                <w:rFonts w:hint="eastAsia" w:ascii="宋体" w:hAnsi="宋体" w:eastAsia="宋体" w:cs="宋体"/>
                <w:b/>
                <w:bCs/>
                <w:i w:val="0"/>
                <w:iCs w:val="0"/>
                <w:color w:val="262626"/>
                <w:sz w:val="22"/>
                <w:szCs w:val="22"/>
                <w:u w:val="none"/>
              </w:rPr>
            </w:pPr>
            <w:r>
              <w:rPr>
                <w:rFonts w:hint="eastAsia" w:ascii="宋体" w:hAnsi="宋体" w:eastAsia="宋体" w:cs="宋体"/>
                <w:b/>
                <w:bCs/>
                <w:i w:val="0"/>
                <w:iCs w:val="0"/>
                <w:color w:val="262626"/>
                <w:kern w:val="0"/>
                <w:sz w:val="22"/>
                <w:szCs w:val="22"/>
                <w:u w:val="none"/>
                <w:lang w:val="en-US" w:eastAsia="zh-CN" w:bidi="ar"/>
              </w:rPr>
              <w:t>202</w:t>
            </w:r>
            <w:r>
              <w:rPr>
                <w:rFonts w:hint="eastAsia" w:ascii="宋体" w:hAnsi="宋体" w:cs="宋体"/>
                <w:b/>
                <w:bCs/>
                <w:i w:val="0"/>
                <w:iCs w:val="0"/>
                <w:color w:val="262626"/>
                <w:kern w:val="0"/>
                <w:sz w:val="22"/>
                <w:szCs w:val="22"/>
                <w:u w:val="none"/>
                <w:lang w:val="en-US" w:eastAsia="zh-CN" w:bidi="ar"/>
              </w:rPr>
              <w:t>3</w:t>
            </w:r>
            <w:r>
              <w:rPr>
                <w:rFonts w:hint="eastAsia" w:ascii="宋体" w:hAnsi="宋体" w:eastAsia="宋体" w:cs="宋体"/>
                <w:b/>
                <w:bCs/>
                <w:i w:val="0"/>
                <w:iCs w:val="0"/>
                <w:color w:val="262626"/>
                <w:kern w:val="0"/>
                <w:sz w:val="22"/>
                <w:szCs w:val="22"/>
                <w:u w:val="none"/>
                <w:lang w:val="en-US" w:eastAsia="zh-CN" w:bidi="ar"/>
              </w:rPr>
              <w:t>年</w:t>
            </w:r>
            <w:r>
              <w:rPr>
                <w:rFonts w:hint="eastAsia" w:ascii="宋体" w:hAnsi="宋体" w:cs="宋体"/>
                <w:b/>
                <w:bCs/>
                <w:i w:val="0"/>
                <w:iCs w:val="0"/>
                <w:color w:val="262626"/>
                <w:kern w:val="0"/>
                <w:sz w:val="22"/>
                <w:szCs w:val="22"/>
                <w:u w:val="none"/>
                <w:lang w:val="en-US" w:eastAsia="zh-CN" w:bidi="ar"/>
              </w:rPr>
              <w:t>7</w:t>
            </w:r>
            <w:r>
              <w:rPr>
                <w:rFonts w:hint="eastAsia" w:ascii="宋体" w:hAnsi="宋体" w:eastAsia="宋体" w:cs="宋体"/>
                <w:b/>
                <w:bCs/>
                <w:i w:val="0"/>
                <w:iCs w:val="0"/>
                <w:color w:val="262626"/>
                <w:kern w:val="0"/>
                <w:sz w:val="22"/>
                <w:szCs w:val="22"/>
                <w:u w:val="none"/>
                <w:lang w:val="en-US" w:eastAsia="zh-CN" w:bidi="ar"/>
              </w:rPr>
              <w:t>月</w:t>
            </w:r>
          </w:p>
        </w:tc>
        <w:tc>
          <w:tcPr>
            <w:tcW w:w="2181" w:type="dxa"/>
            <w:tcBorders>
              <w:top w:val="single" w:color="000000" w:sz="4" w:space="0"/>
              <w:left w:val="single" w:color="000000" w:sz="4" w:space="0"/>
              <w:bottom w:val="single" w:color="000000" w:sz="4" w:space="0"/>
              <w:right w:val="nil"/>
            </w:tcBorders>
            <w:shd w:val="clear" w:color="auto" w:fill="C5D9F1"/>
            <w:noWrap/>
            <w:vAlign w:val="bottom"/>
          </w:tcPr>
          <w:p>
            <w:pPr>
              <w:keepNext w:val="0"/>
              <w:keepLines w:val="0"/>
              <w:widowControl/>
              <w:suppressLineNumbers w:val="0"/>
              <w:jc w:val="center"/>
              <w:textAlignment w:val="bottom"/>
              <w:rPr>
                <w:rFonts w:hint="eastAsia" w:ascii="宋体" w:hAnsi="宋体" w:eastAsia="宋体" w:cs="宋体"/>
                <w:b/>
                <w:bCs/>
                <w:i w:val="0"/>
                <w:iCs w:val="0"/>
                <w:color w:val="262626"/>
                <w:sz w:val="22"/>
                <w:szCs w:val="22"/>
                <w:u w:val="none"/>
              </w:rPr>
            </w:pPr>
            <w:r>
              <w:rPr>
                <w:rFonts w:hint="eastAsia" w:ascii="宋体" w:hAnsi="宋体" w:eastAsia="宋体" w:cs="宋体"/>
                <w:b/>
                <w:bCs/>
                <w:i w:val="0"/>
                <w:iCs w:val="0"/>
                <w:color w:val="262626"/>
                <w:kern w:val="0"/>
                <w:sz w:val="22"/>
                <w:szCs w:val="22"/>
                <w:u w:val="none"/>
                <w:lang w:val="en-US" w:eastAsia="zh-CN" w:bidi="ar"/>
              </w:rPr>
              <w:t>202</w:t>
            </w:r>
            <w:r>
              <w:rPr>
                <w:rFonts w:hint="eastAsia" w:ascii="宋体" w:hAnsi="宋体" w:cs="宋体"/>
                <w:b/>
                <w:bCs/>
                <w:i w:val="0"/>
                <w:iCs w:val="0"/>
                <w:color w:val="262626"/>
                <w:kern w:val="0"/>
                <w:sz w:val="22"/>
                <w:szCs w:val="22"/>
                <w:u w:val="none"/>
                <w:lang w:val="en-US" w:eastAsia="zh-CN" w:bidi="ar"/>
              </w:rPr>
              <w:t>3</w:t>
            </w:r>
            <w:r>
              <w:rPr>
                <w:rFonts w:hint="eastAsia" w:ascii="宋体" w:hAnsi="宋体" w:eastAsia="宋体" w:cs="宋体"/>
                <w:b/>
                <w:bCs/>
                <w:i w:val="0"/>
                <w:iCs w:val="0"/>
                <w:color w:val="262626"/>
                <w:kern w:val="0"/>
                <w:sz w:val="22"/>
                <w:szCs w:val="22"/>
                <w:u w:val="none"/>
                <w:lang w:val="en-US" w:eastAsia="zh-CN" w:bidi="ar"/>
              </w:rPr>
              <w:t>年</w:t>
            </w:r>
            <w:r>
              <w:rPr>
                <w:rFonts w:hint="eastAsia" w:ascii="宋体" w:hAnsi="宋体" w:cs="宋体"/>
                <w:b/>
                <w:bCs/>
                <w:i w:val="0"/>
                <w:iCs w:val="0"/>
                <w:color w:val="262626"/>
                <w:kern w:val="0"/>
                <w:sz w:val="22"/>
                <w:szCs w:val="22"/>
                <w:u w:val="none"/>
                <w:lang w:val="en-US" w:eastAsia="zh-CN" w:bidi="ar"/>
              </w:rPr>
              <w:t>8</w:t>
            </w:r>
            <w:r>
              <w:rPr>
                <w:rFonts w:hint="eastAsia" w:ascii="宋体" w:hAnsi="宋体" w:eastAsia="宋体" w:cs="宋体"/>
                <w:b/>
                <w:bCs/>
                <w:i w:val="0"/>
                <w:iCs w:val="0"/>
                <w:color w:val="262626"/>
                <w:kern w:val="0"/>
                <w:sz w:val="22"/>
                <w:szCs w:val="22"/>
                <w:u w:val="none"/>
                <w:lang w:val="en-US" w:eastAsia="zh-CN" w:bidi="ar"/>
              </w:rPr>
              <w:t>月</w:t>
            </w:r>
          </w:p>
        </w:tc>
        <w:tc>
          <w:tcPr>
            <w:tcW w:w="2223" w:type="dxa"/>
            <w:tcBorders>
              <w:top w:val="single" w:color="000000" w:sz="4" w:space="0"/>
              <w:left w:val="single" w:color="000000" w:sz="4" w:space="0"/>
              <w:bottom w:val="single" w:color="000000" w:sz="4" w:space="0"/>
              <w:right w:val="single" w:color="000000" w:sz="4" w:space="0"/>
            </w:tcBorders>
            <w:shd w:val="clear" w:color="auto" w:fill="C5D9F1"/>
            <w:noWrap/>
            <w:vAlign w:val="bottom"/>
          </w:tcPr>
          <w:p>
            <w:pPr>
              <w:keepNext w:val="0"/>
              <w:keepLines w:val="0"/>
              <w:widowControl/>
              <w:suppressLineNumbers w:val="0"/>
              <w:jc w:val="center"/>
              <w:textAlignment w:val="bottom"/>
              <w:rPr>
                <w:rFonts w:hint="eastAsia" w:ascii="宋体" w:hAnsi="宋体" w:eastAsia="宋体" w:cs="宋体"/>
                <w:b/>
                <w:bCs/>
                <w:i w:val="0"/>
                <w:iCs w:val="0"/>
                <w:color w:val="262626"/>
                <w:sz w:val="22"/>
                <w:szCs w:val="22"/>
                <w:u w:val="none"/>
              </w:rPr>
            </w:pPr>
            <w:r>
              <w:rPr>
                <w:rFonts w:hint="eastAsia" w:ascii="宋体" w:hAnsi="宋体" w:eastAsia="宋体" w:cs="宋体"/>
                <w:b/>
                <w:bCs/>
                <w:i w:val="0"/>
                <w:iCs w:val="0"/>
                <w:color w:val="262626"/>
                <w:kern w:val="0"/>
                <w:sz w:val="22"/>
                <w:szCs w:val="22"/>
                <w:u w:val="none"/>
                <w:lang w:val="en-US" w:eastAsia="zh-CN" w:bidi="ar"/>
              </w:rPr>
              <w:t>202</w:t>
            </w:r>
            <w:r>
              <w:rPr>
                <w:rFonts w:hint="eastAsia" w:ascii="宋体" w:hAnsi="宋体" w:cs="宋体"/>
                <w:b/>
                <w:bCs/>
                <w:i w:val="0"/>
                <w:iCs w:val="0"/>
                <w:color w:val="262626"/>
                <w:kern w:val="0"/>
                <w:sz w:val="22"/>
                <w:szCs w:val="22"/>
                <w:u w:val="none"/>
                <w:lang w:val="en-US" w:eastAsia="zh-CN" w:bidi="ar"/>
              </w:rPr>
              <w:t>3</w:t>
            </w:r>
            <w:r>
              <w:rPr>
                <w:rFonts w:hint="eastAsia" w:ascii="宋体" w:hAnsi="宋体" w:eastAsia="宋体" w:cs="宋体"/>
                <w:b/>
                <w:bCs/>
                <w:i w:val="0"/>
                <w:iCs w:val="0"/>
                <w:color w:val="262626"/>
                <w:kern w:val="0"/>
                <w:sz w:val="22"/>
                <w:szCs w:val="22"/>
                <w:u w:val="none"/>
                <w:lang w:val="en-US" w:eastAsia="zh-CN" w:bidi="ar"/>
              </w:rPr>
              <w:t>年</w:t>
            </w:r>
            <w:r>
              <w:rPr>
                <w:rFonts w:hint="eastAsia" w:ascii="宋体" w:hAnsi="宋体" w:cs="宋体"/>
                <w:b/>
                <w:bCs/>
                <w:i w:val="0"/>
                <w:iCs w:val="0"/>
                <w:color w:val="262626"/>
                <w:kern w:val="0"/>
                <w:sz w:val="22"/>
                <w:szCs w:val="22"/>
                <w:u w:val="none"/>
                <w:lang w:val="en-US" w:eastAsia="zh-CN" w:bidi="ar"/>
              </w:rPr>
              <w:t>9</w:t>
            </w:r>
            <w:r>
              <w:rPr>
                <w:rFonts w:hint="eastAsia" w:ascii="宋体" w:hAnsi="宋体" w:eastAsia="宋体" w:cs="宋体"/>
                <w:b/>
                <w:bCs/>
                <w:i w:val="0"/>
                <w:iCs w:val="0"/>
                <w:color w:val="262626"/>
                <w:kern w:val="0"/>
                <w:sz w:val="22"/>
                <w:szCs w:val="22"/>
                <w:u w:val="none"/>
                <w:lang w:val="en-US" w:eastAsia="zh-CN" w:bidi="ar"/>
              </w:rPr>
              <w:t>月</w:t>
            </w:r>
          </w:p>
        </w:tc>
      </w:tr>
      <w:tr>
        <w:tblPrEx>
          <w:tblCellMar>
            <w:top w:w="0" w:type="dxa"/>
            <w:left w:w="108" w:type="dxa"/>
            <w:bottom w:w="0" w:type="dxa"/>
            <w:right w:w="108" w:type="dxa"/>
          </w:tblCellMar>
        </w:tblPrEx>
        <w:trPr>
          <w:trHeight w:val="300" w:hRule="atLeast"/>
          <w:jc w:val="center"/>
        </w:trPr>
        <w:tc>
          <w:tcPr>
            <w:tcW w:w="2505"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待处理</w:t>
            </w:r>
          </w:p>
        </w:tc>
        <w:tc>
          <w:tcPr>
            <w:tcW w:w="2143" w:type="dxa"/>
            <w:tcBorders>
              <w:top w:val="single" w:color="000000" w:sz="4" w:space="0"/>
              <w:left w:val="single" w:color="000000" w:sz="4" w:space="0"/>
              <w:bottom w:val="single" w:color="000000" w:sz="4" w:space="0"/>
              <w:right w:val="nil"/>
            </w:tcBorders>
            <w:shd w:val="clear" w:color="auto" w:fill="F2F2F2"/>
            <w:noWrap/>
            <w:vAlign w:val="bottom"/>
          </w:tcPr>
          <w:p>
            <w:pPr>
              <w:keepNext w:val="0"/>
              <w:keepLines w:val="0"/>
              <w:widowControl/>
              <w:suppressLineNumbers w:val="0"/>
              <w:jc w:val="center"/>
              <w:textAlignment w:val="bottom"/>
              <w:rPr>
                <w:rFonts w:hint="default" w:ascii="宋体" w:hAnsi="宋体" w:eastAsia="宋体" w:cs="宋体"/>
                <w:b/>
                <w:bCs/>
                <w:i w:val="0"/>
                <w:iCs w:val="0"/>
                <w:color w:val="C00000"/>
                <w:sz w:val="22"/>
                <w:szCs w:val="22"/>
                <w:u w:val="none"/>
                <w:lang w:val="en-US" w:eastAsia="zh-CN"/>
              </w:rPr>
            </w:pPr>
            <w:r>
              <w:rPr>
                <w:rFonts w:hint="eastAsia" w:ascii="宋体" w:hAnsi="宋体" w:cs="宋体"/>
                <w:b/>
                <w:bCs/>
                <w:i w:val="0"/>
                <w:iCs w:val="0"/>
                <w:color w:val="C00000"/>
                <w:sz w:val="22"/>
                <w:szCs w:val="22"/>
                <w:u w:val="none"/>
                <w:lang w:val="en-US" w:eastAsia="zh-CN"/>
              </w:rPr>
              <w:t>42</w:t>
            </w:r>
          </w:p>
        </w:tc>
        <w:tc>
          <w:tcPr>
            <w:tcW w:w="2181" w:type="dxa"/>
            <w:tcBorders>
              <w:top w:val="single" w:color="000000" w:sz="4" w:space="0"/>
              <w:left w:val="single" w:color="000000" w:sz="4" w:space="0"/>
              <w:bottom w:val="single" w:color="000000" w:sz="4" w:space="0"/>
              <w:right w:val="nil"/>
            </w:tcBorders>
            <w:shd w:val="clear" w:color="auto" w:fill="F2F2F2"/>
            <w:noWrap/>
            <w:vAlign w:val="bottom"/>
          </w:tcPr>
          <w:p>
            <w:pPr>
              <w:keepNext w:val="0"/>
              <w:keepLines w:val="0"/>
              <w:widowControl/>
              <w:suppressLineNumbers w:val="0"/>
              <w:jc w:val="center"/>
              <w:textAlignment w:val="bottom"/>
              <w:rPr>
                <w:rFonts w:hint="default" w:ascii="宋体" w:hAnsi="宋体" w:eastAsia="宋体" w:cs="宋体"/>
                <w:b/>
                <w:bCs/>
                <w:i w:val="0"/>
                <w:iCs w:val="0"/>
                <w:color w:val="C00000"/>
                <w:sz w:val="22"/>
                <w:szCs w:val="22"/>
                <w:u w:val="none"/>
                <w:lang w:val="en-US" w:eastAsia="zh-CN"/>
              </w:rPr>
            </w:pPr>
            <w:r>
              <w:rPr>
                <w:rFonts w:hint="eastAsia" w:ascii="宋体" w:hAnsi="宋体" w:cs="宋体"/>
                <w:b/>
                <w:bCs/>
                <w:i w:val="0"/>
                <w:iCs w:val="0"/>
                <w:color w:val="C00000"/>
                <w:sz w:val="22"/>
                <w:szCs w:val="22"/>
                <w:u w:val="none"/>
                <w:lang w:val="en-US" w:eastAsia="zh-CN"/>
              </w:rPr>
              <w:t>71</w:t>
            </w:r>
          </w:p>
        </w:tc>
        <w:tc>
          <w:tcPr>
            <w:tcW w:w="2223"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C00000"/>
                <w:sz w:val="22"/>
                <w:szCs w:val="22"/>
                <w:u w:val="none"/>
                <w:lang w:val="en-US" w:eastAsia="zh-CN"/>
              </w:rPr>
            </w:pPr>
            <w:r>
              <w:rPr>
                <w:rFonts w:hint="eastAsia" w:ascii="Arial" w:hAnsi="Arial" w:cs="Arial"/>
                <w:i w:val="0"/>
                <w:iCs w:val="0"/>
                <w:color w:val="C00000"/>
                <w:sz w:val="22"/>
                <w:szCs w:val="22"/>
                <w:u w:val="none"/>
                <w:lang w:val="en-US" w:eastAsia="zh-CN"/>
              </w:rPr>
              <w:t>80</w:t>
            </w:r>
          </w:p>
        </w:tc>
      </w:tr>
      <w:tr>
        <w:tblPrEx>
          <w:tblCellMar>
            <w:top w:w="0" w:type="dxa"/>
            <w:left w:w="108" w:type="dxa"/>
            <w:bottom w:w="0" w:type="dxa"/>
            <w:right w:w="108" w:type="dxa"/>
          </w:tblCellMar>
        </w:tblPrEx>
        <w:trPr>
          <w:trHeight w:val="300" w:hRule="atLeast"/>
          <w:jc w:val="center"/>
        </w:trPr>
        <w:tc>
          <w:tcPr>
            <w:tcW w:w="2505"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已关闭</w:t>
            </w:r>
          </w:p>
        </w:tc>
        <w:tc>
          <w:tcPr>
            <w:tcW w:w="2143" w:type="dxa"/>
            <w:tcBorders>
              <w:top w:val="single" w:color="000000" w:sz="4" w:space="0"/>
              <w:left w:val="single" w:color="000000" w:sz="4" w:space="0"/>
              <w:bottom w:val="single" w:color="000000" w:sz="4" w:space="0"/>
              <w:right w:val="nil"/>
            </w:tcBorders>
            <w:shd w:val="clear" w:color="auto" w:fill="F2F2F2"/>
            <w:noWrap/>
            <w:vAlign w:val="bottom"/>
          </w:tcPr>
          <w:p>
            <w:pPr>
              <w:keepNext w:val="0"/>
              <w:keepLines w:val="0"/>
              <w:widowControl/>
              <w:suppressLineNumbers w:val="0"/>
              <w:jc w:val="center"/>
              <w:textAlignment w:val="bottom"/>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308</w:t>
            </w:r>
          </w:p>
        </w:tc>
        <w:tc>
          <w:tcPr>
            <w:tcW w:w="2181" w:type="dxa"/>
            <w:tcBorders>
              <w:top w:val="single" w:color="000000" w:sz="4" w:space="0"/>
              <w:left w:val="single" w:color="000000" w:sz="4" w:space="0"/>
              <w:bottom w:val="single" w:color="000000" w:sz="4" w:space="0"/>
              <w:right w:val="nil"/>
            </w:tcBorders>
            <w:shd w:val="clear" w:color="auto" w:fill="F2F2F2"/>
            <w:noWrap/>
            <w:vAlign w:val="bottom"/>
          </w:tcPr>
          <w:p>
            <w:pPr>
              <w:keepNext w:val="0"/>
              <w:keepLines w:val="0"/>
              <w:widowControl/>
              <w:suppressLineNumbers w:val="0"/>
              <w:jc w:val="center"/>
              <w:textAlignment w:val="bottom"/>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303</w:t>
            </w:r>
          </w:p>
        </w:tc>
        <w:tc>
          <w:tcPr>
            <w:tcW w:w="2223" w:type="dxa"/>
            <w:tcBorders>
              <w:top w:val="single" w:color="000000" w:sz="4" w:space="0"/>
              <w:left w:val="single" w:color="000000" w:sz="4" w:space="0"/>
              <w:bottom w:val="single" w:color="000000" w:sz="4" w:space="0"/>
              <w:right w:val="single" w:color="000000" w:sz="4" w:space="0"/>
            </w:tcBorders>
            <w:shd w:val="clear" w:color="auto" w:fill="F2F2F2"/>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lang w:val="en-US" w:eastAsia="zh-CN"/>
              </w:rPr>
            </w:pPr>
            <w:r>
              <w:rPr>
                <w:rFonts w:hint="eastAsia" w:ascii="Arial" w:hAnsi="Arial" w:cs="Arial"/>
                <w:i w:val="0"/>
                <w:iCs w:val="0"/>
                <w:color w:val="000000"/>
                <w:sz w:val="22"/>
                <w:szCs w:val="22"/>
                <w:u w:val="none"/>
                <w:lang w:val="en-US" w:eastAsia="zh-CN"/>
              </w:rPr>
              <w:t>331</w:t>
            </w:r>
          </w:p>
        </w:tc>
      </w:tr>
      <w:tr>
        <w:tblPrEx>
          <w:tblCellMar>
            <w:top w:w="0" w:type="dxa"/>
            <w:left w:w="108" w:type="dxa"/>
            <w:bottom w:w="0" w:type="dxa"/>
            <w:right w:w="108" w:type="dxa"/>
          </w:tblCellMar>
        </w:tblPrEx>
        <w:trPr>
          <w:trHeight w:val="300" w:hRule="atLeast"/>
          <w:jc w:val="center"/>
        </w:trPr>
        <w:tc>
          <w:tcPr>
            <w:tcW w:w="2505" w:type="dxa"/>
            <w:tcBorders>
              <w:top w:val="single" w:color="000000" w:sz="4" w:space="0"/>
              <w:left w:val="single" w:color="000000" w:sz="4" w:space="0"/>
              <w:bottom w:val="single" w:color="000000" w:sz="4" w:space="0"/>
              <w:right w:val="single" w:color="000000" w:sz="4" w:space="0"/>
            </w:tcBorders>
            <w:shd w:val="clear" w:color="auto" w:fill="D8E4BC"/>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总数</w:t>
            </w:r>
          </w:p>
        </w:tc>
        <w:tc>
          <w:tcPr>
            <w:tcW w:w="2143" w:type="dxa"/>
            <w:tcBorders>
              <w:top w:val="single" w:color="000000" w:sz="4" w:space="0"/>
              <w:left w:val="single" w:color="000000" w:sz="4" w:space="0"/>
              <w:bottom w:val="single" w:color="000000" w:sz="4" w:space="0"/>
              <w:right w:val="nil"/>
            </w:tcBorders>
            <w:shd w:val="clear" w:color="auto" w:fill="D8E4BC"/>
            <w:noWrap/>
            <w:vAlign w:val="bottom"/>
          </w:tcPr>
          <w:p>
            <w:pPr>
              <w:keepNext w:val="0"/>
              <w:keepLines w:val="0"/>
              <w:widowControl/>
              <w:suppressLineNumbers w:val="0"/>
              <w:jc w:val="center"/>
              <w:textAlignment w:val="bottom"/>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350</w:t>
            </w:r>
          </w:p>
        </w:tc>
        <w:tc>
          <w:tcPr>
            <w:tcW w:w="2181" w:type="dxa"/>
            <w:tcBorders>
              <w:top w:val="single" w:color="000000" w:sz="4" w:space="0"/>
              <w:left w:val="single" w:color="000000" w:sz="4" w:space="0"/>
              <w:bottom w:val="single" w:color="000000" w:sz="4" w:space="0"/>
              <w:right w:val="nil"/>
            </w:tcBorders>
            <w:shd w:val="clear" w:color="auto" w:fill="D8E4BC"/>
            <w:noWrap/>
            <w:vAlign w:val="bottom"/>
          </w:tcPr>
          <w:p>
            <w:pPr>
              <w:keepNext w:val="0"/>
              <w:keepLines w:val="0"/>
              <w:widowControl/>
              <w:suppressLineNumbers w:val="0"/>
              <w:jc w:val="center"/>
              <w:textAlignment w:val="bottom"/>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374</w:t>
            </w:r>
          </w:p>
        </w:tc>
        <w:tc>
          <w:tcPr>
            <w:tcW w:w="2223" w:type="dxa"/>
            <w:tcBorders>
              <w:top w:val="single" w:color="000000" w:sz="4" w:space="0"/>
              <w:left w:val="single" w:color="000000" w:sz="4" w:space="0"/>
              <w:bottom w:val="single" w:color="000000" w:sz="4" w:space="0"/>
              <w:right w:val="single" w:color="000000" w:sz="4" w:space="0"/>
            </w:tcBorders>
            <w:shd w:val="clear" w:color="auto" w:fill="D8E4BC"/>
            <w:noWrap/>
            <w:vAlign w:val="bottom"/>
          </w:tcPr>
          <w:p>
            <w:pPr>
              <w:keepNext w:val="0"/>
              <w:keepLines w:val="0"/>
              <w:widowControl/>
              <w:suppressLineNumbers w:val="0"/>
              <w:jc w:val="center"/>
              <w:textAlignment w:val="bottom"/>
              <w:rPr>
                <w:rFonts w:hint="default" w:ascii="宋体" w:hAnsi="宋体" w:eastAsia="宋体" w:cs="宋体"/>
                <w:b/>
                <w:bCs/>
                <w:i w:val="0"/>
                <w:iCs w:val="0"/>
                <w:color w:val="000000"/>
                <w:sz w:val="22"/>
                <w:szCs w:val="22"/>
                <w:u w:val="none"/>
                <w:lang w:val="en-US" w:eastAsia="zh-CN"/>
              </w:rPr>
            </w:pPr>
            <w:r>
              <w:rPr>
                <w:rFonts w:hint="eastAsia" w:ascii="宋体" w:hAnsi="宋体" w:cs="宋体"/>
                <w:b/>
                <w:bCs/>
                <w:i w:val="0"/>
                <w:iCs w:val="0"/>
                <w:color w:val="000000"/>
                <w:sz w:val="22"/>
                <w:szCs w:val="22"/>
                <w:u w:val="none"/>
                <w:lang w:val="en-US" w:eastAsia="zh-CN"/>
              </w:rPr>
              <w:t>411</w:t>
            </w:r>
          </w:p>
        </w:tc>
      </w:tr>
    </w:tbl>
    <w:p>
      <w:pPr>
        <w:jc w:val="center"/>
      </w:pPr>
      <w:r>
        <w:drawing>
          <wp:inline distT="0" distB="0" distL="114300" distR="114300">
            <wp:extent cx="4962525" cy="2847340"/>
            <wp:effectExtent l="4445" t="4445" r="5080" b="5715"/>
            <wp:docPr id="3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left"/>
        <w:rPr>
          <w:rFonts w:hint="eastAsia" w:ascii="宋体" w:hAnsi="宋体" w:cs="宋体"/>
          <w:color w:val="C00000"/>
          <w:sz w:val="21"/>
          <w:szCs w:val="21"/>
          <w:lang w:val="en-US" w:eastAsia="zh-CN"/>
        </w:rPr>
      </w:pPr>
      <w:r>
        <w:rPr>
          <w:rFonts w:hint="eastAsia" w:ascii="宋体" w:hAnsi="宋体" w:cs="宋体"/>
          <w:color w:val="C00000"/>
          <w:sz w:val="21"/>
          <w:szCs w:val="21"/>
          <w:lang w:val="en-US" w:eastAsia="zh-CN"/>
        </w:rPr>
        <w:t>（</w:t>
      </w:r>
      <w:r>
        <w:rPr>
          <w:rFonts w:hint="eastAsia" w:ascii="宋体" w:hAnsi="宋体" w:eastAsia="宋体" w:cs="宋体"/>
          <w:color w:val="C00000"/>
          <w:sz w:val="21"/>
          <w:szCs w:val="21"/>
          <w:lang w:val="en-US" w:eastAsia="zh-CN"/>
        </w:rPr>
        <w:t>PS：任务工单总数</w:t>
      </w:r>
      <w:r>
        <w:rPr>
          <w:rFonts w:hint="eastAsia" w:ascii="宋体" w:hAnsi="宋体" w:cs="宋体"/>
          <w:color w:val="C00000"/>
          <w:sz w:val="21"/>
          <w:szCs w:val="21"/>
          <w:lang w:val="en-US" w:eastAsia="zh-CN"/>
        </w:rPr>
        <w:t>与往月相比差异不大</w:t>
      </w:r>
      <w:r>
        <w:rPr>
          <w:rFonts w:hint="eastAsia" w:ascii="宋体" w:hAnsi="宋体" w:eastAsia="宋体" w:cs="宋体"/>
          <w:color w:val="C00000"/>
          <w:sz w:val="21"/>
          <w:szCs w:val="21"/>
          <w:lang w:val="en-US" w:eastAsia="zh-CN"/>
        </w:rPr>
        <w:t>，</w:t>
      </w:r>
      <w:r>
        <w:rPr>
          <w:rFonts w:hint="eastAsia" w:ascii="宋体" w:hAnsi="宋体" w:cs="宋体"/>
          <w:color w:val="C00000"/>
          <w:sz w:val="21"/>
          <w:szCs w:val="21"/>
          <w:lang w:val="en-US" w:eastAsia="zh-CN"/>
        </w:rPr>
        <w:t>本月待处理任务工单剩余共80条。处理人应及时巡检保障网络机房等设备运行正常。）</w:t>
      </w:r>
    </w:p>
    <w:p>
      <w:pPr>
        <w:pStyle w:val="5"/>
        <w:bidi w:val="0"/>
        <w:ind w:left="987"/>
        <w:outlineLvl w:val="1"/>
        <w:rPr>
          <w:rFonts w:hint="default"/>
          <w:lang w:val="en-US" w:eastAsia="zh-CN"/>
        </w:rPr>
      </w:pPr>
      <w:bookmarkStart w:id="43" w:name="_Toc812"/>
      <w:bookmarkStart w:id="44" w:name="_Toc28810"/>
      <w:r>
        <w:rPr>
          <w:rFonts w:hint="eastAsia"/>
          <w:lang w:val="en-US" w:eastAsia="zh-CN"/>
        </w:rPr>
        <w:t>任务跟踪业务运维分布及待处理情况</w:t>
      </w:r>
      <w:bookmarkEnd w:id="43"/>
      <w:bookmarkEnd w:id="44"/>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2023年9月，任务工单按总体业务运维分布，顺序依次是服务器存储备份及配置、机房设施维护服务、网络及安全设施维护服务及会议服务、一号工程、IT运维管理平台、末端设备培训巡检、安全产品巡检及ERP等。</w:t>
      </w:r>
    </w:p>
    <w:p>
      <w:pPr>
        <w:jc w:val="center"/>
      </w:pPr>
      <w:r>
        <w:drawing>
          <wp:inline distT="0" distB="0" distL="114300" distR="114300">
            <wp:extent cx="5000625" cy="3267075"/>
            <wp:effectExtent l="4445" t="4445" r="5080" b="5080"/>
            <wp:docPr id="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jc w:val="left"/>
        <w:rPr>
          <w:rFonts w:hint="eastAsia" w:ascii="宋体" w:hAnsi="宋体" w:cs="宋体"/>
          <w:color w:val="C00000"/>
          <w:sz w:val="21"/>
          <w:szCs w:val="21"/>
          <w:lang w:val="en-US" w:eastAsia="zh-CN"/>
        </w:rPr>
      </w:pPr>
      <w:r>
        <w:rPr>
          <w:rFonts w:hint="eastAsia" w:ascii="宋体" w:hAnsi="宋体" w:cs="宋体"/>
          <w:color w:val="C00000"/>
          <w:sz w:val="21"/>
          <w:szCs w:val="21"/>
          <w:lang w:val="en-US" w:eastAsia="zh-CN"/>
        </w:rPr>
        <w:t>（</w:t>
      </w:r>
      <w:r>
        <w:rPr>
          <w:rFonts w:hint="eastAsia" w:ascii="宋体" w:hAnsi="宋体" w:eastAsia="宋体" w:cs="宋体"/>
          <w:color w:val="C00000"/>
          <w:sz w:val="21"/>
          <w:szCs w:val="21"/>
          <w:lang w:val="en-US" w:eastAsia="zh-CN"/>
        </w:rPr>
        <w:t>PS：</w:t>
      </w:r>
      <w:r>
        <w:rPr>
          <w:rFonts w:hint="eastAsia" w:ascii="宋体" w:hAnsi="宋体" w:cs="宋体"/>
          <w:color w:val="C00000"/>
          <w:sz w:val="21"/>
          <w:szCs w:val="21"/>
          <w:lang w:val="en-US" w:eastAsia="zh-CN"/>
        </w:rPr>
        <w:t>本月任务工单完毕情况良好，共剩余80条未处理，处理人需尽快处理任务工单完毕保障业务正常运行，建议巡检人按时保质完成任务。）</w:t>
      </w:r>
    </w:p>
    <w:p>
      <w:pPr>
        <w:pStyle w:val="4"/>
        <w:bidi w:val="0"/>
        <w:ind w:left="567"/>
        <w:rPr>
          <w:rFonts w:hint="default" w:eastAsia="宋体"/>
          <w:lang w:val="en-US" w:eastAsia="zh-CN"/>
        </w:rPr>
      </w:pPr>
      <w:bookmarkStart w:id="45" w:name="_Toc4570"/>
      <w:bookmarkStart w:id="46" w:name="_Toc14605"/>
      <w:r>
        <w:rPr>
          <w:rFonts w:hint="default" w:eastAsia="宋体"/>
          <w:lang w:val="en-US" w:eastAsia="zh-CN"/>
        </w:rPr>
        <w:t>文档管理情况</w:t>
      </w:r>
      <w:bookmarkEnd w:id="45"/>
      <w:bookmarkEnd w:id="46"/>
    </w:p>
    <w:p>
      <w:pPr>
        <w:pStyle w:val="5"/>
        <w:bidi w:val="0"/>
        <w:ind w:left="987"/>
        <w:outlineLvl w:val="1"/>
        <w:rPr>
          <w:rFonts w:hint="default"/>
          <w:lang w:val="en-US" w:eastAsia="zh-CN"/>
        </w:rPr>
      </w:pPr>
      <w:bookmarkStart w:id="47" w:name="_Toc11884"/>
      <w:bookmarkStart w:id="48" w:name="_Toc15583"/>
      <w:r>
        <w:rPr>
          <w:rFonts w:hint="default"/>
          <w:lang w:val="en-US" w:eastAsia="zh-CN"/>
        </w:rPr>
        <w:t>文档新增情况</w:t>
      </w:r>
      <w:bookmarkEnd w:id="47"/>
      <w:bookmarkEnd w:id="48"/>
      <w:r>
        <w:rPr>
          <w:rFonts w:hint="default"/>
          <w:lang w:val="en-US" w:eastAsia="zh-CN"/>
        </w:rPr>
        <w:t xml:space="preserve">  </w:t>
      </w:r>
    </w:p>
    <w:p>
      <w:pPr>
        <w:rPr>
          <w:rFonts w:hint="eastAsia" w:ascii="华文仿宋" w:hAnsi="华文仿宋" w:eastAsia="华文仿宋" w:cs="华文仿宋"/>
          <w:sz w:val="28"/>
          <w:szCs w:val="28"/>
          <w:lang w:val="en-US" w:eastAsia="zh-CN"/>
        </w:rPr>
      </w:pPr>
      <w:r>
        <w:rPr>
          <w:rFonts w:hint="eastAsia" w:ascii="华文仿宋" w:hAnsi="华文仿宋" w:eastAsia="华文仿宋" w:cs="华文仿宋"/>
          <w:color w:val="auto"/>
          <w:sz w:val="28"/>
          <w:szCs w:val="28"/>
          <w:lang w:val="en-US" w:eastAsia="zh-CN"/>
        </w:rPr>
        <w:t>本月文档新增共11宗</w:t>
      </w:r>
      <w:r>
        <w:rPr>
          <w:rFonts w:hint="eastAsia" w:ascii="华文仿宋" w:hAnsi="华文仿宋" w:eastAsia="华文仿宋" w:cs="华文仿宋"/>
          <w:sz w:val="28"/>
          <w:szCs w:val="28"/>
          <w:lang w:val="en-US" w:eastAsia="zh-CN"/>
        </w:rPr>
        <w:t>，集中为ERP平台上传月度运维报告等；ITil运维服务台上传月报；末端桌面上传月报培训文档等。</w:t>
      </w:r>
    </w:p>
    <w:tbl>
      <w:tblPr>
        <w:tblStyle w:val="34"/>
        <w:tblW w:w="10290" w:type="dxa"/>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35"/>
        <w:gridCol w:w="1125"/>
        <w:gridCol w:w="1875"/>
        <w:gridCol w:w="1185"/>
        <w:gridCol w:w="237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2535" w:type="dxa"/>
            <w:shd w:val="clear" w:color="auto" w:fill="948A5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文档标题</w:t>
            </w:r>
          </w:p>
        </w:tc>
        <w:tc>
          <w:tcPr>
            <w:tcW w:w="1125" w:type="dxa"/>
            <w:shd w:val="clear" w:color="auto" w:fill="948A5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eastAsia="zh-CN"/>
              </w:rPr>
            </w:pPr>
            <w:r>
              <w:rPr>
                <w:rFonts w:hint="eastAsia" w:ascii="宋体" w:hAnsi="宋体" w:cs="宋体"/>
                <w:b/>
                <w:bCs/>
                <w:i w:val="0"/>
                <w:iCs w:val="0"/>
                <w:color w:val="000000"/>
                <w:sz w:val="18"/>
                <w:szCs w:val="18"/>
                <w:u w:val="none"/>
                <w:lang w:eastAsia="zh-CN"/>
              </w:rPr>
              <w:t>上传者</w:t>
            </w:r>
          </w:p>
        </w:tc>
        <w:tc>
          <w:tcPr>
            <w:tcW w:w="1875" w:type="dxa"/>
            <w:shd w:val="clear" w:color="auto" w:fill="948A5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文档标题</w:t>
            </w:r>
          </w:p>
        </w:tc>
        <w:tc>
          <w:tcPr>
            <w:tcW w:w="1185" w:type="dxa"/>
            <w:shd w:val="clear" w:color="auto" w:fill="948A5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cs="宋体"/>
                <w:b/>
                <w:bCs/>
                <w:i w:val="0"/>
                <w:iCs w:val="0"/>
                <w:color w:val="000000"/>
                <w:kern w:val="0"/>
                <w:sz w:val="18"/>
                <w:szCs w:val="18"/>
                <w:u w:val="none"/>
                <w:lang w:val="en-US" w:eastAsia="zh-CN" w:bidi="ar"/>
              </w:rPr>
              <w:t>上传者</w:t>
            </w:r>
          </w:p>
        </w:tc>
        <w:tc>
          <w:tcPr>
            <w:tcW w:w="2370" w:type="dxa"/>
            <w:shd w:val="clear" w:color="auto" w:fill="948A5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文档标题</w:t>
            </w:r>
          </w:p>
        </w:tc>
        <w:tc>
          <w:tcPr>
            <w:tcW w:w="1200" w:type="dxa"/>
            <w:shd w:val="clear" w:color="auto" w:fill="948A5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cs="宋体"/>
                <w:b/>
                <w:bCs/>
                <w:i w:val="0"/>
                <w:iCs w:val="0"/>
                <w:color w:val="000000"/>
                <w:kern w:val="0"/>
                <w:sz w:val="18"/>
                <w:szCs w:val="18"/>
                <w:u w:val="none"/>
                <w:lang w:val="en-US" w:eastAsia="zh-CN" w:bidi="ar"/>
              </w:rPr>
              <w:t>上传者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535" w:type="dxa"/>
            <w:shd w:val="clear" w:color="auto" w:fill="auto"/>
            <w:vAlign w:val="center"/>
          </w:tcPr>
          <w:p>
            <w:pPr>
              <w:keepNext w:val="0"/>
              <w:keepLines w:val="0"/>
              <w:widowControl/>
              <w:suppressLineNumbers w:val="0"/>
              <w:ind w:left="0" w:leftChars="0" w:firstLine="0" w:firstLineChars="0"/>
              <w:jc w:val="left"/>
              <w:textAlignment w:val="center"/>
              <w:rPr>
                <w:rFonts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【广东中烟IT运维服务台运行情况统计】@2023年8月份</w:t>
            </w:r>
          </w:p>
        </w:tc>
        <w:tc>
          <w:tcPr>
            <w:tcW w:w="112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罗泽宇</w:t>
            </w:r>
          </w:p>
        </w:tc>
        <w:tc>
          <w:tcPr>
            <w:tcW w:w="1875"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关于2023年8月份IT运维服务台运行情况汇报</w:t>
            </w:r>
          </w:p>
        </w:tc>
        <w:tc>
          <w:tcPr>
            <w:tcW w:w="118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罗泽宇</w:t>
            </w:r>
          </w:p>
        </w:tc>
        <w:tc>
          <w:tcPr>
            <w:tcW w:w="2370"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亚信-中烟本部-20230731到 20230831</w:t>
            </w:r>
          </w:p>
        </w:tc>
        <w:tc>
          <w:tcPr>
            <w:tcW w:w="1200"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卢昊君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535"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附件1：SAP系统2023年07月运维日常工作清单</w:t>
            </w:r>
          </w:p>
        </w:tc>
        <w:tc>
          <w:tcPr>
            <w:tcW w:w="112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刘丹</w:t>
            </w:r>
          </w:p>
        </w:tc>
        <w:tc>
          <w:tcPr>
            <w:tcW w:w="1875"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SAP系统2023年07月度运维报告</w:t>
            </w:r>
          </w:p>
        </w:tc>
        <w:tc>
          <w:tcPr>
            <w:tcW w:w="118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刘丹</w:t>
            </w:r>
          </w:p>
        </w:tc>
        <w:tc>
          <w:tcPr>
            <w:tcW w:w="2370"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广东中烟ERP系统维护服务项目考勤表202307</w:t>
            </w:r>
          </w:p>
        </w:tc>
        <w:tc>
          <w:tcPr>
            <w:tcW w:w="1200"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刘丹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535"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附件2：SAP系统2023年07月问题及解决方案</w:t>
            </w:r>
          </w:p>
        </w:tc>
        <w:tc>
          <w:tcPr>
            <w:tcW w:w="112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刘丹</w:t>
            </w:r>
          </w:p>
        </w:tc>
        <w:tc>
          <w:tcPr>
            <w:tcW w:w="1875"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附件3：SAP系统2023年07月详细工作计划V1.1</w:t>
            </w:r>
          </w:p>
        </w:tc>
        <w:tc>
          <w:tcPr>
            <w:tcW w:w="118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刘丹</w:t>
            </w:r>
          </w:p>
        </w:tc>
        <w:tc>
          <w:tcPr>
            <w:tcW w:w="2370"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OSCE培训</w:t>
            </w:r>
          </w:p>
        </w:tc>
        <w:tc>
          <w:tcPr>
            <w:tcW w:w="1200"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杨文操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5"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计算机终端桌面管理软件培训手册</w:t>
            </w:r>
          </w:p>
        </w:tc>
        <w:tc>
          <w:tcPr>
            <w:tcW w:w="112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杨文操</w:t>
            </w:r>
          </w:p>
        </w:tc>
        <w:tc>
          <w:tcPr>
            <w:tcW w:w="1875"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windows电脑部署screego</w:t>
            </w:r>
          </w:p>
        </w:tc>
        <w:tc>
          <w:tcPr>
            <w:tcW w:w="1185"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r>
              <w:rPr>
                <w:rFonts w:hint="eastAsia" w:ascii="微软雅黑" w:hAnsi="微软雅黑" w:eastAsia="微软雅黑" w:cs="微软雅黑"/>
                <w:i w:val="0"/>
                <w:iCs w:val="0"/>
                <w:color w:val="333333"/>
                <w:kern w:val="2"/>
                <w:sz w:val="18"/>
                <w:szCs w:val="18"/>
                <w:u w:val="none"/>
                <w:lang w:val="en-US" w:eastAsia="zh-CN" w:bidi="ar-SA"/>
              </w:rPr>
              <w:t>卢昊君</w:t>
            </w:r>
          </w:p>
        </w:tc>
        <w:tc>
          <w:tcPr>
            <w:tcW w:w="2370" w:type="dxa"/>
            <w:shd w:val="clear" w:color="auto" w:fill="auto"/>
            <w:vAlign w:val="center"/>
          </w:tcPr>
          <w:p>
            <w:pPr>
              <w:keepNext w:val="0"/>
              <w:keepLines w:val="0"/>
              <w:widowControl/>
              <w:suppressLineNumbers w:val="0"/>
              <w:ind w:left="0" w:leftChars="0" w:firstLine="0" w:firstLineChars="0"/>
              <w:jc w:val="left"/>
              <w:textAlignment w:val="center"/>
              <w:rPr>
                <w:rFonts w:hint="eastAsia" w:ascii="微软雅黑" w:hAnsi="微软雅黑" w:eastAsia="微软雅黑" w:cs="微软雅黑"/>
                <w:i w:val="0"/>
                <w:iCs w:val="0"/>
                <w:color w:val="333333"/>
                <w:kern w:val="2"/>
                <w:sz w:val="18"/>
                <w:szCs w:val="18"/>
                <w:u w:val="none"/>
                <w:lang w:val="en-US" w:eastAsia="zh-CN" w:bidi="ar-SA"/>
              </w:rPr>
            </w:pPr>
          </w:p>
        </w:tc>
        <w:tc>
          <w:tcPr>
            <w:tcW w:w="1200" w:type="dxa"/>
            <w:shd w:val="clear" w:color="auto" w:fill="auto"/>
            <w:vAlign w:val="center"/>
          </w:tcPr>
          <w:p>
            <w:pPr>
              <w:keepNext w:val="0"/>
              <w:keepLines w:val="0"/>
              <w:widowControl/>
              <w:suppressLineNumbers w:val="0"/>
              <w:ind w:left="0" w:leftChars="0" w:firstLine="0" w:firstLineChars="0"/>
              <w:jc w:val="center"/>
              <w:textAlignment w:val="center"/>
              <w:rPr>
                <w:rFonts w:hint="eastAsia" w:ascii="微软雅黑" w:hAnsi="微软雅黑" w:eastAsia="微软雅黑" w:cs="微软雅黑"/>
                <w:i w:val="0"/>
                <w:iCs w:val="0"/>
                <w:color w:val="333333"/>
                <w:kern w:val="2"/>
                <w:sz w:val="18"/>
                <w:szCs w:val="18"/>
                <w:u w:val="none"/>
                <w:lang w:val="en-US" w:eastAsia="zh-CN" w:bidi="ar-SA"/>
              </w:rPr>
            </w:pPr>
          </w:p>
        </w:tc>
      </w:tr>
    </w:tbl>
    <w:p>
      <w:pPr>
        <w:ind w:left="0" w:leftChars="0" w:firstLine="0" w:firstLineChars="0"/>
        <w:jc w:val="left"/>
        <w:rPr>
          <w:rFonts w:hint="eastAsia"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（PS：本月文档新增数量与上月文档新增（38宗）相比新增数量有所下降，本月新增文档主为ERP平台人员及末端人员上传。）</w:t>
      </w:r>
    </w:p>
    <w:p>
      <w:pPr>
        <w:pStyle w:val="5"/>
        <w:bidi w:val="0"/>
        <w:ind w:left="987"/>
        <w:outlineLvl w:val="1"/>
        <w:rPr>
          <w:rFonts w:hint="eastAsia"/>
          <w:lang w:val="en-US" w:eastAsia="zh-CN"/>
        </w:rPr>
      </w:pPr>
      <w:bookmarkStart w:id="49" w:name="_Toc19670"/>
      <w:bookmarkStart w:id="50" w:name="_Toc24453"/>
      <w:r>
        <w:rPr>
          <w:rFonts w:hint="eastAsia"/>
          <w:lang w:val="en-US" w:eastAsia="zh-CN"/>
        </w:rPr>
        <w:t>文档版本更新情况（</w:t>
      </w:r>
      <w:r>
        <w:rPr>
          <w:rFonts w:hint="default"/>
          <w:b/>
          <w:bCs/>
          <w:color w:val="auto"/>
          <w:sz w:val="32"/>
          <w:szCs w:val="32"/>
          <w:lang w:val="en-US" w:eastAsia="zh-CN"/>
        </w:rPr>
        <w:t>本月暂无文档版本更新。</w:t>
      </w:r>
      <w:r>
        <w:rPr>
          <w:rFonts w:hint="eastAsia"/>
          <w:lang w:val="en-US" w:eastAsia="zh-CN"/>
        </w:rPr>
        <w:t>）</w:t>
      </w:r>
      <w:bookmarkEnd w:id="49"/>
      <w:bookmarkEnd w:id="50"/>
    </w:p>
    <w:p>
      <w:pPr>
        <w:pStyle w:val="4"/>
        <w:spacing w:after="468"/>
        <w:ind w:left="567"/>
        <w:rPr>
          <w:rFonts w:eastAsia="宋体"/>
        </w:rPr>
      </w:pPr>
      <w:bookmarkStart w:id="51" w:name="_Toc27497"/>
      <w:bookmarkStart w:id="52" w:name="_Toc23214"/>
      <w:r>
        <w:rPr>
          <w:rFonts w:hint="default" w:eastAsia="宋体"/>
        </w:rPr>
        <w:t>服务台日常工作情况</w:t>
      </w:r>
      <w:bookmarkEnd w:id="51"/>
      <w:bookmarkEnd w:id="52"/>
    </w:p>
    <w:p>
      <w:pPr>
        <w:pStyle w:val="5"/>
        <w:spacing w:before="312" w:after="156"/>
        <w:ind w:left="987"/>
        <w:outlineLvl w:val="1"/>
      </w:pPr>
      <w:bookmarkStart w:id="53" w:name="_Toc14229"/>
      <w:bookmarkStart w:id="54" w:name="_Toc24492"/>
      <w:r>
        <w:rPr>
          <w:rFonts w:hint="eastAsia"/>
        </w:rPr>
        <w:t>服务台考勤情况</w:t>
      </w:r>
      <w:bookmarkEnd w:id="53"/>
      <w:bookmarkEnd w:id="54"/>
    </w:p>
    <w:p>
      <w:pPr>
        <w:ind w:firstLine="0"/>
        <w:rPr>
          <w:rFonts w:hint="eastAsia" w:ascii="华文仿宋" w:hAnsi="华文仿宋" w:eastAsia="华文仿宋" w:cs="华文仿宋"/>
          <w:sz w:val="28"/>
          <w:szCs w:val="28"/>
        </w:rPr>
      </w:pPr>
      <w:r>
        <w:rPr>
          <w:rFonts w:hint="eastAsia" w:ascii="华文仿宋" w:hAnsi="华文仿宋" w:eastAsia="华文仿宋" w:cs="华文仿宋"/>
          <w:sz w:val="28"/>
          <w:szCs w:val="28"/>
        </w:rPr>
        <w:t>本月各服务台出勤统计（本月公司本部实际考勤天数为</w:t>
      </w:r>
      <w:r>
        <w:rPr>
          <w:rFonts w:hint="eastAsia" w:ascii="华文仿宋" w:hAnsi="华文仿宋" w:eastAsia="华文仿宋" w:cs="华文仿宋"/>
          <w:sz w:val="28"/>
          <w:szCs w:val="28"/>
          <w:lang w:val="en-US" w:eastAsia="zh-CN"/>
        </w:rPr>
        <w:t>24</w:t>
      </w:r>
      <w:r>
        <w:rPr>
          <w:rFonts w:hint="eastAsia" w:ascii="华文仿宋" w:hAnsi="华文仿宋" w:eastAsia="华文仿宋" w:cs="华文仿宋"/>
          <w:sz w:val="28"/>
          <w:szCs w:val="28"/>
        </w:rPr>
        <w:t>天，其它厂区因排产期的不同安排各有变化，详见下表）</w:t>
      </w:r>
    </w:p>
    <w:tbl>
      <w:tblPr>
        <w:tblStyle w:val="34"/>
        <w:tblW w:w="10417" w:type="dxa"/>
        <w:tblInd w:w="93" w:type="dxa"/>
        <w:tblLayout w:type="fixed"/>
        <w:tblCellMar>
          <w:top w:w="0" w:type="dxa"/>
          <w:left w:w="108" w:type="dxa"/>
          <w:bottom w:w="0" w:type="dxa"/>
          <w:right w:w="108" w:type="dxa"/>
        </w:tblCellMar>
      </w:tblPr>
      <w:tblGrid>
        <w:gridCol w:w="1481"/>
        <w:gridCol w:w="840"/>
        <w:gridCol w:w="930"/>
        <w:gridCol w:w="764"/>
        <w:gridCol w:w="762"/>
        <w:gridCol w:w="968"/>
        <w:gridCol w:w="1018"/>
        <w:gridCol w:w="942"/>
        <w:gridCol w:w="750"/>
        <w:gridCol w:w="558"/>
        <w:gridCol w:w="468"/>
        <w:gridCol w:w="468"/>
        <w:gridCol w:w="468"/>
      </w:tblGrid>
      <w:tr>
        <w:tblPrEx>
          <w:tblCellMar>
            <w:top w:w="0" w:type="dxa"/>
            <w:left w:w="108" w:type="dxa"/>
            <w:bottom w:w="0" w:type="dxa"/>
            <w:right w:w="108" w:type="dxa"/>
          </w:tblCellMar>
        </w:tblPrEx>
        <w:trPr>
          <w:trHeight w:val="791" w:hRule="atLeast"/>
        </w:trPr>
        <w:tc>
          <w:tcPr>
            <w:tcW w:w="1481" w:type="dxa"/>
            <w:tcBorders>
              <w:top w:val="single" w:color="auto" w:sz="8" w:space="0"/>
              <w:left w:val="single" w:color="auto" w:sz="8" w:space="0"/>
              <w:bottom w:val="single" w:color="auto" w:sz="8" w:space="0"/>
              <w:right w:val="single" w:color="auto" w:sz="8" w:space="0"/>
            </w:tcBorders>
            <w:shd w:val="clear" w:color="000000" w:fill="8DB4E3"/>
            <w:noWrap/>
            <w:vAlign w:val="center"/>
          </w:tcPr>
          <w:p>
            <w:pPr>
              <w:widowControl/>
              <w:adjustRightInd/>
              <w:spacing w:line="240" w:lineRule="auto"/>
              <w:ind w:left="0" w:leftChars="0" w:firstLine="0" w:firstLineChars="0"/>
              <w:jc w:val="both"/>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部门名称</w:t>
            </w:r>
          </w:p>
        </w:tc>
        <w:tc>
          <w:tcPr>
            <w:tcW w:w="840"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(ERP)</w:t>
            </w:r>
          </w:p>
        </w:tc>
        <w:tc>
          <w:tcPr>
            <w:tcW w:w="930"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(MES</w:t>
            </w:r>
            <w:r>
              <w:rPr>
                <w:rFonts w:hint="eastAsia" w:ascii="Arial" w:hAnsi="Arial" w:cs="Arial"/>
                <w:b/>
                <w:bCs/>
                <w:color w:val="000000"/>
                <w:kern w:val="0"/>
                <w:sz w:val="20"/>
                <w:szCs w:val="20"/>
                <w:lang w:eastAsia="zh-CN"/>
              </w:rPr>
              <w:t>和一号工程</w:t>
            </w:r>
            <w:r>
              <w:rPr>
                <w:rFonts w:ascii="Arial" w:hAnsi="Arial" w:cs="Arial"/>
                <w:b/>
                <w:bCs/>
                <w:color w:val="000000"/>
                <w:kern w:val="0"/>
                <w:sz w:val="20"/>
                <w:szCs w:val="20"/>
              </w:rPr>
              <w:t>)</w:t>
            </w:r>
          </w:p>
        </w:tc>
        <w:tc>
          <w:tcPr>
            <w:tcW w:w="764"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(OA)</w:t>
            </w:r>
          </w:p>
        </w:tc>
        <w:tc>
          <w:tcPr>
            <w:tcW w:w="762"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w:t>
            </w:r>
            <w:r>
              <w:rPr>
                <w:rFonts w:hint="eastAsia" w:ascii="宋体" w:hAnsi="宋体" w:cs="Arial"/>
                <w:b/>
                <w:bCs/>
                <w:color w:val="000000"/>
                <w:kern w:val="0"/>
                <w:sz w:val="20"/>
                <w:szCs w:val="20"/>
              </w:rPr>
              <w:t>桌面</w:t>
            </w:r>
            <w:r>
              <w:rPr>
                <w:rFonts w:ascii="Arial" w:hAnsi="Arial" w:cs="Arial"/>
                <w:b/>
                <w:bCs/>
                <w:color w:val="000000"/>
                <w:kern w:val="0"/>
                <w:sz w:val="20"/>
                <w:szCs w:val="20"/>
              </w:rPr>
              <w:t>)</w:t>
            </w:r>
          </w:p>
        </w:tc>
        <w:tc>
          <w:tcPr>
            <w:tcW w:w="968"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w:t>
            </w:r>
            <w:r>
              <w:rPr>
                <w:rFonts w:hint="eastAsia" w:ascii="宋体" w:hAnsi="宋体" w:cs="Arial"/>
                <w:b/>
                <w:bCs/>
                <w:color w:val="000000"/>
                <w:kern w:val="0"/>
                <w:sz w:val="20"/>
                <w:szCs w:val="20"/>
              </w:rPr>
              <w:t>综合项目管理平台</w:t>
            </w:r>
            <w:r>
              <w:rPr>
                <w:rFonts w:ascii="Arial" w:hAnsi="Arial" w:cs="Arial"/>
                <w:b/>
                <w:bCs/>
                <w:color w:val="000000"/>
                <w:kern w:val="0"/>
                <w:sz w:val="20"/>
                <w:szCs w:val="20"/>
              </w:rPr>
              <w:t>)</w:t>
            </w:r>
          </w:p>
        </w:tc>
        <w:tc>
          <w:tcPr>
            <w:tcW w:w="1018"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w:t>
            </w:r>
            <w:r>
              <w:rPr>
                <w:rFonts w:hint="eastAsia" w:ascii="宋体" w:hAnsi="宋体" w:cs="Arial"/>
                <w:b/>
                <w:bCs/>
                <w:color w:val="000000"/>
                <w:kern w:val="0"/>
                <w:sz w:val="20"/>
                <w:szCs w:val="20"/>
              </w:rPr>
              <w:t>营销、物流、烟叶</w:t>
            </w:r>
            <w:r>
              <w:rPr>
                <w:rFonts w:ascii="Arial" w:hAnsi="Arial" w:cs="Arial"/>
                <w:b/>
                <w:bCs/>
                <w:color w:val="000000"/>
                <w:kern w:val="0"/>
                <w:sz w:val="20"/>
                <w:szCs w:val="20"/>
              </w:rPr>
              <w:t>)</w:t>
            </w:r>
          </w:p>
        </w:tc>
        <w:tc>
          <w:tcPr>
            <w:tcW w:w="942"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w:t>
            </w:r>
            <w:r>
              <w:rPr>
                <w:rFonts w:hint="eastAsia" w:ascii="宋体" w:hAnsi="宋体" w:cs="Arial"/>
                <w:b/>
                <w:bCs/>
                <w:color w:val="000000"/>
                <w:kern w:val="0"/>
                <w:sz w:val="20"/>
                <w:szCs w:val="20"/>
              </w:rPr>
              <w:t>资产管理</w:t>
            </w:r>
            <w:r>
              <w:rPr>
                <w:rFonts w:ascii="Arial" w:hAnsi="Arial" w:cs="Arial"/>
                <w:b/>
                <w:bCs/>
                <w:color w:val="000000"/>
                <w:kern w:val="0"/>
                <w:sz w:val="20"/>
                <w:szCs w:val="20"/>
              </w:rPr>
              <w:t>)</w:t>
            </w:r>
          </w:p>
        </w:tc>
        <w:tc>
          <w:tcPr>
            <w:tcW w:w="750"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Arial" w:hAnsi="Arial" w:cs="Arial"/>
                <w:b/>
                <w:bCs/>
                <w:color w:val="000000"/>
                <w:kern w:val="0"/>
                <w:sz w:val="20"/>
                <w:szCs w:val="20"/>
              </w:rPr>
            </w:pPr>
            <w:r>
              <w:rPr>
                <w:rFonts w:ascii="Arial" w:hAnsi="Arial" w:cs="Arial"/>
                <w:b/>
                <w:bCs/>
                <w:color w:val="000000"/>
                <w:kern w:val="0"/>
                <w:sz w:val="20"/>
                <w:szCs w:val="20"/>
              </w:rPr>
              <w:t xml:space="preserve"> </w:t>
            </w:r>
            <w:r>
              <w:rPr>
                <w:rFonts w:hint="eastAsia" w:ascii="宋体" w:hAnsi="宋体" w:cs="Arial"/>
                <w:b/>
                <w:bCs/>
                <w:color w:val="000000"/>
                <w:kern w:val="0"/>
                <w:sz w:val="20"/>
                <w:szCs w:val="20"/>
              </w:rPr>
              <w:t>本部</w:t>
            </w:r>
            <w:r>
              <w:rPr>
                <w:rFonts w:ascii="Arial" w:hAnsi="Arial" w:cs="Arial"/>
                <w:b/>
                <w:bCs/>
                <w:color w:val="000000"/>
                <w:kern w:val="0"/>
                <w:sz w:val="20"/>
                <w:szCs w:val="20"/>
              </w:rPr>
              <w:t>(ITIM)</w:t>
            </w:r>
          </w:p>
        </w:tc>
        <w:tc>
          <w:tcPr>
            <w:tcW w:w="558"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广州厂</w:t>
            </w:r>
          </w:p>
        </w:tc>
        <w:tc>
          <w:tcPr>
            <w:tcW w:w="468"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韶关厂</w:t>
            </w:r>
          </w:p>
        </w:tc>
        <w:tc>
          <w:tcPr>
            <w:tcW w:w="468"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梅州厂</w:t>
            </w:r>
          </w:p>
        </w:tc>
        <w:tc>
          <w:tcPr>
            <w:tcW w:w="468" w:type="dxa"/>
            <w:tcBorders>
              <w:top w:val="single" w:color="auto" w:sz="8" w:space="0"/>
              <w:left w:val="nil"/>
              <w:bottom w:val="single" w:color="auto" w:sz="8" w:space="0"/>
              <w:right w:val="single" w:color="auto" w:sz="8" w:space="0"/>
            </w:tcBorders>
            <w:shd w:val="clear" w:color="000000" w:fill="8DB4E3"/>
            <w:vAlign w:val="center"/>
          </w:tcPr>
          <w:p>
            <w:pPr>
              <w:widowControl/>
              <w:adjustRightInd/>
              <w:spacing w:line="240" w:lineRule="auto"/>
              <w:ind w:firstLine="0" w:firstLineChars="0"/>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湛江厂</w:t>
            </w:r>
          </w:p>
        </w:tc>
      </w:tr>
      <w:tr>
        <w:tblPrEx>
          <w:tblCellMar>
            <w:top w:w="0" w:type="dxa"/>
            <w:left w:w="108" w:type="dxa"/>
            <w:bottom w:w="0" w:type="dxa"/>
            <w:right w:w="108" w:type="dxa"/>
          </w:tblCellMar>
        </w:tblPrEx>
        <w:trPr>
          <w:trHeight w:val="427" w:hRule="atLeast"/>
        </w:trPr>
        <w:tc>
          <w:tcPr>
            <w:tcW w:w="1481" w:type="dxa"/>
            <w:tcBorders>
              <w:top w:val="nil"/>
              <w:left w:val="single" w:color="auto" w:sz="8" w:space="0"/>
              <w:bottom w:val="single" w:color="auto" w:sz="8" w:space="0"/>
              <w:right w:val="single" w:color="auto" w:sz="8" w:space="0"/>
            </w:tcBorders>
            <w:shd w:val="clear" w:color="000000" w:fill="8DB4E3"/>
            <w:noWrap/>
            <w:vAlign w:val="center"/>
          </w:tcPr>
          <w:p>
            <w:pPr>
              <w:widowControl/>
              <w:adjustRightInd/>
              <w:spacing w:line="240" w:lineRule="auto"/>
              <w:ind w:firstLine="0" w:firstLineChars="0"/>
              <w:jc w:val="center"/>
              <w:textAlignment w:val="auto"/>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rPr>
              <w:t>本月出勤</w:t>
            </w:r>
            <w:r>
              <w:rPr>
                <w:rFonts w:hint="eastAsia" w:ascii="宋体" w:hAnsi="宋体" w:cs="宋体"/>
                <w:b/>
                <w:bCs/>
                <w:color w:val="000000"/>
                <w:kern w:val="0"/>
                <w:sz w:val="20"/>
                <w:szCs w:val="20"/>
                <w:lang w:eastAsia="zh-CN"/>
              </w:rPr>
              <w:t>参考</w:t>
            </w:r>
          </w:p>
        </w:tc>
        <w:tc>
          <w:tcPr>
            <w:tcW w:w="840"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930"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764"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762"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968"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val="0"/>
                <w:bCs w:val="0"/>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1018"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942"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750"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558"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468"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468"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c>
          <w:tcPr>
            <w:tcW w:w="468" w:type="dxa"/>
            <w:tcBorders>
              <w:top w:val="nil"/>
              <w:left w:val="nil"/>
              <w:bottom w:val="single" w:color="auto" w:sz="8" w:space="0"/>
              <w:right w:val="single" w:color="auto" w:sz="8" w:space="0"/>
            </w:tcBorders>
            <w:shd w:val="clear" w:color="000000" w:fill="C5D9F1"/>
            <w:noWrap/>
            <w:vAlign w:val="center"/>
          </w:tcPr>
          <w:p>
            <w:pPr>
              <w:widowControl/>
              <w:adjustRightInd/>
              <w:spacing w:line="240" w:lineRule="auto"/>
              <w:ind w:firstLine="0" w:firstLineChars="0"/>
              <w:jc w:val="both"/>
              <w:textAlignment w:val="auto"/>
              <w:rPr>
                <w:rFonts w:hint="default" w:ascii="Arial" w:hAnsi="Arial" w:eastAsia="宋体" w:cs="Arial"/>
                <w:b/>
                <w:bCs/>
                <w:color w:val="000000"/>
                <w:kern w:val="0"/>
                <w:sz w:val="20"/>
                <w:szCs w:val="20"/>
                <w:lang w:val="en-US" w:eastAsia="zh-CN"/>
              </w:rPr>
            </w:pPr>
            <w:r>
              <w:rPr>
                <w:rFonts w:hint="eastAsia" w:ascii="Arial" w:hAnsi="Arial" w:cs="Arial"/>
                <w:b/>
                <w:bCs/>
                <w:color w:val="000000"/>
                <w:kern w:val="0"/>
                <w:sz w:val="20"/>
                <w:szCs w:val="20"/>
                <w:lang w:val="en-US" w:eastAsia="zh-CN"/>
              </w:rPr>
              <w:t>24</w:t>
            </w:r>
          </w:p>
        </w:tc>
      </w:tr>
      <w:tr>
        <w:tblPrEx>
          <w:tblCellMar>
            <w:top w:w="0" w:type="dxa"/>
            <w:left w:w="108" w:type="dxa"/>
            <w:bottom w:w="0" w:type="dxa"/>
            <w:right w:w="108" w:type="dxa"/>
          </w:tblCellMar>
        </w:tblPrEx>
        <w:trPr>
          <w:trHeight w:val="411" w:hRule="atLeast"/>
        </w:trPr>
        <w:tc>
          <w:tcPr>
            <w:tcW w:w="1481" w:type="dxa"/>
            <w:tcBorders>
              <w:top w:val="nil"/>
              <w:left w:val="single" w:color="auto" w:sz="8" w:space="0"/>
              <w:bottom w:val="single" w:color="auto" w:sz="4" w:space="0"/>
              <w:right w:val="single" w:color="auto" w:sz="8" w:space="0"/>
            </w:tcBorders>
            <w:shd w:val="clear" w:color="000000" w:fill="8DB4E3"/>
            <w:noWrap/>
            <w:vAlign w:val="center"/>
          </w:tcPr>
          <w:p>
            <w:pPr>
              <w:widowControl/>
              <w:adjustRightInd/>
              <w:spacing w:line="240" w:lineRule="auto"/>
              <w:ind w:firstLine="0" w:firstLineChars="0"/>
              <w:jc w:val="center"/>
              <w:textAlignment w:val="auto"/>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lang w:eastAsia="zh-CN"/>
              </w:rPr>
              <w:t>登录天数</w:t>
            </w:r>
          </w:p>
        </w:tc>
        <w:tc>
          <w:tcPr>
            <w:tcW w:w="840"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24</w:t>
            </w:r>
          </w:p>
        </w:tc>
        <w:tc>
          <w:tcPr>
            <w:tcW w:w="930"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0</w:t>
            </w:r>
          </w:p>
        </w:tc>
        <w:tc>
          <w:tcPr>
            <w:tcW w:w="764"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24</w:t>
            </w:r>
          </w:p>
        </w:tc>
        <w:tc>
          <w:tcPr>
            <w:tcW w:w="762"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24</w:t>
            </w:r>
          </w:p>
        </w:tc>
        <w:tc>
          <w:tcPr>
            <w:tcW w:w="968"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24</w:t>
            </w:r>
          </w:p>
        </w:tc>
        <w:tc>
          <w:tcPr>
            <w:tcW w:w="1018"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0</w:t>
            </w:r>
          </w:p>
        </w:tc>
        <w:tc>
          <w:tcPr>
            <w:tcW w:w="942"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21</w:t>
            </w:r>
          </w:p>
        </w:tc>
        <w:tc>
          <w:tcPr>
            <w:tcW w:w="750"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23</w:t>
            </w:r>
          </w:p>
        </w:tc>
        <w:tc>
          <w:tcPr>
            <w:tcW w:w="558"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24</w:t>
            </w:r>
          </w:p>
        </w:tc>
        <w:tc>
          <w:tcPr>
            <w:tcW w:w="468"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21</w:t>
            </w:r>
          </w:p>
        </w:tc>
        <w:tc>
          <w:tcPr>
            <w:tcW w:w="468"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24</w:t>
            </w:r>
          </w:p>
        </w:tc>
        <w:tc>
          <w:tcPr>
            <w:tcW w:w="468" w:type="dxa"/>
            <w:tcBorders>
              <w:top w:val="nil"/>
              <w:left w:val="nil"/>
              <w:bottom w:val="single" w:color="auto" w:sz="4" w:space="0"/>
              <w:right w:val="single" w:color="auto" w:sz="8"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000000"/>
                <w:kern w:val="0"/>
                <w:sz w:val="20"/>
                <w:szCs w:val="20"/>
                <w:lang w:val="en-US" w:eastAsia="zh-CN"/>
              </w:rPr>
            </w:pPr>
            <w:r>
              <w:rPr>
                <w:rFonts w:hint="eastAsia" w:ascii="Arial" w:hAnsi="Arial" w:cs="Arial"/>
                <w:color w:val="000000"/>
                <w:kern w:val="0"/>
                <w:sz w:val="20"/>
                <w:szCs w:val="20"/>
                <w:lang w:val="en-US" w:eastAsia="zh-CN"/>
              </w:rPr>
              <w:t>24</w:t>
            </w:r>
          </w:p>
        </w:tc>
      </w:tr>
      <w:tr>
        <w:tblPrEx>
          <w:tblCellMar>
            <w:top w:w="0" w:type="dxa"/>
            <w:left w:w="108" w:type="dxa"/>
            <w:bottom w:w="0" w:type="dxa"/>
            <w:right w:w="108" w:type="dxa"/>
          </w:tblCellMar>
        </w:tblPrEx>
        <w:trPr>
          <w:trHeight w:val="411" w:hRule="atLeast"/>
        </w:trPr>
        <w:tc>
          <w:tcPr>
            <w:tcW w:w="1481" w:type="dxa"/>
            <w:tcBorders>
              <w:top w:val="single" w:color="auto" w:sz="4" w:space="0"/>
              <w:left w:val="single" w:color="auto" w:sz="4" w:space="0"/>
              <w:bottom w:val="single" w:color="auto" w:sz="4" w:space="0"/>
              <w:right w:val="single" w:color="auto" w:sz="4" w:space="0"/>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迟到天数</w:t>
            </w:r>
          </w:p>
        </w:tc>
        <w:tc>
          <w:tcPr>
            <w:tcW w:w="84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24</w:t>
            </w:r>
          </w:p>
        </w:tc>
        <w:tc>
          <w:tcPr>
            <w:tcW w:w="93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764"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5</w:t>
            </w:r>
          </w:p>
        </w:tc>
        <w:tc>
          <w:tcPr>
            <w:tcW w:w="762"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12</w:t>
            </w:r>
          </w:p>
        </w:tc>
        <w:tc>
          <w:tcPr>
            <w:tcW w:w="9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2</w:t>
            </w:r>
          </w:p>
        </w:tc>
        <w:tc>
          <w:tcPr>
            <w:tcW w:w="101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942"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21</w:t>
            </w:r>
          </w:p>
        </w:tc>
        <w:tc>
          <w:tcPr>
            <w:tcW w:w="75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55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1</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24</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r>
      <w:tr>
        <w:tblPrEx>
          <w:tblCellMar>
            <w:top w:w="0" w:type="dxa"/>
            <w:left w:w="108" w:type="dxa"/>
            <w:bottom w:w="0" w:type="dxa"/>
            <w:right w:w="108" w:type="dxa"/>
          </w:tblCellMar>
        </w:tblPrEx>
        <w:trPr>
          <w:trHeight w:val="371" w:hRule="atLeast"/>
        </w:trPr>
        <w:tc>
          <w:tcPr>
            <w:tcW w:w="1481" w:type="dxa"/>
            <w:tcBorders>
              <w:top w:val="single" w:color="auto" w:sz="4" w:space="0"/>
              <w:left w:val="single" w:color="auto" w:sz="4" w:space="0"/>
              <w:bottom w:val="single" w:color="auto" w:sz="4" w:space="0"/>
              <w:right w:val="single" w:color="auto" w:sz="4" w:space="0"/>
            </w:tcBorders>
            <w:shd w:val="clear" w:color="000000" w:fill="8DB4E3"/>
            <w:noWrap/>
            <w:vAlign w:val="center"/>
          </w:tcPr>
          <w:p>
            <w:pPr>
              <w:widowControl/>
              <w:adjustRightInd/>
              <w:spacing w:line="240" w:lineRule="auto"/>
              <w:ind w:firstLine="0" w:firstLineChars="0"/>
              <w:jc w:val="center"/>
              <w:textAlignment w:val="auto"/>
              <w:rPr>
                <w:rFonts w:hint="eastAsia" w:ascii="宋体" w:hAnsi="宋体" w:eastAsia="宋体" w:cs="宋体"/>
                <w:b/>
                <w:bCs/>
                <w:color w:val="000000"/>
                <w:kern w:val="0"/>
                <w:sz w:val="20"/>
                <w:szCs w:val="20"/>
                <w:lang w:eastAsia="zh-CN"/>
              </w:rPr>
            </w:pPr>
            <w:r>
              <w:rPr>
                <w:rFonts w:hint="eastAsia" w:ascii="宋体" w:hAnsi="宋体" w:cs="宋体"/>
                <w:b/>
                <w:bCs/>
                <w:color w:val="000000"/>
                <w:kern w:val="0"/>
                <w:sz w:val="20"/>
                <w:szCs w:val="20"/>
                <w:lang w:eastAsia="zh-CN"/>
              </w:rPr>
              <w:t>早退天数</w:t>
            </w:r>
          </w:p>
        </w:tc>
        <w:tc>
          <w:tcPr>
            <w:tcW w:w="84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1</w:t>
            </w:r>
          </w:p>
        </w:tc>
        <w:tc>
          <w:tcPr>
            <w:tcW w:w="93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764"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1</w:t>
            </w:r>
          </w:p>
        </w:tc>
        <w:tc>
          <w:tcPr>
            <w:tcW w:w="762"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9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101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942"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1</w:t>
            </w:r>
          </w:p>
        </w:tc>
        <w:tc>
          <w:tcPr>
            <w:tcW w:w="75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55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1</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1</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C00000"/>
                <w:kern w:val="0"/>
                <w:sz w:val="20"/>
                <w:szCs w:val="20"/>
                <w:lang w:val="en-US" w:eastAsia="zh-CN"/>
              </w:rPr>
            </w:pPr>
            <w:r>
              <w:rPr>
                <w:rFonts w:hint="eastAsia" w:ascii="Arial" w:hAnsi="Arial" w:cs="Arial"/>
                <w:color w:val="C00000"/>
                <w:kern w:val="0"/>
                <w:sz w:val="20"/>
                <w:szCs w:val="20"/>
                <w:lang w:val="en-US" w:eastAsia="zh-CN"/>
              </w:rPr>
              <w:t>0</w:t>
            </w:r>
          </w:p>
        </w:tc>
      </w:tr>
      <w:tr>
        <w:tblPrEx>
          <w:tblCellMar>
            <w:top w:w="0" w:type="dxa"/>
            <w:left w:w="108" w:type="dxa"/>
            <w:bottom w:w="0" w:type="dxa"/>
            <w:right w:w="108" w:type="dxa"/>
          </w:tblCellMar>
        </w:tblPrEx>
        <w:trPr>
          <w:trHeight w:val="411" w:hRule="atLeast"/>
        </w:trPr>
        <w:tc>
          <w:tcPr>
            <w:tcW w:w="1481" w:type="dxa"/>
            <w:tcBorders>
              <w:top w:val="single" w:color="auto" w:sz="4" w:space="0"/>
              <w:left w:val="single" w:color="auto" w:sz="4" w:space="0"/>
              <w:bottom w:val="single" w:color="auto" w:sz="4" w:space="0"/>
              <w:right w:val="single" w:color="auto" w:sz="4" w:space="0"/>
            </w:tcBorders>
            <w:shd w:val="clear" w:color="000000" w:fill="8DB4E3"/>
            <w:noWrap/>
            <w:vAlign w:val="center"/>
          </w:tcPr>
          <w:p>
            <w:pPr>
              <w:widowControl/>
              <w:adjustRightInd/>
              <w:spacing w:line="240" w:lineRule="auto"/>
              <w:ind w:firstLine="0" w:firstLineChars="0"/>
              <w:jc w:val="center"/>
              <w:textAlignment w:val="auto"/>
              <w:rPr>
                <w:rFonts w:hint="eastAsia" w:ascii="宋体" w:hAnsi="宋体" w:cs="宋体"/>
                <w:b/>
                <w:bCs/>
                <w:color w:val="000000"/>
                <w:kern w:val="0"/>
                <w:sz w:val="20"/>
                <w:szCs w:val="20"/>
                <w:lang w:eastAsia="zh-CN"/>
              </w:rPr>
            </w:pPr>
            <w:r>
              <w:rPr>
                <w:rFonts w:hint="eastAsia" w:ascii="宋体" w:hAnsi="宋体" w:cs="宋体"/>
                <w:b/>
                <w:bCs/>
                <w:color w:val="000000"/>
                <w:kern w:val="0"/>
                <w:sz w:val="20"/>
                <w:szCs w:val="20"/>
                <w:lang w:eastAsia="zh-CN"/>
              </w:rPr>
              <w:t>未登录天数</w:t>
            </w:r>
          </w:p>
        </w:tc>
        <w:tc>
          <w:tcPr>
            <w:tcW w:w="84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0</w:t>
            </w:r>
          </w:p>
        </w:tc>
        <w:tc>
          <w:tcPr>
            <w:tcW w:w="93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24</w:t>
            </w:r>
          </w:p>
        </w:tc>
        <w:tc>
          <w:tcPr>
            <w:tcW w:w="764"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0</w:t>
            </w:r>
          </w:p>
        </w:tc>
        <w:tc>
          <w:tcPr>
            <w:tcW w:w="762"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0</w:t>
            </w:r>
          </w:p>
        </w:tc>
        <w:tc>
          <w:tcPr>
            <w:tcW w:w="9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0</w:t>
            </w:r>
          </w:p>
        </w:tc>
        <w:tc>
          <w:tcPr>
            <w:tcW w:w="101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24</w:t>
            </w:r>
          </w:p>
        </w:tc>
        <w:tc>
          <w:tcPr>
            <w:tcW w:w="942"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3</w:t>
            </w:r>
          </w:p>
        </w:tc>
        <w:tc>
          <w:tcPr>
            <w:tcW w:w="750"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1</w:t>
            </w:r>
          </w:p>
        </w:tc>
        <w:tc>
          <w:tcPr>
            <w:tcW w:w="55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0</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3</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0</w:t>
            </w:r>
          </w:p>
        </w:tc>
        <w:tc>
          <w:tcPr>
            <w:tcW w:w="468" w:type="dxa"/>
            <w:tcBorders>
              <w:top w:val="single" w:color="auto" w:sz="4" w:space="0"/>
              <w:left w:val="single" w:color="auto" w:sz="4" w:space="0"/>
              <w:bottom w:val="single" w:color="auto" w:sz="4" w:space="0"/>
              <w:right w:val="single" w:color="auto" w:sz="4" w:space="0"/>
            </w:tcBorders>
            <w:shd w:val="clear" w:color="000000" w:fill="C5D9F1"/>
            <w:noWrap/>
            <w:vAlign w:val="center"/>
          </w:tcPr>
          <w:p>
            <w:pPr>
              <w:widowControl/>
              <w:adjustRightInd/>
              <w:spacing w:line="240" w:lineRule="auto"/>
              <w:ind w:firstLine="0" w:firstLineChars="0"/>
              <w:jc w:val="center"/>
              <w:textAlignment w:val="auto"/>
              <w:rPr>
                <w:rFonts w:hint="default" w:ascii="Arial" w:hAnsi="Arial" w:eastAsia="宋体" w:cs="Arial"/>
                <w:color w:val="E46C0A" w:themeColor="accent6" w:themeShade="BF"/>
                <w:kern w:val="0"/>
                <w:sz w:val="20"/>
                <w:szCs w:val="20"/>
                <w:lang w:val="en-US" w:eastAsia="zh-CN"/>
              </w:rPr>
            </w:pPr>
            <w:r>
              <w:rPr>
                <w:rFonts w:hint="eastAsia" w:ascii="Arial" w:hAnsi="Arial" w:cs="Arial"/>
                <w:color w:val="E46C0A" w:themeColor="accent6" w:themeShade="BF"/>
                <w:kern w:val="0"/>
                <w:sz w:val="20"/>
                <w:szCs w:val="20"/>
                <w:lang w:val="en-US" w:eastAsia="zh-CN"/>
              </w:rPr>
              <w:t>0</w:t>
            </w:r>
          </w:p>
        </w:tc>
      </w:tr>
    </w:tbl>
    <w:p>
      <w:pPr>
        <w:ind w:firstLine="480"/>
        <w:rPr>
          <w:rFonts w:hint="eastAsia" w:ascii="宋体" w:hAnsi="宋体"/>
          <w:color w:val="C00000"/>
          <w:sz w:val="21"/>
          <w:szCs w:val="21"/>
        </w:rPr>
      </w:pPr>
      <w:r>
        <w:rPr>
          <w:rFonts w:hint="eastAsia" w:ascii="宋体" w:hAnsi="宋体"/>
          <w:color w:val="C00000"/>
          <w:sz w:val="21"/>
          <w:szCs w:val="21"/>
        </w:rPr>
        <w:t>（注：目前除本部（桌面）配置2个座席外，其它业务只配置1个座席，上下班时间按08:30-05:00来计算</w:t>
      </w:r>
      <w:r>
        <w:rPr>
          <w:rFonts w:hint="eastAsia" w:ascii="宋体" w:hAnsi="宋体"/>
          <w:color w:val="C00000"/>
          <w:sz w:val="21"/>
          <w:szCs w:val="21"/>
          <w:lang w:val="en-US" w:eastAsia="zh-CN"/>
        </w:rPr>
        <w:t>。</w:t>
      </w:r>
      <w:r>
        <w:rPr>
          <w:rFonts w:hint="eastAsia" w:ascii="宋体" w:hAnsi="宋体"/>
          <w:color w:val="C00000"/>
          <w:sz w:val="21"/>
          <w:szCs w:val="21"/>
        </w:rPr>
        <w:t>各平台及厂区根据业务安排</w:t>
      </w:r>
      <w:r>
        <w:rPr>
          <w:rFonts w:hint="eastAsia" w:ascii="宋体" w:hAnsi="宋体"/>
          <w:color w:val="C00000"/>
          <w:sz w:val="21"/>
          <w:szCs w:val="21"/>
          <w:lang w:eastAsia="zh-CN"/>
        </w:rPr>
        <w:t>不同登录天数估计有所不同，</w:t>
      </w:r>
      <w:r>
        <w:rPr>
          <w:rFonts w:hint="eastAsia" w:ascii="宋体" w:hAnsi="宋体"/>
          <w:color w:val="C00000"/>
          <w:sz w:val="21"/>
          <w:szCs w:val="21"/>
        </w:rPr>
        <w:t>本部</w:t>
      </w:r>
      <w:r>
        <w:rPr>
          <w:rFonts w:hint="eastAsia" w:ascii="宋体" w:hAnsi="宋体"/>
          <w:color w:val="C00000"/>
          <w:sz w:val="21"/>
          <w:szCs w:val="21"/>
          <w:lang w:eastAsia="zh-CN"/>
        </w:rPr>
        <w:t>及其他厂区</w:t>
      </w:r>
      <w:r>
        <w:rPr>
          <w:rFonts w:hint="eastAsia" w:ascii="宋体" w:hAnsi="宋体"/>
          <w:color w:val="C00000"/>
          <w:sz w:val="21"/>
          <w:szCs w:val="21"/>
        </w:rPr>
        <w:t>未登录天数按</w:t>
      </w:r>
      <w:r>
        <w:rPr>
          <w:rFonts w:hint="eastAsia" w:ascii="宋体" w:hAnsi="宋体"/>
          <w:color w:val="C00000"/>
          <w:sz w:val="21"/>
          <w:szCs w:val="21"/>
          <w:lang w:eastAsia="zh-CN"/>
        </w:rPr>
        <w:t>本月</w:t>
      </w:r>
      <w:r>
        <w:rPr>
          <w:rFonts w:hint="eastAsia" w:ascii="宋体" w:hAnsi="宋体"/>
          <w:color w:val="C00000"/>
          <w:sz w:val="21"/>
          <w:szCs w:val="21"/>
        </w:rPr>
        <w:t>出勤参考天数</w:t>
      </w:r>
      <w:r>
        <w:rPr>
          <w:rFonts w:hint="eastAsia" w:ascii="宋体" w:hAnsi="宋体"/>
          <w:color w:val="C00000"/>
          <w:sz w:val="21"/>
          <w:szCs w:val="21"/>
          <w:lang w:eastAsia="zh-CN"/>
        </w:rPr>
        <w:t>计</w:t>
      </w:r>
      <w:r>
        <w:rPr>
          <w:rFonts w:hint="eastAsia" w:ascii="宋体" w:hAnsi="宋体"/>
          <w:color w:val="C00000"/>
          <w:sz w:val="21"/>
          <w:szCs w:val="21"/>
        </w:rPr>
        <w:t>算。）</w:t>
      </w:r>
    </w:p>
    <w:p>
      <w:pPr>
        <w:pStyle w:val="5"/>
        <w:spacing w:before="312" w:after="156"/>
        <w:ind w:left="987"/>
        <w:outlineLvl w:val="1"/>
      </w:pPr>
      <w:bookmarkStart w:id="55" w:name="_Toc6809"/>
      <w:bookmarkStart w:id="56" w:name="_Toc3755"/>
      <w:r>
        <w:rPr>
          <w:rFonts w:hint="eastAsia"/>
        </w:rPr>
        <w:t>服务台应答分析</w:t>
      </w:r>
      <w:bookmarkEnd w:id="55"/>
      <w:bookmarkEnd w:id="56"/>
    </w:p>
    <w:p>
      <w:pPr>
        <w:ind w:firstLine="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 xml:space="preserve"> 8</w:t>
      </w:r>
      <w:r>
        <w:rPr>
          <w:rFonts w:hint="eastAsia" w:ascii="华文仿宋" w:hAnsi="华文仿宋" w:eastAsia="华文仿宋" w:cs="华文仿宋"/>
          <w:sz w:val="28"/>
          <w:szCs w:val="28"/>
        </w:rPr>
        <w:t>月</w:t>
      </w:r>
      <w:r>
        <w:rPr>
          <w:rFonts w:hint="eastAsia" w:ascii="华文仿宋" w:hAnsi="华文仿宋" w:eastAsia="华文仿宋" w:cs="华文仿宋"/>
          <w:sz w:val="28"/>
          <w:szCs w:val="28"/>
          <w:lang w:val="en-US" w:eastAsia="zh-CN"/>
        </w:rPr>
        <w:t>26</w:t>
      </w:r>
      <w:r>
        <w:rPr>
          <w:rFonts w:hint="eastAsia" w:ascii="华文仿宋" w:hAnsi="华文仿宋" w:eastAsia="华文仿宋" w:cs="华文仿宋"/>
          <w:sz w:val="28"/>
          <w:szCs w:val="28"/>
        </w:rPr>
        <w:t>日至</w:t>
      </w:r>
      <w:r>
        <w:rPr>
          <w:rFonts w:hint="eastAsia" w:ascii="华文仿宋" w:hAnsi="华文仿宋" w:eastAsia="华文仿宋" w:cs="华文仿宋"/>
          <w:sz w:val="28"/>
          <w:szCs w:val="28"/>
          <w:lang w:val="en-US" w:eastAsia="zh-CN"/>
        </w:rPr>
        <w:t>9</w:t>
      </w:r>
      <w:r>
        <w:rPr>
          <w:rFonts w:hint="eastAsia" w:ascii="华文仿宋" w:hAnsi="华文仿宋" w:eastAsia="华文仿宋" w:cs="华文仿宋"/>
          <w:sz w:val="28"/>
          <w:szCs w:val="28"/>
        </w:rPr>
        <w:t>月</w:t>
      </w:r>
      <w:r>
        <w:rPr>
          <w:rFonts w:hint="eastAsia" w:ascii="华文仿宋" w:hAnsi="华文仿宋" w:eastAsia="华文仿宋" w:cs="华文仿宋"/>
          <w:sz w:val="28"/>
          <w:szCs w:val="28"/>
          <w:lang w:val="en-US" w:eastAsia="zh-CN"/>
        </w:rPr>
        <w:t>30</w:t>
      </w:r>
      <w:r>
        <w:rPr>
          <w:rFonts w:hint="eastAsia" w:ascii="华文仿宋" w:hAnsi="华文仿宋" w:eastAsia="华文仿宋" w:cs="华文仿宋"/>
          <w:sz w:val="28"/>
          <w:szCs w:val="28"/>
        </w:rPr>
        <w:t>日期间，服务台一共接收到</w:t>
      </w:r>
      <w:r>
        <w:rPr>
          <w:rFonts w:hint="eastAsia" w:ascii="华文仿宋" w:hAnsi="华文仿宋" w:eastAsia="华文仿宋" w:cs="华文仿宋"/>
          <w:sz w:val="28"/>
          <w:szCs w:val="28"/>
          <w:lang w:val="en-US" w:eastAsia="zh-CN"/>
        </w:rPr>
        <w:t>3161</w:t>
      </w:r>
      <w:r>
        <w:rPr>
          <w:rFonts w:hint="eastAsia" w:ascii="华文仿宋" w:hAnsi="华文仿宋" w:eastAsia="华文仿宋" w:cs="华文仿宋"/>
          <w:sz w:val="28"/>
          <w:szCs w:val="28"/>
        </w:rPr>
        <w:t>通电话，其中应答成功</w:t>
      </w:r>
      <w:r>
        <w:rPr>
          <w:rFonts w:hint="eastAsia" w:ascii="华文仿宋" w:hAnsi="华文仿宋" w:eastAsia="华文仿宋" w:cs="华文仿宋"/>
          <w:sz w:val="28"/>
          <w:szCs w:val="28"/>
          <w:lang w:val="en-US" w:eastAsia="zh-CN"/>
        </w:rPr>
        <w:t>2312</w:t>
      </w:r>
      <w:r>
        <w:rPr>
          <w:rFonts w:hint="eastAsia" w:ascii="华文仿宋" w:hAnsi="华文仿宋" w:eastAsia="华文仿宋" w:cs="华文仿宋"/>
          <w:sz w:val="28"/>
          <w:szCs w:val="28"/>
        </w:rPr>
        <w:t>通，应答成功率</w:t>
      </w:r>
      <w:r>
        <w:rPr>
          <w:rFonts w:hint="eastAsia" w:ascii="华文仿宋" w:hAnsi="华文仿宋" w:eastAsia="华文仿宋" w:cs="华文仿宋"/>
          <w:sz w:val="28"/>
          <w:szCs w:val="28"/>
          <w:lang w:val="en-US" w:eastAsia="zh-CN"/>
        </w:rPr>
        <w:t>98</w:t>
      </w:r>
      <w:r>
        <w:rPr>
          <w:rFonts w:hint="eastAsia" w:ascii="华文仿宋" w:hAnsi="华文仿宋" w:eastAsia="华文仿宋" w:cs="华文仿宋"/>
          <w:sz w:val="28"/>
          <w:szCs w:val="28"/>
        </w:rPr>
        <w:t>%。具体各业务应答情况如下：</w:t>
      </w:r>
    </w:p>
    <w:tbl>
      <w:tblPr>
        <w:tblStyle w:val="34"/>
        <w:tblW w:w="5000" w:type="pct"/>
        <w:tblInd w:w="0" w:type="dxa"/>
        <w:tblLayout w:type="fixed"/>
        <w:tblCellMar>
          <w:top w:w="0" w:type="dxa"/>
          <w:left w:w="108" w:type="dxa"/>
          <w:bottom w:w="0" w:type="dxa"/>
          <w:right w:w="108" w:type="dxa"/>
        </w:tblCellMar>
      </w:tblPr>
      <w:tblGrid>
        <w:gridCol w:w="2489"/>
        <w:gridCol w:w="1499"/>
        <w:gridCol w:w="1286"/>
        <w:gridCol w:w="1072"/>
        <w:gridCol w:w="1286"/>
        <w:gridCol w:w="1286"/>
        <w:gridCol w:w="1502"/>
      </w:tblGrid>
      <w:tr>
        <w:tblPrEx>
          <w:tblCellMar>
            <w:top w:w="0" w:type="dxa"/>
            <w:left w:w="108" w:type="dxa"/>
            <w:bottom w:w="0" w:type="dxa"/>
            <w:right w:w="108" w:type="dxa"/>
          </w:tblCellMar>
        </w:tblPrEx>
        <w:trPr>
          <w:trHeight w:val="570" w:hRule="atLeast"/>
        </w:trPr>
        <w:tc>
          <w:tcPr>
            <w:tcW w:w="1194" w:type="pct"/>
            <w:tcBorders>
              <w:top w:val="nil"/>
              <w:left w:val="nil"/>
              <w:bottom w:val="nil"/>
              <w:right w:val="nil"/>
            </w:tcBorders>
            <w:shd w:val="clear" w:color="000000" w:fill="8DB4E3"/>
            <w:noWrap/>
            <w:vAlign w:val="center"/>
          </w:tcPr>
          <w:p>
            <w:pPr>
              <w:widowControl/>
              <w:adjustRightInd/>
              <w:spacing w:line="240" w:lineRule="auto"/>
              <w:ind w:firstLine="482" w:firstLineChars="0"/>
              <w:jc w:val="center"/>
              <w:textAlignment w:val="auto"/>
              <w:rPr>
                <w:rFonts w:ascii="宋体" w:hAnsi="宋体" w:cs="宋体"/>
                <w:b/>
                <w:bCs/>
                <w:color w:val="000000"/>
                <w:kern w:val="0"/>
              </w:rPr>
            </w:pPr>
            <w:r>
              <w:rPr>
                <w:rFonts w:hint="eastAsia" w:ascii="宋体" w:hAnsi="宋体" w:cs="宋体"/>
                <w:b/>
                <w:bCs/>
                <w:color w:val="000000"/>
                <w:kern w:val="0"/>
              </w:rPr>
              <w:t>业  务</w:t>
            </w:r>
          </w:p>
        </w:tc>
        <w:tc>
          <w:tcPr>
            <w:tcW w:w="719" w:type="pct"/>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应答成功次数</w:t>
            </w:r>
          </w:p>
        </w:tc>
        <w:tc>
          <w:tcPr>
            <w:tcW w:w="617" w:type="pct"/>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应答失败数</w:t>
            </w:r>
          </w:p>
        </w:tc>
        <w:tc>
          <w:tcPr>
            <w:tcW w:w="514" w:type="pct"/>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应答总数</w:t>
            </w:r>
          </w:p>
        </w:tc>
        <w:tc>
          <w:tcPr>
            <w:tcW w:w="617" w:type="pct"/>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应答成功率</w:t>
            </w:r>
          </w:p>
        </w:tc>
        <w:tc>
          <w:tcPr>
            <w:tcW w:w="617" w:type="pct"/>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事件工单数</w:t>
            </w:r>
          </w:p>
        </w:tc>
        <w:tc>
          <w:tcPr>
            <w:tcW w:w="720" w:type="pct"/>
            <w:tcBorders>
              <w:top w:val="nil"/>
              <w:left w:val="nil"/>
              <w:bottom w:val="nil"/>
              <w:right w:val="nil"/>
            </w:tcBorders>
            <w:shd w:val="clear" w:color="000000" w:fill="8DB4E3"/>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未起单通话数</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noWrap/>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公司本部</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1346</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32</w:t>
            </w:r>
          </w:p>
        </w:tc>
        <w:tc>
          <w:tcPr>
            <w:tcW w:w="51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1378</w:t>
            </w:r>
          </w:p>
        </w:tc>
        <w:tc>
          <w:tcPr>
            <w:tcW w:w="617"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98%</w:t>
            </w:r>
          </w:p>
        </w:tc>
        <w:tc>
          <w:tcPr>
            <w:tcW w:w="617" w:type="pct"/>
            <w:tcBorders>
              <w:top w:val="nil"/>
              <w:left w:val="nil"/>
              <w:bottom w:val="nil"/>
              <w:right w:val="nil"/>
            </w:tcBorders>
            <w:shd w:val="clear" w:color="000000" w:fill="DBE5F1"/>
            <w:noWrap/>
            <w:vAlign w:val="center"/>
          </w:tcPr>
          <w:p>
            <w:pPr>
              <w:widowControl/>
              <w:adjustRightInd/>
              <w:spacing w:line="240" w:lineRule="auto"/>
              <w:ind w:firstLine="0" w:firstLineChars="0"/>
              <w:jc w:val="center"/>
              <w:textAlignment w:val="auto"/>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2147</w:t>
            </w:r>
          </w:p>
        </w:tc>
        <w:tc>
          <w:tcPr>
            <w:tcW w:w="720" w:type="pct"/>
            <w:tcBorders>
              <w:top w:val="nil"/>
              <w:left w:val="nil"/>
              <w:bottom w:val="nil"/>
              <w:right w:val="nil"/>
            </w:tcBorders>
            <w:shd w:val="clear" w:color="000000" w:fill="DBE5F1"/>
            <w:noWrap/>
            <w:vAlign w:val="center"/>
          </w:tcPr>
          <w:p>
            <w:pPr>
              <w:widowControl/>
              <w:adjustRightInd/>
              <w:spacing w:line="240" w:lineRule="auto"/>
              <w:ind w:firstLine="0" w:firstLineChars="0"/>
              <w:jc w:val="center"/>
              <w:textAlignment w:val="auto"/>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-801</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color w:val="000000"/>
                <w:kern w:val="0"/>
              </w:rPr>
            </w:pPr>
            <w:r>
              <w:rPr>
                <w:rFonts w:ascii="Arial" w:hAnsi="Arial" w:cs="Arial"/>
                <w:color w:val="000000"/>
                <w:kern w:val="0"/>
              </w:rPr>
              <w:t>本部(桌面)</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258</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15</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273</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95</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954</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-696</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noWrap/>
            <w:vAlign w:val="center"/>
          </w:tcPr>
          <w:p>
            <w:pPr>
              <w:widowControl/>
              <w:adjustRightInd/>
              <w:spacing w:line="240" w:lineRule="auto"/>
              <w:ind w:firstLine="0" w:firstLineChars="0"/>
              <w:jc w:val="center"/>
              <w:textAlignment w:val="auto"/>
              <w:rPr>
                <w:rFonts w:ascii="Arial" w:hAnsi="Arial" w:cs="Arial"/>
                <w:color w:val="000000"/>
                <w:kern w:val="0"/>
              </w:rPr>
            </w:pPr>
            <w:r>
              <w:rPr>
                <w:rFonts w:ascii="Arial" w:hAnsi="Arial" w:cs="Arial"/>
                <w:color w:val="000000"/>
                <w:kern w:val="0"/>
              </w:rPr>
              <w:t>本部(OA)</w:t>
            </w:r>
          </w:p>
        </w:tc>
        <w:tc>
          <w:tcPr>
            <w:tcW w:w="719"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525</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534</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98</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797</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-272</w:t>
            </w:r>
          </w:p>
        </w:tc>
      </w:tr>
      <w:tr>
        <w:tblPrEx>
          <w:tblCellMar>
            <w:top w:w="0" w:type="dxa"/>
            <w:left w:w="108" w:type="dxa"/>
            <w:bottom w:w="0" w:type="dxa"/>
            <w:right w:w="108" w:type="dxa"/>
          </w:tblCellMar>
        </w:tblPrEx>
        <w:trPr>
          <w:trHeight w:val="90"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color w:val="000000"/>
                <w:kern w:val="0"/>
              </w:rPr>
            </w:pPr>
            <w:r>
              <w:rPr>
                <w:rFonts w:hint="eastAsia" w:ascii="宋体" w:hAnsi="宋体" w:cs="Arial"/>
                <w:color w:val="000000"/>
                <w:kern w:val="0"/>
              </w:rPr>
              <w:t>本部</w:t>
            </w:r>
            <w:r>
              <w:rPr>
                <w:rFonts w:ascii="Arial" w:hAnsi="Arial" w:cs="Arial"/>
                <w:color w:val="000000"/>
                <w:kern w:val="0"/>
              </w:rPr>
              <w:t>(</w:t>
            </w:r>
            <w:r>
              <w:rPr>
                <w:rFonts w:hint="eastAsia" w:ascii="宋体" w:hAnsi="宋体" w:cs="Arial"/>
                <w:color w:val="000000"/>
                <w:kern w:val="0"/>
              </w:rPr>
              <w:t>综合项目</w:t>
            </w:r>
            <w:r>
              <w:rPr>
                <w:rFonts w:ascii="Arial" w:hAnsi="Arial" w:cs="Arial"/>
                <w:color w:val="000000"/>
                <w:kern w:val="0"/>
              </w:rPr>
              <w:t>)</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366</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6</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372</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98</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261</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105</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color w:val="000000"/>
                <w:kern w:val="0"/>
              </w:rPr>
            </w:pPr>
            <w:r>
              <w:rPr>
                <w:rFonts w:hint="eastAsia" w:ascii="宋体" w:hAnsi="宋体" w:cs="Arial"/>
                <w:color w:val="000000"/>
                <w:kern w:val="0"/>
              </w:rPr>
              <w:t>本部</w:t>
            </w:r>
            <w:r>
              <w:rPr>
                <w:rFonts w:ascii="Arial" w:hAnsi="Arial" w:cs="Arial"/>
                <w:color w:val="000000"/>
                <w:kern w:val="0"/>
              </w:rPr>
              <w:t>(ERP)</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135</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136</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99</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104</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31</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noWrap/>
            <w:vAlign w:val="center"/>
          </w:tcPr>
          <w:p>
            <w:pPr>
              <w:widowControl/>
              <w:adjustRightInd/>
              <w:spacing w:line="240" w:lineRule="auto"/>
              <w:ind w:firstLine="0" w:firstLineChars="0"/>
              <w:jc w:val="center"/>
              <w:textAlignment w:val="auto"/>
              <w:rPr>
                <w:rFonts w:ascii="Arial" w:hAnsi="Arial" w:cs="Arial"/>
                <w:color w:val="000000"/>
                <w:kern w:val="0"/>
              </w:rPr>
            </w:pPr>
            <w:r>
              <w:rPr>
                <w:rFonts w:hint="eastAsia" w:ascii="宋体" w:hAnsi="宋体" w:cs="Arial"/>
                <w:color w:val="000000"/>
                <w:kern w:val="0"/>
              </w:rPr>
              <w:t>本部</w:t>
            </w:r>
            <w:r>
              <w:rPr>
                <w:rFonts w:ascii="Arial" w:hAnsi="Arial" w:cs="Arial"/>
                <w:color w:val="000000"/>
                <w:kern w:val="0"/>
              </w:rPr>
              <w:t>(ITIL)</w:t>
            </w:r>
          </w:p>
        </w:tc>
        <w:tc>
          <w:tcPr>
            <w:tcW w:w="719"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11</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11</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100</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2</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noWrap/>
            <w:vAlign w:val="center"/>
          </w:tcPr>
          <w:p>
            <w:pPr>
              <w:widowControl/>
              <w:adjustRightInd/>
              <w:spacing w:line="240" w:lineRule="auto"/>
              <w:ind w:firstLine="0" w:firstLineChars="0"/>
              <w:jc w:val="center"/>
              <w:textAlignment w:val="auto"/>
              <w:rPr>
                <w:rFonts w:ascii="Arial" w:hAnsi="Arial" w:cs="Arial"/>
                <w:color w:val="000000"/>
                <w:kern w:val="0"/>
              </w:rPr>
            </w:pPr>
            <w:r>
              <w:rPr>
                <w:rFonts w:hint="eastAsia" w:ascii="宋体" w:hAnsi="宋体" w:cs="Arial"/>
                <w:color w:val="000000"/>
                <w:kern w:val="0"/>
              </w:rPr>
              <w:t>本部</w:t>
            </w:r>
            <w:r>
              <w:rPr>
                <w:rFonts w:ascii="Arial" w:hAnsi="Arial" w:cs="Arial"/>
                <w:color w:val="000000"/>
                <w:kern w:val="0"/>
              </w:rPr>
              <w:t>(</w:t>
            </w:r>
            <w:r>
              <w:rPr>
                <w:rFonts w:hint="eastAsia" w:ascii="宋体" w:hAnsi="宋体" w:cs="Arial"/>
                <w:color w:val="000000"/>
                <w:kern w:val="0"/>
              </w:rPr>
              <w:t>营销、物流、烟叶</w:t>
            </w:r>
            <w:r>
              <w:rPr>
                <w:rFonts w:ascii="Arial" w:hAnsi="Arial" w:cs="Arial"/>
                <w:color w:val="000000"/>
                <w:kern w:val="0"/>
              </w:rPr>
              <w:t>)</w:t>
            </w:r>
          </w:p>
        </w:tc>
        <w:tc>
          <w:tcPr>
            <w:tcW w:w="719"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720" w:type="pct"/>
            <w:tcBorders>
              <w:top w:val="nil"/>
              <w:left w:val="nil"/>
              <w:bottom w:val="nil"/>
              <w:right w:val="nil"/>
            </w:tcBorders>
            <w:shd w:val="clear" w:color="000000" w:fill="DBE5F1"/>
            <w:vAlign w:val="center"/>
          </w:tcPr>
          <w:p>
            <w:pPr>
              <w:keepNext w:val="0"/>
              <w:keepLines w:val="0"/>
              <w:widowControl/>
              <w:suppressLineNumbers w:val="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noWrap/>
            <w:vAlign w:val="center"/>
          </w:tcPr>
          <w:p>
            <w:pPr>
              <w:widowControl/>
              <w:adjustRightInd/>
              <w:spacing w:line="240" w:lineRule="auto"/>
              <w:ind w:firstLine="0" w:firstLineChars="0"/>
              <w:jc w:val="center"/>
              <w:textAlignment w:val="auto"/>
              <w:rPr>
                <w:rFonts w:ascii="Arial" w:hAnsi="Arial" w:cs="Arial"/>
                <w:color w:val="000000"/>
                <w:kern w:val="0"/>
              </w:rPr>
            </w:pPr>
            <w:r>
              <w:rPr>
                <w:rFonts w:hint="eastAsia" w:ascii="宋体" w:hAnsi="宋体" w:cs="Arial"/>
                <w:color w:val="000000"/>
                <w:kern w:val="0"/>
              </w:rPr>
              <w:t>本部</w:t>
            </w:r>
            <w:r>
              <w:rPr>
                <w:rFonts w:ascii="Arial" w:hAnsi="Arial" w:cs="Arial"/>
                <w:color w:val="000000"/>
                <w:kern w:val="0"/>
              </w:rPr>
              <w:t>(</w:t>
            </w:r>
            <w:r>
              <w:rPr>
                <w:rFonts w:hint="eastAsia" w:ascii="宋体" w:hAnsi="宋体" w:cs="Arial"/>
                <w:color w:val="000000"/>
                <w:kern w:val="0"/>
              </w:rPr>
              <w:t>资产管理</w:t>
            </w:r>
            <w:r>
              <w:rPr>
                <w:rFonts w:ascii="Arial" w:hAnsi="Arial" w:cs="Arial"/>
                <w:color w:val="000000"/>
                <w:kern w:val="0"/>
              </w:rPr>
              <w:t>)</w:t>
            </w:r>
          </w:p>
        </w:tc>
        <w:tc>
          <w:tcPr>
            <w:tcW w:w="719"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51</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1</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52</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98</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noWrap/>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29</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22</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Arial" w:hAnsi="Arial" w:cs="Arial"/>
                <w:color w:val="000000"/>
                <w:kern w:val="0"/>
              </w:rPr>
            </w:pPr>
            <w:r>
              <w:rPr>
                <w:rFonts w:hint="eastAsia" w:ascii="宋体" w:hAnsi="宋体" w:cs="Arial"/>
                <w:color w:val="000000"/>
                <w:kern w:val="0"/>
              </w:rPr>
              <w:t>本部</w:t>
            </w:r>
            <w:r>
              <w:rPr>
                <w:rFonts w:ascii="Arial" w:hAnsi="Arial" w:cs="Arial"/>
                <w:color w:val="000000"/>
                <w:kern w:val="0"/>
              </w:rPr>
              <w:t>(MES</w:t>
            </w:r>
            <w:r>
              <w:rPr>
                <w:rFonts w:hint="eastAsia" w:ascii="宋体" w:hAnsi="宋体" w:cs="Arial"/>
                <w:color w:val="000000"/>
                <w:kern w:val="0"/>
              </w:rPr>
              <w:t>和一号工程</w:t>
            </w:r>
            <w:r>
              <w:rPr>
                <w:rFonts w:ascii="Arial" w:hAnsi="Arial" w:cs="Arial"/>
                <w:color w:val="000000"/>
                <w:kern w:val="0"/>
              </w:rPr>
              <w:t>)</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r>
              <w:rPr>
                <w:rFonts w:hint="eastAsia" w:ascii="Arial" w:hAnsi="Arial" w:cs="Arial"/>
                <w:b w:val="0"/>
                <w:bCs w:val="0"/>
                <w:color w:val="000000"/>
                <w:kern w:val="0"/>
                <w:lang w:val="en-US" w:eastAsia="zh-CN"/>
              </w:rPr>
              <w:t>%</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color w:val="000000"/>
                <w:kern w:val="0"/>
                <w:lang w:val="en-US" w:eastAsia="zh-CN"/>
              </w:rPr>
            </w:pPr>
            <w:r>
              <w:rPr>
                <w:rFonts w:hint="eastAsia" w:ascii="Arial" w:hAnsi="Arial" w:cs="Arial"/>
                <w:color w:val="000000"/>
                <w:kern w:val="0"/>
                <w:lang w:val="en-US" w:eastAsia="zh-CN"/>
              </w:rPr>
              <w:t>0</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广州厂</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539</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5</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544</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99%</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306</w:t>
            </w:r>
          </w:p>
        </w:tc>
        <w:tc>
          <w:tcPr>
            <w:tcW w:w="720" w:type="pct"/>
            <w:tcBorders>
              <w:top w:val="nil"/>
              <w:left w:val="nil"/>
              <w:bottom w:val="nil"/>
              <w:right w:val="nil"/>
            </w:tcBorders>
            <w:shd w:val="clear" w:color="000000" w:fill="DBE5F1"/>
            <w:vAlign w:val="center"/>
          </w:tcPr>
          <w:p>
            <w:pPr>
              <w:keepNext w:val="0"/>
              <w:keepLines w:val="0"/>
              <w:widowControl/>
              <w:suppressLineNumbers w:val="0"/>
              <w:ind w:left="0" w:leftChars="0" w:firstLine="480" w:firstLineChars="200"/>
              <w:jc w:val="both"/>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233</w:t>
            </w:r>
          </w:p>
        </w:tc>
      </w:tr>
      <w:tr>
        <w:tblPrEx>
          <w:tblCellMar>
            <w:top w:w="0" w:type="dxa"/>
            <w:left w:w="108" w:type="dxa"/>
            <w:bottom w:w="0" w:type="dxa"/>
            <w:right w:w="108" w:type="dxa"/>
          </w:tblCellMar>
        </w:tblPrEx>
        <w:trPr>
          <w:trHeight w:val="465"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韶关厂</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46</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7</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cs="Arial"/>
                <w:b w:val="0"/>
                <w:bCs w:val="0"/>
                <w:color w:val="000000"/>
                <w:kern w:val="0"/>
                <w:lang w:val="en-US" w:eastAsia="zh-CN"/>
              </w:rPr>
            </w:pPr>
            <w:r>
              <w:rPr>
                <w:rFonts w:hint="eastAsia" w:ascii="Arial" w:hAnsi="Arial" w:cs="Arial"/>
                <w:b w:val="0"/>
                <w:bCs w:val="0"/>
                <w:color w:val="000000"/>
                <w:kern w:val="0"/>
                <w:lang w:val="en-US" w:eastAsia="zh-CN"/>
              </w:rPr>
              <w:t>53</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87%</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0</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46</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梅州厂</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145</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146</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99%</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30</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115</w:t>
            </w:r>
          </w:p>
        </w:tc>
      </w:tr>
      <w:tr>
        <w:tblPrEx>
          <w:tblCellMar>
            <w:top w:w="0" w:type="dxa"/>
            <w:left w:w="108" w:type="dxa"/>
            <w:bottom w:w="0" w:type="dxa"/>
            <w:right w:w="108" w:type="dxa"/>
          </w:tblCellMar>
        </w:tblPrEx>
        <w:trPr>
          <w:trHeight w:val="555" w:hRule="atLeast"/>
        </w:trPr>
        <w:tc>
          <w:tcPr>
            <w:tcW w:w="1194" w:type="pct"/>
            <w:tcBorders>
              <w:top w:val="nil"/>
              <w:left w:val="nil"/>
              <w:bottom w:val="nil"/>
              <w:right w:val="nil"/>
            </w:tcBorders>
            <w:shd w:val="clear" w:color="000000" w:fill="DBE5F1"/>
            <w:vAlign w:val="center"/>
          </w:tcPr>
          <w:p>
            <w:pPr>
              <w:widowControl/>
              <w:adjustRightInd/>
              <w:spacing w:line="240" w:lineRule="auto"/>
              <w:ind w:firstLine="0" w:firstLineChars="0"/>
              <w:jc w:val="center"/>
              <w:textAlignment w:val="auto"/>
              <w:rPr>
                <w:rFonts w:ascii="宋体" w:hAnsi="宋体" w:cs="宋体"/>
                <w:b/>
                <w:bCs/>
                <w:color w:val="000000"/>
                <w:kern w:val="0"/>
              </w:rPr>
            </w:pPr>
            <w:r>
              <w:rPr>
                <w:rFonts w:hint="eastAsia" w:ascii="宋体" w:hAnsi="宋体" w:cs="宋体"/>
                <w:b/>
                <w:bCs/>
                <w:color w:val="000000"/>
                <w:kern w:val="0"/>
              </w:rPr>
              <w:t>湛江厂</w:t>
            </w:r>
          </w:p>
        </w:tc>
        <w:tc>
          <w:tcPr>
            <w:tcW w:w="719"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236</w:t>
            </w:r>
          </w:p>
        </w:tc>
        <w:tc>
          <w:tcPr>
            <w:tcW w:w="617"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3</w:t>
            </w:r>
          </w:p>
        </w:tc>
        <w:tc>
          <w:tcPr>
            <w:tcW w:w="514"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239</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99%</w:t>
            </w:r>
          </w:p>
        </w:tc>
        <w:tc>
          <w:tcPr>
            <w:tcW w:w="617" w:type="pct"/>
            <w:tcBorders>
              <w:top w:val="nil"/>
              <w:left w:val="nil"/>
              <w:bottom w:val="nil"/>
              <w:right w:val="nil"/>
            </w:tcBorders>
            <w:shd w:val="clear" w:color="000000" w:fill="DBE5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103</w:t>
            </w:r>
          </w:p>
        </w:tc>
        <w:tc>
          <w:tcPr>
            <w:tcW w:w="720" w:type="pct"/>
            <w:tcBorders>
              <w:top w:val="nil"/>
              <w:left w:val="nil"/>
              <w:bottom w:val="nil"/>
              <w:right w:val="nil"/>
            </w:tcBorders>
            <w:shd w:val="clear" w:color="000000" w:fill="DBE5F1"/>
            <w:vAlign w:val="center"/>
          </w:tcPr>
          <w:p>
            <w:pPr>
              <w:keepNext w:val="0"/>
              <w:keepLines w:val="0"/>
              <w:widowControl/>
              <w:suppressLineNumbers w:val="0"/>
              <w:ind w:firstLine="480" w:firstLineChars="200"/>
              <w:jc w:val="both"/>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133</w:t>
            </w:r>
          </w:p>
        </w:tc>
      </w:tr>
      <w:tr>
        <w:tblPrEx>
          <w:tblCellMar>
            <w:top w:w="0" w:type="dxa"/>
            <w:left w:w="108" w:type="dxa"/>
            <w:bottom w:w="0" w:type="dxa"/>
            <w:right w:w="108" w:type="dxa"/>
          </w:tblCellMar>
        </w:tblPrEx>
        <w:trPr>
          <w:trHeight w:val="480" w:hRule="atLeast"/>
        </w:trPr>
        <w:tc>
          <w:tcPr>
            <w:tcW w:w="1194" w:type="pct"/>
            <w:tcBorders>
              <w:top w:val="nil"/>
              <w:left w:val="nil"/>
              <w:bottom w:val="nil"/>
              <w:right w:val="nil"/>
            </w:tcBorders>
            <w:shd w:val="clear" w:color="000000" w:fill="C5D9F1"/>
            <w:vAlign w:val="center"/>
          </w:tcPr>
          <w:p>
            <w:pPr>
              <w:widowControl/>
              <w:adjustRightInd/>
              <w:spacing w:line="240" w:lineRule="auto"/>
              <w:ind w:firstLine="0" w:firstLineChars="0"/>
              <w:jc w:val="center"/>
              <w:textAlignment w:val="auto"/>
              <w:rPr>
                <w:rFonts w:ascii="Arial" w:hAnsi="Arial" w:cs="Arial"/>
                <w:b/>
                <w:bCs/>
                <w:color w:val="000000"/>
                <w:kern w:val="0"/>
              </w:rPr>
            </w:pPr>
            <w:r>
              <w:rPr>
                <w:rFonts w:hint="eastAsia" w:ascii="宋体" w:hAnsi="宋体" w:cs="Arial"/>
                <w:b/>
                <w:bCs/>
                <w:color w:val="000000"/>
                <w:kern w:val="0"/>
              </w:rPr>
              <w:t>合计</w:t>
            </w:r>
          </w:p>
        </w:tc>
        <w:tc>
          <w:tcPr>
            <w:tcW w:w="719" w:type="pct"/>
            <w:tcBorders>
              <w:top w:val="nil"/>
              <w:left w:val="nil"/>
              <w:bottom w:val="nil"/>
              <w:right w:val="nil"/>
            </w:tcBorders>
            <w:shd w:val="clear" w:color="000000" w:fill="C5D9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2312</w:t>
            </w:r>
          </w:p>
        </w:tc>
        <w:tc>
          <w:tcPr>
            <w:tcW w:w="617" w:type="pct"/>
            <w:tcBorders>
              <w:top w:val="nil"/>
              <w:left w:val="nil"/>
              <w:bottom w:val="nil"/>
              <w:right w:val="nil"/>
            </w:tcBorders>
            <w:shd w:val="clear" w:color="000000" w:fill="C5D9F1"/>
            <w:vAlign w:val="center"/>
          </w:tcPr>
          <w:p>
            <w:pPr>
              <w:keepNext w:val="0"/>
              <w:keepLines w:val="0"/>
              <w:widowControl/>
              <w:suppressLineNumbers w:val="0"/>
              <w:ind w:firstLine="480" w:firstLineChars="20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48</w:t>
            </w:r>
          </w:p>
        </w:tc>
        <w:tc>
          <w:tcPr>
            <w:tcW w:w="514" w:type="pct"/>
            <w:tcBorders>
              <w:top w:val="nil"/>
              <w:left w:val="nil"/>
              <w:bottom w:val="nil"/>
              <w:right w:val="nil"/>
            </w:tcBorders>
            <w:shd w:val="clear" w:color="000000" w:fill="C5D9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2360</w:t>
            </w:r>
          </w:p>
        </w:tc>
        <w:tc>
          <w:tcPr>
            <w:tcW w:w="617" w:type="pct"/>
            <w:tcBorders>
              <w:top w:val="nil"/>
              <w:left w:val="nil"/>
              <w:bottom w:val="nil"/>
              <w:right w:val="nil"/>
            </w:tcBorders>
            <w:shd w:val="clear" w:color="000000" w:fill="C5D9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98%</w:t>
            </w:r>
          </w:p>
        </w:tc>
        <w:tc>
          <w:tcPr>
            <w:tcW w:w="617" w:type="pct"/>
            <w:tcBorders>
              <w:top w:val="nil"/>
              <w:left w:val="nil"/>
              <w:bottom w:val="nil"/>
              <w:right w:val="nil"/>
            </w:tcBorders>
            <w:shd w:val="clear" w:color="000000" w:fill="C5D9F1"/>
            <w:vAlign w:val="center"/>
          </w:tcPr>
          <w:p>
            <w:pPr>
              <w:keepNext w:val="0"/>
              <w:keepLines w:val="0"/>
              <w:widowControl/>
              <w:suppressLineNumbers w:val="0"/>
              <w:ind w:left="0" w:leftChars="0" w:firstLine="0" w:firstLineChars="0"/>
              <w:jc w:val="center"/>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2586</w:t>
            </w:r>
          </w:p>
        </w:tc>
        <w:tc>
          <w:tcPr>
            <w:tcW w:w="720" w:type="pct"/>
            <w:tcBorders>
              <w:top w:val="nil"/>
              <w:left w:val="nil"/>
              <w:bottom w:val="nil"/>
              <w:right w:val="nil"/>
            </w:tcBorders>
            <w:shd w:val="clear" w:color="000000" w:fill="C5D9F1"/>
            <w:vAlign w:val="center"/>
          </w:tcPr>
          <w:p>
            <w:pPr>
              <w:keepNext w:val="0"/>
              <w:keepLines w:val="0"/>
              <w:widowControl/>
              <w:suppressLineNumbers w:val="0"/>
              <w:ind w:firstLine="480" w:firstLineChars="200"/>
              <w:jc w:val="both"/>
              <w:textAlignment w:val="center"/>
              <w:rPr>
                <w:rFonts w:hint="default" w:ascii="Arial" w:hAnsi="Arial" w:eastAsia="宋体" w:cs="Arial"/>
                <w:b w:val="0"/>
                <w:bCs w:val="0"/>
                <w:color w:val="000000"/>
                <w:kern w:val="0"/>
                <w:lang w:val="en-US" w:eastAsia="zh-CN"/>
              </w:rPr>
            </w:pPr>
            <w:r>
              <w:rPr>
                <w:rFonts w:hint="eastAsia" w:ascii="Arial" w:hAnsi="Arial" w:cs="Arial"/>
                <w:b w:val="0"/>
                <w:bCs w:val="0"/>
                <w:color w:val="000000"/>
                <w:kern w:val="0"/>
                <w:lang w:val="en-US" w:eastAsia="zh-CN"/>
              </w:rPr>
              <w:t>-274</w:t>
            </w:r>
          </w:p>
        </w:tc>
      </w:tr>
    </w:tbl>
    <w:p>
      <w:pPr>
        <w:rPr>
          <w:rFonts w:hint="eastAsia" w:ascii="宋体" w:hAnsi="宋体" w:eastAsia="宋体" w:cs="宋体"/>
          <w:color w:val="C00000"/>
          <w:kern w:val="0"/>
          <w:sz w:val="21"/>
          <w:szCs w:val="21"/>
          <w:lang w:val="en-US" w:eastAsia="zh-CN"/>
        </w:rPr>
      </w:pPr>
      <w:r>
        <w:rPr>
          <w:rFonts w:hint="eastAsia" w:ascii="宋体" w:hAnsi="宋体" w:cs="宋体"/>
          <w:color w:val="C00000"/>
          <w:kern w:val="0"/>
          <w:sz w:val="21"/>
          <w:szCs w:val="21"/>
          <w:lang w:val="en-US" w:eastAsia="zh-CN"/>
        </w:rPr>
        <w:t>(PS</w:t>
      </w:r>
      <w:r>
        <w:rPr>
          <w:rFonts w:hint="eastAsia" w:ascii="宋体" w:hAnsi="宋体" w:cs="宋体"/>
          <w:color w:val="C00000"/>
          <w:kern w:val="0"/>
          <w:sz w:val="21"/>
          <w:szCs w:val="21"/>
        </w:rPr>
        <w:t>：本月接通率</w:t>
      </w:r>
      <w:r>
        <w:rPr>
          <w:rFonts w:hint="eastAsia" w:ascii="宋体" w:hAnsi="宋体" w:cs="宋体"/>
          <w:color w:val="C00000"/>
          <w:kern w:val="0"/>
          <w:sz w:val="21"/>
          <w:szCs w:val="21"/>
          <w:lang w:eastAsia="zh-CN"/>
        </w:rPr>
        <w:t>低</w:t>
      </w:r>
      <w:r>
        <w:rPr>
          <w:rFonts w:hint="eastAsia" w:ascii="宋体" w:hAnsi="宋体" w:cs="宋体"/>
          <w:color w:val="C00000"/>
          <w:kern w:val="0"/>
          <w:sz w:val="21"/>
          <w:szCs w:val="21"/>
        </w:rPr>
        <w:t>于97</w:t>
      </w:r>
      <w:r>
        <w:rPr>
          <w:rFonts w:hint="eastAsia" w:ascii="宋体" w:hAnsi="宋体" w:cs="宋体"/>
          <w:color w:val="C00000"/>
          <w:kern w:val="0"/>
          <w:sz w:val="21"/>
          <w:szCs w:val="21"/>
          <w:lang w:val="en-US" w:eastAsia="zh-CN"/>
        </w:rPr>
        <w:t>.5</w:t>
      </w:r>
      <w:r>
        <w:rPr>
          <w:rFonts w:hint="eastAsia" w:ascii="宋体" w:hAnsi="宋体" w:cs="宋体"/>
          <w:color w:val="C00000"/>
          <w:kern w:val="0"/>
          <w:sz w:val="21"/>
          <w:szCs w:val="21"/>
        </w:rPr>
        <w:t>%的座席有：</w:t>
      </w:r>
      <w:r>
        <w:rPr>
          <w:rFonts w:hint="eastAsia" w:ascii="宋体" w:hAnsi="宋体" w:cs="宋体"/>
          <w:color w:val="C00000"/>
          <w:kern w:val="0"/>
          <w:sz w:val="21"/>
          <w:szCs w:val="21"/>
          <w:lang w:eastAsia="zh-CN"/>
        </w:rPr>
        <w:t>本部桌面和韶关厂</w:t>
      </w:r>
      <w:r>
        <w:rPr>
          <w:rFonts w:hint="eastAsia" w:ascii="宋体" w:hAnsi="宋体" w:cs="宋体"/>
          <w:color w:val="C00000"/>
          <w:kern w:val="0"/>
          <w:sz w:val="21"/>
          <w:szCs w:val="21"/>
          <w:lang w:val="en-US" w:eastAsia="zh-CN"/>
        </w:rPr>
        <w:t xml:space="preserve"> ；本部MES和一号工程服务台、及本部营销物流烟叶服务台与往月情况一致未登录无法获取数据</w:t>
      </w:r>
      <w:r>
        <w:rPr>
          <w:rFonts w:hint="eastAsia" w:ascii="宋体" w:hAnsi="宋体" w:cs="宋体"/>
          <w:color w:val="C00000"/>
          <w:kern w:val="0"/>
          <w:sz w:val="21"/>
          <w:szCs w:val="21"/>
        </w:rPr>
        <w:t>。请各座席及时接听服务台来电，需短暂离开时，确保设置为离席状态，保证用户故障能及时得到响应并处理。</w:t>
      </w:r>
      <w:r>
        <w:rPr>
          <w:rFonts w:hint="eastAsia" w:ascii="宋体" w:hAnsi="宋体" w:cs="宋体"/>
          <w:color w:val="C00000"/>
          <w:kern w:val="0"/>
          <w:sz w:val="21"/>
          <w:szCs w:val="21"/>
          <w:lang w:val="en-US" w:eastAsia="zh-CN"/>
        </w:rPr>
        <w:t>)</w:t>
      </w:r>
    </w:p>
    <w:p>
      <w:pPr>
        <w:pStyle w:val="5"/>
        <w:spacing w:before="0" w:after="0"/>
        <w:ind w:left="987"/>
        <w:outlineLvl w:val="1"/>
      </w:pPr>
      <w:bookmarkStart w:id="57" w:name="_Toc30005"/>
      <w:r>
        <w:rPr>
          <w:rFonts w:hint="eastAsia"/>
        </w:rPr>
        <w:t>服务台来电分析</w:t>
      </w:r>
      <w:bookmarkEnd w:id="57"/>
    </w:p>
    <w:p>
      <w:pPr>
        <w:ind w:firstLine="560" w:firstLineChars="200"/>
        <w:rPr>
          <w:rFonts w:hint="eastAsia" w:ascii="华文仿宋" w:hAnsi="华文仿宋" w:eastAsia="华文仿宋" w:cs="华文仿宋"/>
          <w:b w:val="0"/>
          <w:bCs w:val="0"/>
          <w:color w:val="auto"/>
          <w:sz w:val="28"/>
          <w:szCs w:val="28"/>
        </w:rPr>
      </w:pPr>
      <w:r>
        <w:rPr>
          <w:rFonts w:hint="eastAsia" w:ascii="华文仿宋" w:hAnsi="华文仿宋" w:eastAsia="华文仿宋" w:cs="华文仿宋"/>
          <w:sz w:val="28"/>
          <w:szCs w:val="28"/>
        </w:rPr>
        <w:t>本月成功接入服务台的电话共</w:t>
      </w:r>
      <w:r>
        <w:rPr>
          <w:rFonts w:hint="eastAsia" w:ascii="华文仿宋" w:hAnsi="华文仿宋" w:eastAsia="华文仿宋" w:cs="华文仿宋"/>
          <w:sz w:val="28"/>
          <w:szCs w:val="28"/>
          <w:lang w:val="en-US" w:eastAsia="zh-CN"/>
        </w:rPr>
        <w:t>3161</w:t>
      </w:r>
      <w:r>
        <w:rPr>
          <w:rFonts w:hint="eastAsia" w:ascii="华文仿宋" w:hAnsi="华文仿宋" w:eastAsia="华文仿宋" w:cs="华文仿宋"/>
          <w:sz w:val="28"/>
          <w:szCs w:val="28"/>
        </w:rPr>
        <w:t>通，接听来电最多的服务台分别是</w:t>
      </w:r>
      <w:r>
        <w:rPr>
          <w:rFonts w:hint="eastAsia" w:ascii="华文仿宋" w:hAnsi="华文仿宋" w:eastAsia="华文仿宋" w:cs="华文仿宋"/>
          <w:sz w:val="28"/>
          <w:szCs w:val="28"/>
          <w:lang w:val="en-US" w:eastAsia="zh-CN"/>
        </w:rPr>
        <w:t>本部OA（684通）、广州厂（562通）、本部综合项目管理平台（395通）。</w:t>
      </w:r>
    </w:p>
    <w:p>
      <w:pPr>
        <w:numPr>
          <w:ilvl w:val="0"/>
          <w:numId w:val="14"/>
        </w:numPr>
        <w:ind w:left="420" w:hanging="420" w:firstLineChars="0"/>
        <w:rPr>
          <w:rFonts w:hint="eastAsia" w:ascii="华文仿宋" w:hAnsi="华文仿宋" w:eastAsia="华文仿宋" w:cs="华文仿宋"/>
          <w:color w:val="C00000"/>
          <w:sz w:val="28"/>
          <w:szCs w:val="28"/>
        </w:rPr>
      </w:pPr>
      <w:r>
        <w:rPr>
          <w:rFonts w:hint="eastAsia" w:ascii="华文仿宋" w:hAnsi="华文仿宋" w:eastAsia="华文仿宋" w:cs="华文仿宋"/>
          <w:sz w:val="28"/>
          <w:szCs w:val="28"/>
          <w:lang w:val="en-US" w:eastAsia="zh-CN"/>
        </w:rPr>
        <w:t>本部OA本月主要以账号锁定重置密码问题；授权/协助修改：授权开权限/上传更新附件、修改片烟样品取样申请表、内部培训审批表、厂合同审查表、试制通知单、公司发文等；对厂费用报销单、支付申请书、支出报销单、借款单、职工教育经费报销单等增加特殊步骤；对合同流程、公司签报/发文、厂发文、标识制作需求表、资源采购结果确认表等流程退回及咨询类服务。</w:t>
      </w:r>
      <w:r>
        <w:rPr>
          <w:rFonts w:hint="eastAsia" w:ascii="华文仿宋" w:hAnsi="华文仿宋" w:eastAsia="华文仿宋" w:cs="华文仿宋"/>
          <w:color w:val="C00000"/>
          <w:sz w:val="28"/>
          <w:szCs w:val="28"/>
          <w:lang w:eastAsia="zh-CN"/>
        </w:rPr>
        <w:t>与往月申告内容无异。</w:t>
      </w:r>
    </w:p>
    <w:p>
      <w:pPr>
        <w:numPr>
          <w:ilvl w:val="0"/>
          <w:numId w:val="14"/>
        </w:numPr>
        <w:ind w:left="420" w:hanging="420" w:firstLineChars="0"/>
        <w:rPr>
          <w:rFonts w:hint="eastAsia" w:ascii="华文仿宋" w:hAnsi="华文仿宋" w:eastAsia="华文仿宋" w:cs="华文仿宋"/>
          <w:color w:val="C00000"/>
          <w:sz w:val="28"/>
          <w:szCs w:val="28"/>
        </w:rPr>
      </w:pPr>
      <w:r>
        <w:rPr>
          <w:rFonts w:hint="eastAsia" w:ascii="华文仿宋" w:hAnsi="华文仿宋" w:eastAsia="华文仿宋" w:cs="华文仿宋"/>
          <w:sz w:val="28"/>
          <w:szCs w:val="28"/>
          <w:lang w:eastAsia="zh-CN"/>
        </w:rPr>
        <w:t>广州厂的来电，软件方面：安装</w:t>
      </w:r>
      <w:r>
        <w:rPr>
          <w:rFonts w:hint="eastAsia" w:ascii="华文仿宋" w:hAnsi="华文仿宋" w:eastAsia="华文仿宋" w:cs="华文仿宋"/>
          <w:sz w:val="28"/>
          <w:szCs w:val="28"/>
          <w:lang w:val="en-US" w:eastAsia="zh-CN"/>
        </w:rPr>
        <w:t>WPS、协同，调试Word、Excel、CAD、WMS、flash组件、网络学院、设备管理系统、企业微信、电脑无法联网等调试；硬件服务方面：打印机复印机卡纸故障、显示器有色差、电脑调试连接打印机扫描仪；安装纸盘/打印机、投影/硬盘/鼠标失灵故障等；办公协同方面主要为基建设备维修工程（项目）申请表修改、厂合同审查表开权限授权修改、退回；转协同电话及协同咨询类等；一号工程方面以打码机台切换为行业调控打码端、配合车间核对打码量与入库量、配合测试打码系统、协助打印销售电子版准运证及咨询等相关事宜</w:t>
      </w:r>
      <w:r>
        <w:rPr>
          <w:rFonts w:hint="eastAsia" w:ascii="华文仿宋" w:hAnsi="华文仿宋" w:eastAsia="华文仿宋" w:cs="华文仿宋"/>
          <w:sz w:val="28"/>
          <w:szCs w:val="28"/>
          <w:lang w:eastAsia="zh-CN"/>
        </w:rPr>
        <w:t>。</w:t>
      </w:r>
      <w:r>
        <w:rPr>
          <w:rFonts w:hint="eastAsia" w:ascii="华文仿宋" w:hAnsi="华文仿宋" w:eastAsia="华文仿宋" w:cs="华文仿宋"/>
          <w:color w:val="C00000"/>
          <w:sz w:val="28"/>
          <w:szCs w:val="28"/>
          <w:lang w:eastAsia="zh-CN"/>
        </w:rPr>
        <w:t>与往月申告内容差异不大。</w:t>
      </w:r>
    </w:p>
    <w:p>
      <w:pPr>
        <w:numPr>
          <w:ilvl w:val="0"/>
          <w:numId w:val="14"/>
        </w:numPr>
        <w:ind w:left="420" w:hanging="420" w:firstLineChars="0"/>
        <w:rPr>
          <w:rFonts w:hint="eastAsia" w:ascii="华文仿宋" w:hAnsi="华文仿宋" w:eastAsia="华文仿宋" w:cs="华文仿宋"/>
          <w:color w:val="C00000"/>
          <w:sz w:val="28"/>
          <w:szCs w:val="28"/>
          <w:lang w:val="en-US" w:eastAsia="zh-CN"/>
        </w:rPr>
      </w:pPr>
      <w:r>
        <w:rPr>
          <w:rFonts w:hint="eastAsia" w:ascii="华文仿宋" w:hAnsi="华文仿宋" w:eastAsia="华文仿宋" w:cs="华文仿宋"/>
          <w:sz w:val="28"/>
          <w:szCs w:val="28"/>
          <w:lang w:val="en-US" w:eastAsia="zh-CN"/>
        </w:rPr>
        <w:t>本部综合项目管理平台的来电，主要对评审、采购文件、立项信息、单价、谈判时间、专家抽取修改、公文回收、删除作废的子项目、评审、附件更新上传等及咨询类问题。</w:t>
      </w:r>
      <w:r>
        <w:rPr>
          <w:rFonts w:hint="eastAsia" w:ascii="华文仿宋" w:hAnsi="华文仿宋" w:eastAsia="华文仿宋" w:cs="华文仿宋"/>
          <w:color w:val="C00000"/>
          <w:sz w:val="28"/>
          <w:szCs w:val="28"/>
          <w:lang w:val="en-US" w:eastAsia="zh-CN"/>
        </w:rPr>
        <w:t>与往月申告内容无异。</w:t>
      </w:r>
    </w:p>
    <w:p>
      <w:pPr>
        <w:numPr>
          <w:ilvl w:val="0"/>
          <w:numId w:val="15"/>
        </w:numPr>
        <w:ind w:firstLine="560" w:firstLineChars="200"/>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t>上述服务台来电</w:t>
      </w:r>
      <w:r>
        <w:rPr>
          <w:rFonts w:hint="eastAsia" w:ascii="华文仿宋" w:hAnsi="华文仿宋" w:eastAsia="华文仿宋" w:cs="华文仿宋"/>
          <w:sz w:val="28"/>
          <w:szCs w:val="28"/>
        </w:rPr>
        <w:t>由于单个问题咨询时间较长，通话其间会出现同一人多次重复拨打服务台的现象，这现象与排队未接电话的记录一致，建议增设服务台座席或提高回复用户的速度</w:t>
      </w:r>
      <w:r>
        <w:rPr>
          <w:rFonts w:hint="eastAsia" w:ascii="华文仿宋" w:hAnsi="华文仿宋" w:eastAsia="华文仿宋" w:cs="华文仿宋"/>
          <w:sz w:val="28"/>
          <w:szCs w:val="28"/>
          <w:lang w:eastAsia="zh-CN"/>
        </w:rPr>
        <w:t>。</w:t>
      </w:r>
    </w:p>
    <w:p>
      <w:pPr>
        <w:pStyle w:val="5"/>
        <w:spacing w:before="156" w:after="156"/>
        <w:outlineLvl w:val="1"/>
      </w:pPr>
      <w:bookmarkStart w:id="58" w:name="_Toc7840"/>
      <w:r>
        <w:rPr>
          <w:rFonts w:hint="eastAsia"/>
        </w:rPr>
        <w:t>服务台排队未接电话分析</w:t>
      </w:r>
      <w:bookmarkEnd w:id="58"/>
    </w:p>
    <w:p>
      <w:pPr>
        <w:ind w:firstLine="560"/>
        <w:rPr>
          <w:rFonts w:hint="eastAsia" w:ascii="华文仿宋" w:hAnsi="华文仿宋" w:eastAsia="华文仿宋" w:cs="华文仿宋"/>
          <w:sz w:val="28"/>
          <w:szCs w:val="28"/>
        </w:rPr>
      </w:pPr>
      <w:r>
        <w:rPr>
          <w:rFonts w:hint="eastAsia" w:ascii="华文仿宋" w:hAnsi="华文仿宋" w:eastAsia="华文仿宋" w:cs="华文仿宋"/>
          <w:sz w:val="28"/>
          <w:szCs w:val="28"/>
        </w:rPr>
        <w:t>本月排队未接电话共</w:t>
      </w:r>
      <w:r>
        <w:rPr>
          <w:rFonts w:hint="eastAsia" w:ascii="华文仿宋" w:hAnsi="华文仿宋" w:eastAsia="华文仿宋" w:cs="华文仿宋"/>
          <w:sz w:val="28"/>
          <w:szCs w:val="28"/>
          <w:lang w:val="en-US" w:eastAsia="zh-CN"/>
        </w:rPr>
        <w:t>243</w:t>
      </w:r>
      <w:r>
        <w:rPr>
          <w:rFonts w:hint="eastAsia" w:ascii="华文仿宋" w:hAnsi="华文仿宋" w:eastAsia="华文仿宋" w:cs="华文仿宋"/>
          <w:sz w:val="28"/>
          <w:szCs w:val="28"/>
        </w:rPr>
        <w:t>个（应答总数</w:t>
      </w:r>
      <w:r>
        <w:rPr>
          <w:rFonts w:hint="eastAsia" w:ascii="华文仿宋" w:hAnsi="华文仿宋" w:eastAsia="华文仿宋" w:cs="华文仿宋"/>
          <w:sz w:val="28"/>
          <w:szCs w:val="28"/>
          <w:lang w:val="en-US" w:eastAsia="zh-CN"/>
        </w:rPr>
        <w:t>2360</w:t>
      </w:r>
      <w:r>
        <w:rPr>
          <w:rFonts w:hint="eastAsia" w:ascii="华文仿宋" w:hAnsi="华文仿宋" w:eastAsia="华文仿宋" w:cs="华文仿宋"/>
          <w:sz w:val="28"/>
          <w:szCs w:val="28"/>
        </w:rPr>
        <w:t>个），约为应答总数</w:t>
      </w:r>
      <w:r>
        <w:rPr>
          <w:rFonts w:hint="eastAsia" w:ascii="华文仿宋" w:hAnsi="华文仿宋" w:eastAsia="华文仿宋" w:cs="华文仿宋"/>
          <w:sz w:val="28"/>
          <w:szCs w:val="28"/>
          <w:lang w:val="en-US" w:eastAsia="zh-CN"/>
        </w:rPr>
        <w:t>10.29</w:t>
      </w:r>
      <w:r>
        <w:rPr>
          <w:rFonts w:hint="eastAsia" w:ascii="华文仿宋" w:hAnsi="华文仿宋" w:eastAsia="华文仿宋" w:cs="华文仿宋"/>
          <w:sz w:val="28"/>
          <w:szCs w:val="28"/>
        </w:rPr>
        <w:t>%，对比上月的</w:t>
      </w:r>
      <w:r>
        <w:rPr>
          <w:rFonts w:hint="eastAsia" w:ascii="华文仿宋" w:hAnsi="华文仿宋" w:eastAsia="华文仿宋" w:cs="华文仿宋"/>
          <w:sz w:val="28"/>
          <w:szCs w:val="28"/>
          <w:lang w:val="en-US" w:eastAsia="zh-CN"/>
        </w:rPr>
        <w:t>11</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eastAsia="zh-CN"/>
        </w:rPr>
        <w:t>差异不大</w:t>
      </w:r>
      <w:r>
        <w:rPr>
          <w:rFonts w:hint="eastAsia" w:ascii="华文仿宋" w:hAnsi="华文仿宋" w:eastAsia="华文仿宋" w:cs="华文仿宋"/>
          <w:sz w:val="28"/>
          <w:szCs w:val="28"/>
        </w:rPr>
        <w:t>。较多的业务的分别为：</w:t>
      </w:r>
    </w:p>
    <w:p>
      <w:pPr>
        <w:pStyle w:val="66"/>
        <w:numPr>
          <w:ilvl w:val="0"/>
          <w:numId w:val="16"/>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rPr>
        <w:t>本部OA本月排队未接电话数量有</w:t>
      </w:r>
      <w:r>
        <w:rPr>
          <w:rFonts w:hint="eastAsia" w:ascii="华文仿宋" w:hAnsi="华文仿宋" w:eastAsia="华文仿宋" w:cs="华文仿宋"/>
          <w:sz w:val="28"/>
          <w:szCs w:val="28"/>
          <w:lang w:val="en-US" w:eastAsia="zh-CN"/>
        </w:rPr>
        <w:t>164</w:t>
      </w:r>
      <w:r>
        <w:rPr>
          <w:rFonts w:hint="eastAsia" w:ascii="华文仿宋" w:hAnsi="华文仿宋" w:eastAsia="华文仿宋" w:cs="华文仿宋"/>
          <w:sz w:val="28"/>
          <w:szCs w:val="28"/>
        </w:rPr>
        <w:t>个</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若剔除因用户首次拨打未能接通而连续多次拨打产生的重复记录外，实际的未接电话为</w:t>
      </w:r>
      <w:r>
        <w:rPr>
          <w:rFonts w:hint="eastAsia" w:ascii="华文仿宋" w:hAnsi="华文仿宋" w:eastAsia="华文仿宋" w:cs="华文仿宋"/>
          <w:sz w:val="28"/>
          <w:szCs w:val="28"/>
          <w:lang w:val="en-US" w:eastAsia="zh-CN"/>
        </w:rPr>
        <w:t>107个</w:t>
      </w:r>
      <w:r>
        <w:rPr>
          <w:rFonts w:hint="eastAsia" w:ascii="华文仿宋" w:hAnsi="华文仿宋" w:eastAsia="华文仿宋" w:cs="华文仿宋"/>
          <w:sz w:val="28"/>
          <w:szCs w:val="28"/>
        </w:rPr>
        <w:t>。</w:t>
      </w:r>
      <w:r>
        <w:rPr>
          <w:rFonts w:hint="eastAsia" w:ascii="华文仿宋" w:hAnsi="华文仿宋" w:eastAsia="华文仿宋" w:cs="华文仿宋"/>
          <w:color w:val="984807" w:themeColor="accent6" w:themeShade="80"/>
          <w:sz w:val="28"/>
          <w:szCs w:val="28"/>
          <w:lang w:eastAsia="zh-CN"/>
        </w:rPr>
        <w:t>排队实际未接电话量与上月（</w:t>
      </w:r>
      <w:r>
        <w:rPr>
          <w:rFonts w:hint="eastAsia" w:ascii="华文仿宋" w:hAnsi="华文仿宋" w:eastAsia="华文仿宋" w:cs="华文仿宋"/>
          <w:color w:val="984807" w:themeColor="accent6" w:themeShade="80"/>
          <w:sz w:val="28"/>
          <w:szCs w:val="28"/>
          <w:lang w:val="en-US" w:eastAsia="zh-CN"/>
        </w:rPr>
        <w:t>79个</w:t>
      </w:r>
      <w:r>
        <w:rPr>
          <w:rFonts w:hint="eastAsia" w:ascii="华文仿宋" w:hAnsi="华文仿宋" w:eastAsia="华文仿宋" w:cs="华文仿宋"/>
          <w:color w:val="984807" w:themeColor="accent6" w:themeShade="80"/>
          <w:sz w:val="28"/>
          <w:szCs w:val="28"/>
          <w:lang w:eastAsia="zh-CN"/>
        </w:rPr>
        <w:t>）有所增加。</w:t>
      </w:r>
    </w:p>
    <w:p>
      <w:pPr>
        <w:pStyle w:val="66"/>
        <w:numPr>
          <w:ilvl w:val="0"/>
          <w:numId w:val="16"/>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本部桌面</w:t>
      </w:r>
      <w:r>
        <w:rPr>
          <w:rFonts w:hint="eastAsia" w:ascii="华文仿宋" w:hAnsi="华文仿宋" w:eastAsia="华文仿宋" w:cs="华文仿宋"/>
          <w:sz w:val="28"/>
          <w:szCs w:val="28"/>
        </w:rPr>
        <w:t>本月排队未接电话数量有</w:t>
      </w:r>
      <w:r>
        <w:rPr>
          <w:rFonts w:hint="eastAsia" w:ascii="华文仿宋" w:hAnsi="华文仿宋" w:eastAsia="华文仿宋" w:cs="华文仿宋"/>
          <w:sz w:val="28"/>
          <w:szCs w:val="28"/>
          <w:lang w:val="en-US" w:eastAsia="zh-CN"/>
        </w:rPr>
        <w:t>32</w:t>
      </w:r>
      <w:r>
        <w:rPr>
          <w:rFonts w:hint="eastAsia" w:ascii="华文仿宋" w:hAnsi="华文仿宋" w:eastAsia="华文仿宋" w:cs="华文仿宋"/>
          <w:sz w:val="28"/>
          <w:szCs w:val="28"/>
        </w:rPr>
        <w:t>个。若剔除因用户首次拨打未能接通而连续多次拨打产生的重复记录外，实际的未接电话为</w:t>
      </w:r>
      <w:r>
        <w:rPr>
          <w:rFonts w:hint="eastAsia" w:ascii="华文仿宋" w:hAnsi="华文仿宋" w:eastAsia="华文仿宋" w:cs="华文仿宋"/>
          <w:sz w:val="28"/>
          <w:szCs w:val="28"/>
          <w:lang w:val="en-US" w:eastAsia="zh-CN"/>
        </w:rPr>
        <w:t>16</w:t>
      </w:r>
      <w:r>
        <w:rPr>
          <w:rFonts w:hint="eastAsia" w:ascii="华文仿宋" w:hAnsi="华文仿宋" w:eastAsia="华文仿宋" w:cs="华文仿宋"/>
          <w:sz w:val="28"/>
          <w:szCs w:val="28"/>
        </w:rPr>
        <w:t>个</w:t>
      </w:r>
      <w:r>
        <w:rPr>
          <w:rFonts w:hint="eastAsia" w:ascii="华文仿宋" w:hAnsi="华文仿宋" w:eastAsia="华文仿宋" w:cs="华文仿宋"/>
          <w:sz w:val="28"/>
          <w:szCs w:val="28"/>
          <w:lang w:eastAsia="zh-CN"/>
        </w:rPr>
        <w:t>。</w:t>
      </w:r>
      <w:r>
        <w:rPr>
          <w:rFonts w:hint="eastAsia" w:ascii="华文仿宋" w:hAnsi="华文仿宋" w:eastAsia="华文仿宋" w:cs="华文仿宋"/>
          <w:color w:val="984807" w:themeColor="accent6" w:themeShade="80"/>
          <w:sz w:val="28"/>
          <w:szCs w:val="28"/>
          <w:lang w:eastAsia="zh-CN"/>
        </w:rPr>
        <w:t>排队实际未接电话量与上月（</w:t>
      </w:r>
      <w:r>
        <w:rPr>
          <w:rFonts w:hint="eastAsia" w:ascii="华文仿宋" w:hAnsi="华文仿宋" w:eastAsia="华文仿宋" w:cs="华文仿宋"/>
          <w:color w:val="984807" w:themeColor="accent6" w:themeShade="80"/>
          <w:sz w:val="28"/>
          <w:szCs w:val="28"/>
          <w:lang w:val="en-US" w:eastAsia="zh-CN"/>
        </w:rPr>
        <w:t>16个</w:t>
      </w:r>
      <w:r>
        <w:rPr>
          <w:rFonts w:hint="eastAsia" w:ascii="华文仿宋" w:hAnsi="华文仿宋" w:eastAsia="华文仿宋" w:cs="华文仿宋"/>
          <w:color w:val="984807" w:themeColor="accent6" w:themeShade="80"/>
          <w:sz w:val="28"/>
          <w:szCs w:val="28"/>
          <w:lang w:eastAsia="zh-CN"/>
        </w:rPr>
        <w:t>）无异。</w:t>
      </w:r>
    </w:p>
    <w:p>
      <w:pPr>
        <w:pStyle w:val="66"/>
        <w:numPr>
          <w:ilvl w:val="0"/>
          <w:numId w:val="16"/>
        </w:numPr>
        <w:ind w:firstLineChars="0"/>
        <w:rPr>
          <w:rFonts w:hint="eastAsia" w:ascii="华文仿宋" w:hAnsi="华文仿宋" w:eastAsia="华文仿宋" w:cs="华文仿宋"/>
          <w:sz w:val="28"/>
          <w:szCs w:val="28"/>
        </w:rPr>
      </w:pPr>
      <w:r>
        <w:rPr>
          <w:rFonts w:hint="eastAsia" w:ascii="华文仿宋" w:hAnsi="华文仿宋" w:eastAsia="华文仿宋" w:cs="华文仿宋"/>
          <w:sz w:val="28"/>
          <w:szCs w:val="28"/>
          <w:lang w:eastAsia="zh-CN"/>
        </w:rPr>
        <w:t>本部综合项目管理平台本月</w:t>
      </w:r>
      <w:r>
        <w:rPr>
          <w:rFonts w:hint="eastAsia" w:ascii="华文仿宋" w:hAnsi="华文仿宋" w:eastAsia="华文仿宋" w:cs="华文仿宋"/>
          <w:sz w:val="28"/>
          <w:szCs w:val="28"/>
        </w:rPr>
        <w:t>排队未接电话数量有</w:t>
      </w:r>
      <w:r>
        <w:rPr>
          <w:rFonts w:hint="eastAsia" w:ascii="华文仿宋" w:hAnsi="华文仿宋" w:eastAsia="华文仿宋" w:cs="华文仿宋"/>
          <w:sz w:val="28"/>
          <w:szCs w:val="28"/>
          <w:lang w:val="en-US" w:eastAsia="zh-CN"/>
        </w:rPr>
        <w:t>23</w:t>
      </w:r>
      <w:r>
        <w:rPr>
          <w:rFonts w:hint="eastAsia" w:ascii="华文仿宋" w:hAnsi="华文仿宋" w:eastAsia="华文仿宋" w:cs="华文仿宋"/>
          <w:sz w:val="28"/>
          <w:szCs w:val="28"/>
        </w:rPr>
        <w:t>个。若剔除因用户首次拨打未能接通而连续多次拨打产生的重复记录外，实际的未接电话为</w:t>
      </w:r>
      <w:r>
        <w:rPr>
          <w:rFonts w:hint="eastAsia" w:ascii="华文仿宋" w:hAnsi="华文仿宋" w:eastAsia="华文仿宋" w:cs="华文仿宋"/>
          <w:sz w:val="28"/>
          <w:szCs w:val="28"/>
          <w:lang w:val="en-US" w:eastAsia="zh-CN"/>
        </w:rPr>
        <w:t>17</w:t>
      </w:r>
      <w:r>
        <w:rPr>
          <w:rFonts w:hint="eastAsia" w:ascii="华文仿宋" w:hAnsi="华文仿宋" w:eastAsia="华文仿宋" w:cs="华文仿宋"/>
          <w:sz w:val="28"/>
          <w:szCs w:val="28"/>
        </w:rPr>
        <w:t>个。</w:t>
      </w:r>
      <w:r>
        <w:rPr>
          <w:rFonts w:hint="eastAsia" w:ascii="华文仿宋" w:hAnsi="华文仿宋" w:eastAsia="华文仿宋" w:cs="华文仿宋"/>
          <w:color w:val="984807" w:themeColor="accent6" w:themeShade="80"/>
          <w:sz w:val="28"/>
          <w:szCs w:val="28"/>
          <w:lang w:eastAsia="zh-CN"/>
        </w:rPr>
        <w:t>排队实际未接电话量与上月（</w:t>
      </w:r>
      <w:r>
        <w:rPr>
          <w:rFonts w:hint="eastAsia" w:ascii="华文仿宋" w:hAnsi="华文仿宋" w:eastAsia="华文仿宋" w:cs="华文仿宋"/>
          <w:color w:val="984807" w:themeColor="accent6" w:themeShade="80"/>
          <w:sz w:val="28"/>
          <w:szCs w:val="28"/>
          <w:lang w:val="en-US" w:eastAsia="zh-CN"/>
        </w:rPr>
        <w:t>12个</w:t>
      </w:r>
      <w:r>
        <w:rPr>
          <w:rFonts w:hint="eastAsia" w:ascii="华文仿宋" w:hAnsi="华文仿宋" w:eastAsia="华文仿宋" w:cs="华文仿宋"/>
          <w:color w:val="984807" w:themeColor="accent6" w:themeShade="80"/>
          <w:sz w:val="28"/>
          <w:szCs w:val="28"/>
          <w:lang w:eastAsia="zh-CN"/>
        </w:rPr>
        <w:t>）有所增加。</w:t>
      </w:r>
    </w:p>
    <w:p>
      <w:pPr>
        <w:pStyle w:val="66"/>
        <w:numPr>
          <w:ilvl w:val="-1"/>
          <w:numId w:val="0"/>
        </w:numPr>
        <w:ind w:left="0" w:leftChars="0" w:firstLine="560" w:firstLineChars="200"/>
        <w:rPr>
          <w:rFonts w:hint="eastAsia" w:ascii="华文仿宋" w:hAnsi="华文仿宋" w:eastAsia="华文仿宋" w:cs="华文仿宋"/>
          <w:color w:val="984807" w:themeColor="accent6" w:themeShade="80"/>
          <w:sz w:val="28"/>
          <w:szCs w:val="28"/>
          <w:lang w:eastAsia="zh-CN"/>
        </w:rPr>
      </w:pPr>
      <w:r>
        <w:rPr>
          <w:rFonts w:hint="eastAsia" w:ascii="华文仿宋" w:hAnsi="华文仿宋" w:eastAsia="华文仿宋" w:cs="华文仿宋"/>
          <w:color w:val="984807" w:themeColor="accent6" w:themeShade="80"/>
          <w:sz w:val="28"/>
          <w:szCs w:val="28"/>
          <w:lang w:eastAsia="zh-CN"/>
        </w:rPr>
        <w:t>总体来说，本月共（</w:t>
      </w:r>
      <w:r>
        <w:rPr>
          <w:rFonts w:hint="eastAsia" w:ascii="华文仿宋" w:hAnsi="华文仿宋" w:eastAsia="华文仿宋" w:cs="华文仿宋"/>
          <w:color w:val="984807" w:themeColor="accent6" w:themeShade="80"/>
          <w:sz w:val="28"/>
          <w:szCs w:val="28"/>
          <w:lang w:val="en-US" w:eastAsia="zh-CN"/>
        </w:rPr>
        <w:t>243个</w:t>
      </w:r>
      <w:r>
        <w:rPr>
          <w:rFonts w:hint="eastAsia" w:ascii="华文仿宋" w:hAnsi="华文仿宋" w:eastAsia="华文仿宋" w:cs="华文仿宋"/>
          <w:color w:val="984807" w:themeColor="accent6" w:themeShade="80"/>
          <w:sz w:val="28"/>
          <w:szCs w:val="28"/>
          <w:lang w:eastAsia="zh-CN"/>
        </w:rPr>
        <w:t>）总排队未接电话量与上月总</w:t>
      </w:r>
      <w:r>
        <w:rPr>
          <w:rFonts w:hint="eastAsia" w:ascii="华文仿宋" w:hAnsi="华文仿宋" w:eastAsia="华文仿宋" w:cs="华文仿宋"/>
          <w:color w:val="984807" w:themeColor="accent6" w:themeShade="80"/>
          <w:sz w:val="28"/>
          <w:szCs w:val="28"/>
          <w:lang w:val="en-US" w:eastAsia="zh-CN"/>
        </w:rPr>
        <w:t>211个未接电话量</w:t>
      </w:r>
      <w:r>
        <w:rPr>
          <w:rFonts w:hint="eastAsia" w:ascii="华文仿宋" w:hAnsi="华文仿宋" w:eastAsia="华文仿宋" w:cs="华文仿宋"/>
          <w:color w:val="984807" w:themeColor="accent6" w:themeShade="80"/>
          <w:sz w:val="28"/>
          <w:szCs w:val="28"/>
          <w:lang w:eastAsia="zh-CN"/>
        </w:rPr>
        <w:t>相比有所提高，与往月相比总排队未接电话量趋于正常范围内。</w:t>
      </w:r>
    </w:p>
    <w:p>
      <w:pPr>
        <w:pStyle w:val="4"/>
        <w:numPr>
          <w:ilvl w:val="0"/>
          <w:numId w:val="17"/>
        </w:numPr>
        <w:ind w:left="567" w:leftChars="0" w:hanging="420" w:firstLineChars="0"/>
        <w:outlineLvl w:val="0"/>
        <w:rPr>
          <w:rFonts w:hint="default" w:ascii="Arial" w:hAnsi="Arial" w:eastAsia="宋体" w:cs="Times New Roman"/>
          <w:color w:val="984807" w:themeColor="accent6" w:themeShade="80"/>
          <w:sz w:val="32"/>
          <w:szCs w:val="44"/>
          <w:lang w:val="en-US" w:eastAsia="zh-CN"/>
        </w:rPr>
      </w:pPr>
      <w:bookmarkStart w:id="59" w:name="_Toc27129"/>
      <w:r>
        <w:rPr>
          <w:rFonts w:hint="default" w:ascii="Arial" w:hAnsi="Arial" w:eastAsia="宋体"/>
          <w:sz w:val="32"/>
          <w:szCs w:val="44"/>
        </w:rPr>
        <w:t>分析</w:t>
      </w:r>
      <w:r>
        <w:rPr>
          <w:rFonts w:hint="eastAsia" w:eastAsia="宋体"/>
          <w:sz w:val="32"/>
          <w:szCs w:val="44"/>
          <w:lang w:eastAsia="zh-CN"/>
        </w:rPr>
        <w:t>总结</w:t>
      </w:r>
      <w:bookmarkEnd w:id="59"/>
    </w:p>
    <w:p>
      <w:pPr>
        <w:pStyle w:val="66"/>
        <w:numPr>
          <w:ilvl w:val="0"/>
          <w:numId w:val="18"/>
        </w:numPr>
        <w:ind w:left="420" w:leftChars="0" w:hanging="420" w:firstLineChars="0"/>
        <w:rPr>
          <w:rFonts w:hint="eastAsia" w:ascii="宋体" w:hAnsi="宋体"/>
          <w:color w:val="auto"/>
          <w:sz w:val="28"/>
          <w:szCs w:val="28"/>
          <w:lang w:val="en-US" w:eastAsia="zh-CN"/>
        </w:rPr>
      </w:pPr>
      <w:r>
        <w:rPr>
          <w:rFonts w:hint="eastAsia" w:ascii="宋体" w:hAnsi="宋体"/>
          <w:color w:val="auto"/>
          <w:sz w:val="28"/>
          <w:szCs w:val="28"/>
          <w:lang w:val="en-US" w:eastAsia="zh-CN"/>
        </w:rPr>
        <w:t>2023年9月工单量与来电率与往月相比差异不大。通过服务台来电建立工单占比最高，仍有11.57%未通过规范渠道建立工单，建议规范各员工建单流程，总体事件工单内容分布与往月相比差异不大。</w:t>
      </w:r>
    </w:p>
    <w:p>
      <w:pPr>
        <w:pStyle w:val="66"/>
        <w:numPr>
          <w:ilvl w:val="0"/>
          <w:numId w:val="18"/>
        </w:numPr>
        <w:ind w:left="420" w:leftChars="0" w:hanging="420" w:firstLineChars="0"/>
        <w:rPr>
          <w:rFonts w:hint="eastAsia" w:ascii="宋体" w:hAnsi="宋体"/>
          <w:color w:val="auto"/>
          <w:sz w:val="28"/>
          <w:szCs w:val="28"/>
          <w:lang w:eastAsia="zh-CN"/>
        </w:rPr>
      </w:pPr>
      <w:r>
        <w:rPr>
          <w:rFonts w:hint="eastAsia" w:ascii="宋体" w:hAnsi="宋体"/>
          <w:color w:val="auto"/>
          <w:sz w:val="28"/>
          <w:szCs w:val="28"/>
          <w:lang w:val="en-US" w:eastAsia="zh-CN"/>
        </w:rPr>
        <w:t>事件工单主要分布在末端服务和技术服务类及其待处理工单皆最多，末端&amp;技术服务待处理事件主要分布在公司本部（15条）、广州厂（52条）及湛江厂（50条）；本月待处理工单为广州厂剩余（69条）、湛江厂（50条）及公司本部（ 43条）。本月待处理事件工单较多，建议尽快处理相关待处理工单。</w:t>
      </w:r>
    </w:p>
    <w:p>
      <w:pPr>
        <w:pStyle w:val="66"/>
        <w:numPr>
          <w:ilvl w:val="0"/>
          <w:numId w:val="18"/>
        </w:numPr>
        <w:ind w:left="420" w:leftChars="0" w:hanging="420" w:firstLineChars="0"/>
        <w:rPr>
          <w:rFonts w:hint="eastAsia" w:ascii="宋体" w:hAnsi="宋体"/>
          <w:color w:val="auto"/>
          <w:sz w:val="28"/>
          <w:szCs w:val="28"/>
          <w:lang w:eastAsia="zh-CN"/>
        </w:rPr>
      </w:pPr>
      <w:r>
        <w:rPr>
          <w:rFonts w:hint="eastAsia" w:ascii="宋体" w:hAnsi="宋体"/>
          <w:color w:val="auto"/>
          <w:sz w:val="28"/>
          <w:szCs w:val="28"/>
          <w:lang w:eastAsia="zh-CN"/>
        </w:rPr>
        <w:t>本月文档新增共计</w:t>
      </w:r>
      <w:r>
        <w:rPr>
          <w:rFonts w:hint="eastAsia" w:ascii="宋体" w:hAnsi="宋体"/>
          <w:color w:val="auto"/>
          <w:sz w:val="28"/>
          <w:szCs w:val="28"/>
          <w:lang w:val="en-US" w:eastAsia="zh-CN"/>
        </w:rPr>
        <w:t>11</w:t>
      </w:r>
      <w:r>
        <w:rPr>
          <w:rFonts w:hint="eastAsia" w:ascii="宋体" w:hAnsi="宋体"/>
          <w:color w:val="auto"/>
          <w:sz w:val="28"/>
          <w:szCs w:val="28"/>
          <w:lang w:eastAsia="zh-CN"/>
        </w:rPr>
        <w:t>宗，暂无文档版本更新，与上月文档新增（</w:t>
      </w:r>
      <w:r>
        <w:rPr>
          <w:rFonts w:hint="eastAsia" w:ascii="宋体" w:hAnsi="宋体"/>
          <w:color w:val="auto"/>
          <w:sz w:val="28"/>
          <w:szCs w:val="28"/>
          <w:lang w:val="en-US" w:eastAsia="zh-CN"/>
        </w:rPr>
        <w:t>38宗</w:t>
      </w:r>
      <w:r>
        <w:rPr>
          <w:rFonts w:hint="eastAsia" w:ascii="宋体" w:hAnsi="宋体"/>
          <w:color w:val="auto"/>
          <w:sz w:val="28"/>
          <w:szCs w:val="28"/>
          <w:lang w:eastAsia="zh-CN"/>
        </w:rPr>
        <w:t>）数量相比</w:t>
      </w:r>
      <w:r>
        <w:rPr>
          <w:rFonts w:hint="eastAsia" w:ascii="宋体" w:hAnsi="宋体"/>
          <w:color w:val="auto"/>
          <w:sz w:val="28"/>
          <w:szCs w:val="28"/>
          <w:lang w:val="en-US" w:eastAsia="zh-CN"/>
        </w:rPr>
        <w:t>新增数量较少</w:t>
      </w:r>
      <w:r>
        <w:rPr>
          <w:rFonts w:hint="eastAsia" w:ascii="宋体" w:hAnsi="宋体"/>
          <w:color w:val="auto"/>
          <w:sz w:val="28"/>
          <w:szCs w:val="28"/>
          <w:lang w:eastAsia="zh-CN"/>
        </w:rPr>
        <w:t>，主要集中在</w:t>
      </w:r>
      <w:r>
        <w:rPr>
          <w:rFonts w:hint="eastAsia" w:ascii="宋体" w:hAnsi="宋体"/>
          <w:color w:val="auto"/>
          <w:sz w:val="28"/>
          <w:szCs w:val="28"/>
          <w:lang w:val="en-US" w:eastAsia="zh-CN"/>
        </w:rPr>
        <w:t>ERP平台及末端人员上传文档</w:t>
      </w:r>
      <w:r>
        <w:rPr>
          <w:rFonts w:hint="eastAsia" w:ascii="宋体" w:hAnsi="宋体"/>
          <w:color w:val="auto"/>
          <w:sz w:val="28"/>
          <w:szCs w:val="28"/>
          <w:lang w:eastAsia="zh-CN"/>
        </w:rPr>
        <w:t>。</w:t>
      </w:r>
    </w:p>
    <w:p>
      <w:pPr>
        <w:pStyle w:val="66"/>
        <w:numPr>
          <w:ilvl w:val="0"/>
          <w:numId w:val="18"/>
        </w:numPr>
        <w:ind w:left="420" w:leftChars="0" w:hanging="420" w:firstLineChars="0"/>
        <w:rPr>
          <w:rFonts w:hint="eastAsia" w:ascii="宋体" w:hAnsi="宋体" w:eastAsiaTheme="minorEastAsia"/>
          <w:color w:val="auto"/>
          <w:sz w:val="28"/>
          <w:szCs w:val="28"/>
          <w:lang w:val="en-US" w:eastAsia="zh-CN"/>
        </w:rPr>
      </w:pPr>
      <w:r>
        <w:rPr>
          <w:rFonts w:hint="eastAsia" w:ascii="宋体" w:hAnsi="宋体"/>
          <w:color w:val="auto"/>
          <w:sz w:val="28"/>
          <w:szCs w:val="28"/>
          <w:lang w:eastAsia="zh-CN"/>
        </w:rPr>
        <w:t>截止</w:t>
      </w:r>
      <w:r>
        <w:rPr>
          <w:rFonts w:hint="eastAsia" w:ascii="宋体" w:hAnsi="宋体"/>
          <w:color w:val="auto"/>
          <w:sz w:val="28"/>
          <w:szCs w:val="28"/>
          <w:lang w:val="en-US" w:eastAsia="zh-CN"/>
        </w:rPr>
        <w:t>2023年9月止，</w:t>
      </w:r>
      <w:r>
        <w:rPr>
          <w:rFonts w:hint="eastAsia" w:ascii="宋体" w:hAnsi="宋体"/>
          <w:color w:val="auto"/>
          <w:sz w:val="28"/>
          <w:szCs w:val="28"/>
          <w:lang w:eastAsia="zh-CN"/>
        </w:rPr>
        <w:t>系统总变更工单待处理共</w:t>
      </w:r>
      <w:r>
        <w:rPr>
          <w:rFonts w:hint="eastAsia" w:ascii="宋体" w:hAnsi="宋体"/>
          <w:color w:val="auto"/>
          <w:sz w:val="28"/>
          <w:szCs w:val="28"/>
          <w:lang w:val="en-US" w:eastAsia="zh-CN"/>
        </w:rPr>
        <w:t>204宗，其中本月（待处理共33条，其中办公协同占23条），2023年6月到2023年9月皆有待处理变更工单（2023年6月占8条，7月占15条，8月占10条,9月占33条），建议尽快处理关闭变更工单保障各业务正常运行。</w:t>
      </w:r>
    </w:p>
    <w:p>
      <w:pPr>
        <w:pStyle w:val="66"/>
        <w:numPr>
          <w:ilvl w:val="0"/>
          <w:numId w:val="18"/>
        </w:numPr>
        <w:ind w:left="420" w:leftChars="0" w:hanging="420" w:firstLineChars="0"/>
        <w:rPr>
          <w:rFonts w:hint="eastAsia" w:ascii="宋体" w:hAnsi="宋体" w:eastAsiaTheme="minorEastAsia"/>
          <w:color w:val="auto"/>
          <w:sz w:val="28"/>
          <w:szCs w:val="28"/>
          <w:lang w:val="en-US" w:eastAsia="zh-CN"/>
        </w:rPr>
      </w:pPr>
      <w:r>
        <w:rPr>
          <w:rFonts w:hint="eastAsia" w:ascii="宋体" w:hAnsi="宋体"/>
          <w:color w:val="auto"/>
          <w:sz w:val="28"/>
          <w:szCs w:val="28"/>
          <w:lang w:val="en-US" w:eastAsia="zh-CN"/>
        </w:rPr>
        <w:t>9月任务工单相比往月相比差异不大，任务工单关闭率80.54%，任务工单待处理2023年7月剩余42条，8月剩余71条，9月剩余80条。2023年9月已完结，任务工单处理人需尽快处理关闭任务工单保障各业务正常运行。</w:t>
      </w:r>
    </w:p>
    <w:p>
      <w:pPr>
        <w:widowControl/>
        <w:numPr>
          <w:ilvl w:val="255"/>
          <w:numId w:val="0"/>
        </w:numPr>
        <w:tabs>
          <w:tab w:val="left" w:pos="-120"/>
          <w:tab w:val="left" w:pos="5640"/>
        </w:tabs>
        <w:spacing w:line="360" w:lineRule="auto"/>
        <w:ind w:firstLine="560" w:firstLineChars="200"/>
        <w:jc w:val="left"/>
        <w:rPr>
          <w:rFonts w:hint="eastAsia" w:ascii="宋体" w:hAnsi="宋体" w:eastAsia="宋体" w:cs="Times New Roman"/>
          <w:color w:val="auto"/>
          <w:kern w:val="0"/>
          <w:sz w:val="28"/>
          <w:szCs w:val="28"/>
          <w:lang w:val="en-US" w:eastAsia="zh-CN" w:bidi="ar-SA"/>
        </w:rPr>
      </w:pPr>
      <w:r>
        <w:rPr>
          <w:rFonts w:hint="eastAsia" w:ascii="宋体" w:hAnsi="宋体" w:eastAsia="宋体" w:cs="Times New Roman"/>
          <w:color w:val="auto"/>
          <w:kern w:val="0"/>
          <w:sz w:val="28"/>
          <w:szCs w:val="28"/>
          <w:lang w:val="en-US" w:eastAsia="zh-CN" w:bidi="ar-SA"/>
        </w:rPr>
        <w:t>综上运维总结内容，</w:t>
      </w:r>
      <w:r>
        <w:rPr>
          <w:rFonts w:hint="eastAsia" w:ascii="宋体" w:hAnsi="宋体" w:cs="Times New Roman"/>
          <w:color w:val="auto"/>
          <w:kern w:val="0"/>
          <w:sz w:val="28"/>
          <w:szCs w:val="28"/>
          <w:lang w:val="en-US" w:eastAsia="zh-CN" w:bidi="ar-SA"/>
        </w:rPr>
        <w:t>ITIL平台还有小部分未经过标准化流程建单，事件、变更及任务工单还有未能及时处理关闭工单，建议增派人员处理工单避免时长太久造成用户业务不便，本月未出现系统上的技术故障。</w:t>
      </w:r>
    </w:p>
    <w:p>
      <w:pPr>
        <w:widowControl/>
        <w:numPr>
          <w:ilvl w:val="255"/>
          <w:numId w:val="0"/>
        </w:numPr>
        <w:tabs>
          <w:tab w:val="left" w:pos="-120"/>
          <w:tab w:val="left" w:pos="5640"/>
        </w:tabs>
        <w:spacing w:line="360" w:lineRule="auto"/>
        <w:jc w:val="left"/>
        <w:rPr>
          <w:rFonts w:hint="eastAsia" w:ascii="仿宋_GB2312" w:hAnsi="仿宋" w:eastAsia="仿宋_GB2312"/>
          <w:color w:val="C00000"/>
          <w:sz w:val="28"/>
          <w:szCs w:val="28"/>
          <w:lang w:eastAsia="zh-CN"/>
        </w:rPr>
      </w:pPr>
    </w:p>
    <w:p>
      <w:pPr>
        <w:pStyle w:val="3"/>
        <w:spacing w:after="468"/>
      </w:pPr>
      <w:bookmarkStart w:id="60" w:name="_Toc21780"/>
      <w:r>
        <w:rPr>
          <w:rFonts w:hint="eastAsia"/>
        </w:rPr>
        <w:t>小结和建议</w:t>
      </w:r>
      <w:bookmarkEnd w:id="60"/>
    </w:p>
    <w:p>
      <w:pPr>
        <w:ind w:firstLine="480"/>
        <w:rPr>
          <w:rFonts w:hint="eastAsia" w:ascii="宋体" w:hAnsi="宋体" w:cs="宋体"/>
          <w:sz w:val="28"/>
          <w:szCs w:val="28"/>
          <w:lang w:val="en-US" w:eastAsia="zh-CN"/>
        </w:rPr>
      </w:pPr>
      <w:r>
        <w:rPr>
          <w:rFonts w:hint="eastAsia" w:ascii="宋体" w:hAnsi="宋体" w:eastAsia="宋体" w:cs="宋体"/>
          <w:sz w:val="28"/>
          <w:szCs w:val="28"/>
          <w:lang w:val="en-US" w:eastAsia="zh-CN"/>
        </w:rPr>
        <w:t>ITIL</w:t>
      </w:r>
      <w:r>
        <w:rPr>
          <w:rFonts w:hint="eastAsia" w:ascii="宋体" w:hAnsi="宋体" w:eastAsia="宋体" w:cs="宋体"/>
          <w:sz w:val="28"/>
          <w:szCs w:val="28"/>
        </w:rPr>
        <w:t>运维人员为确保综合运维管理平台系统正常运行，定期的对相关服务器进行巡检，确保服务器的进程及服务器空间使用情况正常</w:t>
      </w:r>
      <w:r>
        <w:rPr>
          <w:rFonts w:hint="eastAsia" w:ascii="宋体" w:hAnsi="宋体" w:eastAsia="宋体" w:cs="宋体"/>
          <w:sz w:val="28"/>
          <w:szCs w:val="28"/>
          <w:lang w:eastAsia="zh-CN"/>
        </w:rPr>
        <w:t>，</w:t>
      </w:r>
      <w:r>
        <w:rPr>
          <w:rFonts w:hint="eastAsia" w:ascii="宋体" w:hAnsi="宋体" w:eastAsia="宋体" w:cs="宋体"/>
          <w:sz w:val="28"/>
          <w:szCs w:val="28"/>
        </w:rPr>
        <w:t>收集各服务台</w:t>
      </w:r>
      <w:r>
        <w:rPr>
          <w:rFonts w:hint="eastAsia" w:ascii="宋体" w:hAnsi="宋体" w:eastAsia="宋体" w:cs="宋体"/>
          <w:sz w:val="28"/>
          <w:szCs w:val="28"/>
          <w:lang w:eastAsia="zh-CN"/>
        </w:rPr>
        <w:t>或在处理信息化申请单时收集</w:t>
      </w:r>
      <w:r>
        <w:rPr>
          <w:rFonts w:hint="eastAsia" w:ascii="宋体" w:hAnsi="宋体" w:eastAsia="宋体" w:cs="宋体"/>
          <w:sz w:val="28"/>
          <w:szCs w:val="28"/>
        </w:rPr>
        <w:t>对itil系统</w:t>
      </w:r>
      <w:r>
        <w:rPr>
          <w:rFonts w:hint="eastAsia" w:ascii="宋体" w:hAnsi="宋体" w:eastAsia="宋体" w:cs="宋体"/>
          <w:sz w:val="28"/>
          <w:szCs w:val="28"/>
          <w:lang w:eastAsia="zh-CN"/>
        </w:rPr>
        <w:t>客户群</w:t>
      </w:r>
      <w:r>
        <w:rPr>
          <w:rFonts w:hint="eastAsia" w:ascii="宋体" w:hAnsi="宋体" w:eastAsia="宋体" w:cs="宋体"/>
          <w:sz w:val="28"/>
          <w:szCs w:val="28"/>
        </w:rPr>
        <w:t>用户</w:t>
      </w:r>
      <w:r>
        <w:rPr>
          <w:rFonts w:hint="eastAsia" w:ascii="宋体" w:hAnsi="宋体" w:cs="宋体"/>
          <w:sz w:val="28"/>
          <w:szCs w:val="28"/>
          <w:lang w:eastAsia="zh-CN"/>
        </w:rPr>
        <w:t>的</w:t>
      </w:r>
      <w:r>
        <w:rPr>
          <w:rFonts w:hint="eastAsia" w:ascii="宋体" w:hAnsi="宋体" w:eastAsia="宋体" w:cs="宋体"/>
          <w:sz w:val="28"/>
          <w:szCs w:val="28"/>
          <w:lang w:eastAsia="zh-CN"/>
        </w:rPr>
        <w:t>归属部门</w:t>
      </w:r>
      <w:r>
        <w:rPr>
          <w:rFonts w:hint="eastAsia" w:ascii="宋体" w:hAnsi="宋体" w:cs="宋体"/>
          <w:sz w:val="28"/>
          <w:szCs w:val="28"/>
          <w:lang w:eastAsia="zh-CN"/>
        </w:rPr>
        <w:t>账号</w:t>
      </w:r>
      <w:r>
        <w:rPr>
          <w:rFonts w:hint="eastAsia" w:ascii="宋体" w:hAnsi="宋体" w:eastAsia="宋体" w:cs="宋体"/>
          <w:sz w:val="28"/>
          <w:szCs w:val="28"/>
          <w:lang w:eastAsia="zh-CN"/>
        </w:rPr>
        <w:t>等</w:t>
      </w:r>
      <w:r>
        <w:rPr>
          <w:rFonts w:hint="eastAsia" w:ascii="宋体" w:hAnsi="宋体" w:eastAsia="宋体" w:cs="宋体"/>
          <w:sz w:val="28"/>
          <w:szCs w:val="28"/>
        </w:rPr>
        <w:t>信息的调整与修改，</w:t>
      </w:r>
      <w:r>
        <w:rPr>
          <w:rFonts w:hint="eastAsia" w:ascii="宋体" w:hAnsi="宋体" w:eastAsia="宋体" w:cs="宋体"/>
          <w:sz w:val="28"/>
          <w:szCs w:val="28"/>
          <w:lang w:eastAsia="zh-CN"/>
        </w:rPr>
        <w:t>对</w:t>
      </w:r>
      <w:r>
        <w:rPr>
          <w:rFonts w:hint="eastAsia" w:ascii="宋体" w:hAnsi="宋体" w:cs="宋体"/>
          <w:sz w:val="28"/>
          <w:szCs w:val="28"/>
          <w:lang w:eastAsia="zh-CN"/>
        </w:rPr>
        <w:t>各</w:t>
      </w:r>
      <w:r>
        <w:rPr>
          <w:rFonts w:hint="eastAsia" w:ascii="宋体" w:hAnsi="宋体" w:eastAsia="宋体" w:cs="宋体"/>
          <w:sz w:val="28"/>
          <w:szCs w:val="28"/>
          <w:lang w:eastAsia="zh-CN"/>
        </w:rPr>
        <w:t>服务台人员登录</w:t>
      </w:r>
      <w:r>
        <w:rPr>
          <w:rFonts w:hint="eastAsia" w:ascii="宋体" w:hAnsi="宋体" w:eastAsia="宋体" w:cs="宋体"/>
          <w:sz w:val="28"/>
          <w:szCs w:val="28"/>
          <w:lang w:val="en-US" w:eastAsia="zh-CN"/>
        </w:rPr>
        <w:t>ITIL出现异常根据故障现象快速找到问题原因，</w:t>
      </w:r>
      <w:r>
        <w:rPr>
          <w:rFonts w:hint="eastAsia" w:ascii="宋体" w:hAnsi="宋体" w:cs="宋体"/>
          <w:sz w:val="28"/>
          <w:szCs w:val="28"/>
          <w:lang w:val="en-US" w:eastAsia="zh-CN"/>
        </w:rPr>
        <w:t>及时转接或指引用户进行正确按键业务。为了提高系统业务流程的流转效率，建议完善系统工作流程标准化，以提高工作效率和质量，加强系统工作的协同性。</w:t>
      </w:r>
    </w:p>
    <w:p>
      <w:pPr>
        <w:pStyle w:val="2"/>
        <w:ind w:firstLine="560" w:firstLineChars="200"/>
        <w:rPr>
          <w:rFonts w:hint="eastAsia" w:ascii="宋体" w:hAnsi="宋体" w:cs="宋体"/>
          <w:kern w:val="2"/>
          <w:sz w:val="28"/>
          <w:szCs w:val="28"/>
          <w:lang w:val="en-US" w:eastAsia="zh-CN"/>
        </w:rPr>
      </w:pPr>
      <w:r>
        <w:rPr>
          <w:rFonts w:hint="eastAsia" w:ascii="宋体" w:hAnsi="宋体" w:cs="宋体"/>
          <w:kern w:val="2"/>
          <w:sz w:val="28"/>
          <w:szCs w:val="28"/>
          <w:lang w:val="en-US" w:eastAsia="zh-CN"/>
        </w:rPr>
        <w:t>ITIL运维技术人员定期检查服务器负载性能、磁盘空间、检查数据库空间扩展等方面的运行情况，确保系统正常运行。优化系统中发现的相关问题，针对突发性问题进行应急服务，配合信息安全工作支持。</w:t>
      </w:r>
    </w:p>
    <w:p>
      <w:pPr>
        <w:ind w:firstLine="480"/>
        <w:rPr>
          <w:rFonts w:hint="eastAsia" w:ascii="宋体" w:hAnsi="宋体" w:cs="宋体"/>
          <w:sz w:val="28"/>
          <w:szCs w:val="28"/>
          <w:lang w:val="en-US" w:eastAsia="zh-CN"/>
        </w:rPr>
      </w:pPr>
      <w:r>
        <w:rPr>
          <w:rFonts w:hint="eastAsia" w:ascii="宋体" w:hAnsi="宋体" w:cs="宋体"/>
          <w:sz w:val="28"/>
          <w:szCs w:val="28"/>
          <w:lang w:val="en-US" w:eastAsia="zh-CN"/>
        </w:rPr>
        <w:t>综上所述内容，对下月工作计划如下：继续加强服务水平质量，定期巡检ITIL平台各服务器保证系统业务正常运行，日常用户操作指导和问题解答，抽查事件工单录音保障服务台正常运行，处理服务台事件工单，针对各服务台登录ITIL页面异常及时现场处理或指导，用户账号、权限配置和管理以及系统功能优化和完善。</w:t>
      </w: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2"/>
        <w:rPr>
          <w:rFonts w:hint="eastAsia" w:ascii="宋体" w:hAnsi="宋体" w:cs="宋体"/>
          <w:sz w:val="28"/>
          <w:szCs w:val="28"/>
          <w:lang w:val="en-US" w:eastAsia="zh-CN"/>
        </w:rPr>
      </w:pPr>
    </w:p>
    <w:p>
      <w:pPr>
        <w:pStyle w:val="3"/>
        <w:spacing w:after="468"/>
      </w:pPr>
      <w:bookmarkStart w:id="61" w:name="_Toc127"/>
      <w:r>
        <w:rPr>
          <w:rFonts w:hint="eastAsia"/>
          <w:lang w:eastAsia="zh-CN"/>
        </w:rPr>
        <w:t>交付签字</w:t>
      </w:r>
      <w:bookmarkEnd w:id="61"/>
    </w:p>
    <w:p>
      <w:pPr>
        <w:pStyle w:val="66"/>
        <w:widowControl/>
        <w:numPr>
          <w:ilvl w:val="0"/>
          <w:numId w:val="0"/>
        </w:numPr>
        <w:adjustRightInd/>
        <w:spacing w:line="240" w:lineRule="auto"/>
        <w:ind w:firstLine="640" w:firstLineChars="200"/>
        <w:jc w:val="left"/>
        <w:textAlignment w:val="auto"/>
        <w:rPr>
          <w:rFonts w:hint="eastAsia" w:ascii="宋体" w:hAnsi="宋体" w:eastAsia="宋体" w:cs="宋体"/>
          <w:sz w:val="32"/>
          <w:szCs w:val="32"/>
        </w:rPr>
      </w:pPr>
      <w:r>
        <w:rPr>
          <w:rFonts w:hint="eastAsia" w:ascii="宋体" w:hAnsi="宋体" w:eastAsia="宋体" w:cs="宋体"/>
          <w:sz w:val="32"/>
          <w:szCs w:val="32"/>
        </w:rPr>
        <w:t>202</w:t>
      </w:r>
      <w:r>
        <w:rPr>
          <w:rFonts w:hint="eastAsia" w:ascii="宋体" w:hAnsi="宋体" w:eastAsia="宋体" w:cs="宋体"/>
          <w:sz w:val="32"/>
          <w:szCs w:val="32"/>
          <w:lang w:val="en-US" w:eastAsia="zh-CN"/>
        </w:rPr>
        <w:t>3</w:t>
      </w:r>
      <w:r>
        <w:rPr>
          <w:rFonts w:hint="eastAsia" w:ascii="宋体" w:hAnsi="宋体" w:eastAsia="宋体" w:cs="宋体"/>
          <w:sz w:val="32"/>
          <w:szCs w:val="32"/>
        </w:rPr>
        <w:t>年</w:t>
      </w:r>
      <w:r>
        <w:rPr>
          <w:rFonts w:hint="eastAsia" w:ascii="宋体" w:hAnsi="宋体" w:eastAsia="宋体" w:cs="宋体"/>
          <w:sz w:val="32"/>
          <w:szCs w:val="32"/>
          <w:lang w:val="en-US" w:eastAsia="zh-CN"/>
        </w:rPr>
        <w:t>9月</w:t>
      </w:r>
      <w:r>
        <w:rPr>
          <w:rFonts w:hint="eastAsia" w:ascii="宋体" w:hAnsi="宋体" w:eastAsia="宋体" w:cs="宋体"/>
          <w:sz w:val="32"/>
          <w:szCs w:val="32"/>
        </w:rPr>
        <w:t>运维</w:t>
      </w:r>
      <w:bookmarkStart w:id="62" w:name="_GoBack"/>
      <w:bookmarkEnd w:id="62"/>
      <w:r>
        <w:rPr>
          <w:rFonts w:hint="eastAsia" w:ascii="宋体" w:hAnsi="宋体" w:eastAsia="宋体" w:cs="宋体"/>
          <w:sz w:val="32"/>
          <w:szCs w:val="32"/>
        </w:rPr>
        <w:t>维护过程中，维护人员已经按照广东中烟工业有限公司的要求完成了对广东中烟综合运维管理平台系统的维护工作，保障了系统的平稳运行，圆满完成了本</w:t>
      </w:r>
      <w:r>
        <w:rPr>
          <w:rFonts w:hint="eastAsia" w:ascii="宋体" w:hAnsi="宋体" w:eastAsia="宋体" w:cs="宋体"/>
          <w:sz w:val="32"/>
          <w:szCs w:val="32"/>
          <w:lang w:eastAsia="zh-CN"/>
        </w:rPr>
        <w:t>月的</w:t>
      </w:r>
      <w:r>
        <w:rPr>
          <w:rFonts w:hint="eastAsia" w:ascii="宋体" w:hAnsi="宋体" w:eastAsia="宋体" w:cs="宋体"/>
          <w:sz w:val="32"/>
          <w:szCs w:val="32"/>
        </w:rPr>
        <w:t>系统维护工作。</w:t>
      </w:r>
    </w:p>
    <w:p>
      <w:pPr>
        <w:pStyle w:val="66"/>
        <w:widowControl/>
        <w:numPr>
          <w:ilvl w:val="0"/>
          <w:numId w:val="0"/>
        </w:numPr>
        <w:adjustRightInd/>
        <w:spacing w:line="240" w:lineRule="auto"/>
        <w:ind w:firstLine="640" w:firstLineChars="200"/>
        <w:jc w:val="left"/>
        <w:textAlignment w:val="auto"/>
        <w:rPr>
          <w:rFonts w:hint="eastAsia" w:ascii="宋体" w:hAnsi="宋体" w:eastAsia="宋体" w:cs="宋体"/>
          <w:sz w:val="32"/>
          <w:szCs w:val="32"/>
          <w:lang w:val="en-US" w:eastAsia="zh-CN"/>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pPr>
              <w:pStyle w:val="66"/>
              <w:widowControl/>
              <w:numPr>
                <w:ilvl w:val="0"/>
                <w:numId w:val="0"/>
              </w:numPr>
              <w:adjustRightInd/>
              <w:spacing w:line="240" w:lineRule="auto"/>
              <w:jc w:val="center"/>
              <w:textAlignment w:val="auto"/>
              <w:rPr>
                <w:rFonts w:hint="eastAsia" w:ascii="宋体" w:hAnsi="宋体" w:eastAsia="宋体" w:cs="宋体"/>
                <w:sz w:val="32"/>
                <w:szCs w:val="32"/>
                <w:vertAlign w:val="baseline"/>
                <w:lang w:val="en-US" w:eastAsia="zh-CN"/>
              </w:rPr>
            </w:pPr>
            <w:r>
              <w:rPr>
                <w:rFonts w:hint="eastAsia" w:ascii="宋体" w:hAnsi="宋体" w:cs="宋体"/>
                <w:sz w:val="32"/>
                <w:szCs w:val="32"/>
                <w:vertAlign w:val="baseline"/>
                <w:lang w:val="en-US" w:eastAsia="zh-CN"/>
              </w:rPr>
              <w:t>交付签字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atLeast"/>
        </w:trPr>
        <w:tc>
          <w:tcPr>
            <w:tcW w:w="10420" w:type="dxa"/>
          </w:tcPr>
          <w:p>
            <w:pPr>
              <w:pStyle w:val="66"/>
              <w:widowControl/>
              <w:numPr>
                <w:ilvl w:val="0"/>
                <w:numId w:val="0"/>
              </w:numPr>
              <w:adjustRightInd/>
              <w:spacing w:line="240" w:lineRule="auto"/>
              <w:jc w:val="left"/>
              <w:textAlignment w:val="auto"/>
              <w:rPr>
                <w:rFonts w:hint="eastAsia" w:ascii="宋体" w:hAnsi="宋体" w:cs="宋体"/>
                <w:sz w:val="32"/>
                <w:szCs w:val="32"/>
                <w:vertAlign w:val="baseline"/>
                <w:lang w:val="en-US" w:eastAsia="zh-CN"/>
              </w:rPr>
            </w:pPr>
          </w:p>
          <w:p>
            <w:pPr>
              <w:pStyle w:val="66"/>
              <w:widowControl/>
              <w:numPr>
                <w:ilvl w:val="0"/>
                <w:numId w:val="0"/>
              </w:numPr>
              <w:adjustRightInd/>
              <w:spacing w:line="240" w:lineRule="auto"/>
              <w:jc w:val="left"/>
              <w:textAlignment w:val="auto"/>
              <w:rPr>
                <w:rFonts w:hint="eastAsia" w:ascii="宋体" w:hAnsi="宋体" w:cs="宋体"/>
                <w:sz w:val="30"/>
                <w:szCs w:val="30"/>
                <w:vertAlign w:val="baseline"/>
                <w:lang w:val="en-US" w:eastAsia="zh-CN"/>
              </w:rPr>
            </w:pPr>
            <w:r>
              <w:rPr>
                <w:rFonts w:hint="eastAsia" w:ascii="宋体" w:hAnsi="宋体" w:cs="宋体"/>
                <w:sz w:val="30"/>
                <w:szCs w:val="30"/>
                <w:vertAlign w:val="baseline"/>
                <w:lang w:val="en-US" w:eastAsia="zh-CN"/>
              </w:rPr>
              <w:t>实施商：北京创联致信科技有限公司</w:t>
            </w:r>
          </w:p>
          <w:p>
            <w:pPr>
              <w:pStyle w:val="66"/>
              <w:widowControl/>
              <w:numPr>
                <w:ilvl w:val="0"/>
                <w:numId w:val="0"/>
              </w:numPr>
              <w:adjustRightInd/>
              <w:spacing w:line="240" w:lineRule="auto"/>
              <w:jc w:val="left"/>
              <w:textAlignment w:val="auto"/>
              <w:rPr>
                <w:rFonts w:hint="eastAsia" w:ascii="宋体" w:hAnsi="宋体" w:cs="宋体"/>
                <w:sz w:val="30"/>
                <w:szCs w:val="30"/>
                <w:vertAlign w:val="baseline"/>
                <w:lang w:val="en-US" w:eastAsia="zh-CN"/>
              </w:rPr>
            </w:pPr>
          </w:p>
          <w:p>
            <w:pPr>
              <w:pStyle w:val="66"/>
              <w:widowControl/>
              <w:numPr>
                <w:ilvl w:val="0"/>
                <w:numId w:val="0"/>
              </w:numPr>
              <w:adjustRightInd/>
              <w:spacing w:line="240" w:lineRule="auto"/>
              <w:jc w:val="left"/>
              <w:textAlignment w:val="auto"/>
              <w:rPr>
                <w:rFonts w:hint="eastAsia" w:ascii="宋体" w:hAnsi="宋体" w:cs="宋体"/>
                <w:sz w:val="30"/>
                <w:szCs w:val="30"/>
                <w:vertAlign w:val="baseline"/>
                <w:lang w:val="en-US" w:eastAsia="zh-CN"/>
              </w:rPr>
            </w:pPr>
            <w:r>
              <w:rPr>
                <w:rFonts w:hint="eastAsia" w:ascii="宋体" w:hAnsi="宋体" w:cs="宋体"/>
                <w:sz w:val="30"/>
                <w:szCs w:val="30"/>
                <w:vertAlign w:val="baseline"/>
                <w:lang w:val="en-US" w:eastAsia="zh-CN"/>
              </w:rPr>
              <w:t>项目负责人：</w:t>
            </w:r>
          </w:p>
          <w:p>
            <w:pPr>
              <w:pStyle w:val="66"/>
              <w:widowControl/>
              <w:numPr>
                <w:ilvl w:val="0"/>
                <w:numId w:val="0"/>
              </w:numPr>
              <w:adjustRightInd/>
              <w:spacing w:line="240" w:lineRule="auto"/>
              <w:jc w:val="left"/>
              <w:textAlignment w:val="auto"/>
              <w:rPr>
                <w:rFonts w:hint="eastAsia" w:ascii="宋体" w:hAnsi="宋体" w:cs="宋体"/>
                <w:sz w:val="30"/>
                <w:szCs w:val="30"/>
                <w:vertAlign w:val="baseline"/>
                <w:lang w:val="en-US" w:eastAsia="zh-CN"/>
              </w:rPr>
            </w:pPr>
          </w:p>
          <w:p>
            <w:pPr>
              <w:pStyle w:val="66"/>
              <w:widowControl/>
              <w:numPr>
                <w:ilvl w:val="0"/>
                <w:numId w:val="0"/>
              </w:numPr>
              <w:adjustRightInd/>
              <w:spacing w:line="240" w:lineRule="auto"/>
              <w:jc w:val="left"/>
              <w:textAlignment w:val="auto"/>
              <w:rPr>
                <w:rFonts w:hint="default" w:ascii="宋体" w:hAnsi="宋体" w:cs="宋体"/>
                <w:sz w:val="30"/>
                <w:szCs w:val="30"/>
                <w:vertAlign w:val="baseline"/>
                <w:lang w:val="en-US" w:eastAsia="zh-CN"/>
              </w:rPr>
            </w:pPr>
            <w:r>
              <w:rPr>
                <w:rFonts w:hint="eastAsia" w:ascii="宋体" w:hAnsi="宋体" w:cs="宋体"/>
                <w:sz w:val="30"/>
                <w:szCs w:val="30"/>
                <w:vertAlign w:val="baseline"/>
                <w:lang w:val="en-US" w:eastAsia="zh-CN"/>
              </w:rPr>
              <w:t>日期：      年   月   日</w:t>
            </w:r>
          </w:p>
          <w:p>
            <w:pPr>
              <w:pStyle w:val="66"/>
              <w:widowControl/>
              <w:numPr>
                <w:ilvl w:val="0"/>
                <w:numId w:val="0"/>
              </w:numPr>
              <w:adjustRightInd/>
              <w:spacing w:line="240" w:lineRule="auto"/>
              <w:jc w:val="left"/>
              <w:textAlignment w:val="auto"/>
              <w:rPr>
                <w:rFonts w:hint="eastAsia" w:ascii="宋体" w:hAnsi="宋体" w:cs="宋体"/>
                <w:sz w:val="32"/>
                <w:szCs w:val="32"/>
                <w:vertAlign w:val="baseline"/>
                <w:lang w:val="en-US" w:eastAsia="zh-CN"/>
              </w:rPr>
            </w:pPr>
          </w:p>
        </w:tc>
      </w:tr>
    </w:tbl>
    <w:p>
      <w:pPr>
        <w:ind w:left="0" w:leftChars="0" w:firstLine="0" w:firstLineChars="0"/>
        <w:rPr>
          <w:rFonts w:hint="eastAsia" w:ascii="宋体" w:hAnsi="宋体" w:cs="宋体"/>
          <w:sz w:val="32"/>
          <w:szCs w:val="32"/>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851" w:bottom="1134" w:left="851" w:header="567" w:footer="567" w:gutter="0"/>
      <w:pgBorders>
        <w:top w:val="none" w:sz="0" w:space="0"/>
        <w:left w:val="none" w:sz="0" w:space="0"/>
        <w:bottom w:val="none" w:sz="0" w:space="0"/>
        <w:right w:val="none" w:sz="0" w:space="0"/>
      </w:pgBorders>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p>
  </w:endnote>
  <w:endnote w:type="continuationSeparator" w:id="1">
    <w:p>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rFonts w:hint="eastAsia"/>
        <w:color w:val="0000FF"/>
        <w:kern w:val="0"/>
        <w:sz w:val="18"/>
        <w:szCs w:val="18"/>
      </w:rPr>
      <w:t xml:space="preserve">第 </w:t>
    </w:r>
    <w:r>
      <w:rPr>
        <w:color w:val="0000FF"/>
        <w:kern w:val="0"/>
        <w:sz w:val="18"/>
        <w:szCs w:val="18"/>
      </w:rPr>
      <w:fldChar w:fldCharType="begin"/>
    </w:r>
    <w:r>
      <w:rPr>
        <w:color w:val="0000FF"/>
        <w:kern w:val="0"/>
        <w:sz w:val="18"/>
        <w:szCs w:val="18"/>
      </w:rPr>
      <w:instrText xml:space="preserve"> PAGE </w:instrText>
    </w:r>
    <w:r>
      <w:rPr>
        <w:color w:val="0000FF"/>
        <w:kern w:val="0"/>
        <w:sz w:val="18"/>
        <w:szCs w:val="18"/>
      </w:rPr>
      <w:fldChar w:fldCharType="separate"/>
    </w:r>
    <w:r>
      <w:rPr>
        <w:color w:val="0000FF"/>
        <w:kern w:val="0"/>
        <w:sz w:val="18"/>
        <w:szCs w:val="18"/>
      </w:rPr>
      <w:t>19</w:t>
    </w:r>
    <w:r>
      <w:rPr>
        <w:color w:val="0000FF"/>
        <w:kern w:val="0"/>
        <w:sz w:val="18"/>
        <w:szCs w:val="18"/>
      </w:rPr>
      <w:fldChar w:fldCharType="end"/>
    </w:r>
    <w:r>
      <w:rPr>
        <w:rFonts w:hint="eastAsia"/>
        <w:color w:val="0000FF"/>
        <w:kern w:val="0"/>
        <w:sz w:val="18"/>
        <w:szCs w:val="18"/>
      </w:rPr>
      <w:t xml:space="preserve"> 页 共 </w:t>
    </w:r>
    <w:r>
      <w:rPr>
        <w:color w:val="0000FF"/>
        <w:kern w:val="0"/>
        <w:sz w:val="18"/>
        <w:szCs w:val="18"/>
      </w:rPr>
      <w:fldChar w:fldCharType="begin"/>
    </w:r>
    <w:r>
      <w:rPr>
        <w:color w:val="0000FF"/>
        <w:kern w:val="0"/>
        <w:sz w:val="18"/>
        <w:szCs w:val="18"/>
      </w:rPr>
      <w:instrText xml:space="preserve"> NUMPAGES </w:instrText>
    </w:r>
    <w:r>
      <w:rPr>
        <w:color w:val="0000FF"/>
        <w:kern w:val="0"/>
        <w:sz w:val="18"/>
        <w:szCs w:val="18"/>
      </w:rPr>
      <w:fldChar w:fldCharType="separate"/>
    </w:r>
    <w:r>
      <w:rPr>
        <w:color w:val="0000FF"/>
        <w:kern w:val="0"/>
        <w:sz w:val="18"/>
        <w:szCs w:val="18"/>
      </w:rPr>
      <w:t>20</w:t>
    </w:r>
    <w:r>
      <w:rPr>
        <w:color w:val="0000FF"/>
        <w:kern w:val="0"/>
        <w:sz w:val="18"/>
        <w:szCs w:val="18"/>
      </w:rPr>
      <w:fldChar w:fldCharType="end"/>
    </w:r>
    <w:r>
      <w:rPr>
        <w:rFonts w:hint="eastAsia"/>
        <w:color w:val="0000FF"/>
        <w:kern w:val="0"/>
        <w:sz w:val="18"/>
        <w:szCs w:val="18"/>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ind w:firstLine="480"/>
    </w:pPr>
  </w:p>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p>
  </w:footnote>
  <w:footnote w:type="continuationSeparator" w:id="1">
    <w:p>
      <w:pPr>
        <w:spacing w:line="360" w:lineRule="auto"/>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1080" w:firstLineChars="300"/>
      <w:rPr>
        <w:sz w:val="21"/>
        <w:szCs w:val="21"/>
      </w:rPr>
    </w:pPr>
    <w:r>
      <w:rPr>
        <w:rFonts w:hint="eastAsia" w:ascii="方正小标宋简体" w:hAnsi="宋体" w:eastAsia="方正小标宋简体"/>
        <w:color w:val="000000"/>
        <w:sz w:val="36"/>
        <w:szCs w:val="36"/>
      </w:rPr>
      <w:drawing>
        <wp:anchor distT="0" distB="0" distL="114300" distR="114300" simplePos="0" relativeHeight="251659264" behindDoc="0" locked="0" layoutInCell="1" allowOverlap="1">
          <wp:simplePos x="0" y="0"/>
          <wp:positionH relativeFrom="column">
            <wp:posOffset>52070</wp:posOffset>
          </wp:positionH>
          <wp:positionV relativeFrom="paragraph">
            <wp:posOffset>-102235</wp:posOffset>
          </wp:positionV>
          <wp:extent cx="535305" cy="408305"/>
          <wp:effectExtent l="19050" t="0" r="0" b="0"/>
          <wp:wrapNone/>
          <wp:docPr id="5" name="图片 1" descr="中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中烟-LOGO"/>
                  <pic:cNvPicPr>
                    <a:picLocks noChangeAspect="1" noChangeArrowheads="1"/>
                  </pic:cNvPicPr>
                </pic:nvPicPr>
                <pic:blipFill>
                  <a:blip r:embed="rId1"/>
                  <a:srcRect/>
                  <a:stretch>
                    <a:fillRect/>
                  </a:stretch>
                </pic:blipFill>
                <pic:spPr>
                  <a:xfrm>
                    <a:off x="0" y="0"/>
                    <a:ext cx="535427" cy="408562"/>
                  </a:xfrm>
                  <a:prstGeom prst="rect">
                    <a:avLst/>
                  </a:prstGeom>
                  <a:noFill/>
                  <a:ln w="9525">
                    <a:noFill/>
                    <a:miter lim="800000"/>
                    <a:headEnd/>
                    <a:tailEnd/>
                  </a:ln>
                </pic:spPr>
              </pic:pic>
            </a:graphicData>
          </a:graphic>
        </wp:anchor>
      </w:drawing>
    </w:r>
    <w:r>
      <w:rPr>
        <w:rFonts w:hint="eastAsia" w:ascii="方正小标宋简体" w:hAnsi="宋体" w:eastAsia="方正小标宋简体"/>
        <w:color w:val="000000"/>
        <w:sz w:val="36"/>
        <w:szCs w:val="36"/>
      </w:rPr>
      <w:t xml:space="preserve"> </w:t>
    </w:r>
    <w:r>
      <w:rPr>
        <w:rFonts w:hint="eastAsia" w:ascii="方正小标宋简体" w:hAnsi="宋体" w:eastAsia="方正小标宋简体"/>
        <w:color w:val="000000"/>
        <w:sz w:val="21"/>
        <w:szCs w:val="21"/>
      </w:rPr>
      <w:t>IT运维服务台运行情况的通报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ind w:firstLine="480"/>
    </w:pPr>
  </w:p>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drawing>
        <wp:inline distT="0" distB="0" distL="0" distR="0">
          <wp:extent cx="1254760" cy="292100"/>
          <wp:effectExtent l="19050" t="0" r="2540" b="0"/>
          <wp:docPr id="9" name="图片 9"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emp"/>
                  <pic:cNvPicPr>
                    <a:picLocks noChangeAspect="1" noChangeArrowheads="1"/>
                  </pic:cNvPicPr>
                </pic:nvPicPr>
                <pic:blipFill>
                  <a:blip r:embed="rId1"/>
                  <a:srcRect/>
                  <a:stretch>
                    <a:fillRect/>
                  </a:stretch>
                </pic:blipFill>
                <pic:spPr>
                  <a:xfrm>
                    <a:off x="0" y="0"/>
                    <a:ext cx="1254760" cy="292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9C620"/>
    <w:multiLevelType w:val="singleLevel"/>
    <w:tmpl w:val="8179C620"/>
    <w:lvl w:ilvl="0" w:tentative="0">
      <w:start w:val="1"/>
      <w:numFmt w:val="decimal"/>
      <w:lvlText w:val="%1."/>
      <w:lvlJc w:val="left"/>
      <w:pPr>
        <w:ind w:left="425" w:hanging="425"/>
      </w:pPr>
      <w:rPr>
        <w:rFonts w:hint="default"/>
      </w:rPr>
    </w:lvl>
  </w:abstractNum>
  <w:abstractNum w:abstractNumId="1">
    <w:nsid w:val="84CC23C2"/>
    <w:multiLevelType w:val="singleLevel"/>
    <w:tmpl w:val="84CC23C2"/>
    <w:lvl w:ilvl="0" w:tentative="0">
      <w:start w:val="1"/>
      <w:numFmt w:val="bullet"/>
      <w:lvlText w:val=""/>
      <w:lvlJc w:val="left"/>
      <w:pPr>
        <w:ind w:left="420" w:hanging="420"/>
      </w:pPr>
      <w:rPr>
        <w:rFonts w:hint="default" w:ascii="Wingdings" w:hAnsi="Wingdings"/>
        <w:color w:val="auto"/>
      </w:rPr>
    </w:lvl>
  </w:abstractNum>
  <w:abstractNum w:abstractNumId="2">
    <w:nsid w:val="8FC870D2"/>
    <w:multiLevelType w:val="singleLevel"/>
    <w:tmpl w:val="8FC870D2"/>
    <w:lvl w:ilvl="0" w:tentative="0">
      <w:start w:val="1"/>
      <w:numFmt w:val="decimal"/>
      <w:lvlText w:val="%1)"/>
      <w:lvlJc w:val="left"/>
      <w:pPr>
        <w:tabs>
          <w:tab w:val="left" w:pos="420"/>
        </w:tabs>
        <w:ind w:left="845" w:hanging="425"/>
      </w:pPr>
      <w:rPr>
        <w:rFonts w:hint="default"/>
      </w:rPr>
    </w:lvl>
  </w:abstractNum>
  <w:abstractNum w:abstractNumId="3">
    <w:nsid w:val="D79FA737"/>
    <w:multiLevelType w:val="singleLevel"/>
    <w:tmpl w:val="D79FA737"/>
    <w:lvl w:ilvl="0" w:tentative="0">
      <w:start w:val="1"/>
      <w:numFmt w:val="decimal"/>
      <w:lvlText w:val="%1."/>
      <w:lvlJc w:val="left"/>
      <w:pPr>
        <w:ind w:left="425" w:hanging="425"/>
      </w:pPr>
      <w:rPr>
        <w:rFonts w:hint="default"/>
      </w:rPr>
    </w:lvl>
  </w:abstractNum>
  <w:abstractNum w:abstractNumId="4">
    <w:nsid w:val="DFFEE4BC"/>
    <w:multiLevelType w:val="singleLevel"/>
    <w:tmpl w:val="DFFEE4BC"/>
    <w:lvl w:ilvl="0" w:tentative="0">
      <w:start w:val="1"/>
      <w:numFmt w:val="decimal"/>
      <w:lvlText w:val="(%1)"/>
      <w:lvlJc w:val="left"/>
      <w:pPr>
        <w:ind w:left="425" w:hanging="425"/>
      </w:pPr>
      <w:rPr>
        <w:rFonts w:hint="default"/>
      </w:rPr>
    </w:lvl>
  </w:abstractNum>
  <w:abstractNum w:abstractNumId="5">
    <w:nsid w:val="074818AE"/>
    <w:multiLevelType w:val="multilevel"/>
    <w:tmpl w:val="074818AE"/>
    <w:lvl w:ilvl="0" w:tentative="0">
      <w:start w:val="1"/>
      <w:numFmt w:val="bullet"/>
      <w:pStyle w:val="44"/>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8717F8F"/>
    <w:multiLevelType w:val="multilevel"/>
    <w:tmpl w:val="08717F8F"/>
    <w:lvl w:ilvl="0" w:tentative="0">
      <w:start w:val="1"/>
      <w:numFmt w:val="bullet"/>
      <w:pStyle w:val="1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
    <w:nsid w:val="0ADC596F"/>
    <w:multiLevelType w:val="multilevel"/>
    <w:tmpl w:val="0ADC596F"/>
    <w:lvl w:ilvl="0" w:tentative="0">
      <w:start w:val="1"/>
      <w:numFmt w:val="ideographDigital"/>
      <w:pStyle w:val="3"/>
      <w:lvlText w:val="第%1章"/>
      <w:lvlJc w:val="left"/>
      <w:pPr>
        <w:tabs>
          <w:tab w:val="left" w:pos="5052"/>
        </w:tabs>
        <w:ind w:left="5052" w:hanging="432"/>
      </w:pPr>
      <w:rPr>
        <w:rFonts w:hint="default" w:ascii="Verdana" w:hAnsi="Verdana" w:eastAsia="华文中宋"/>
        <w:lang w:val="en-US"/>
      </w:rPr>
    </w:lvl>
    <w:lvl w:ilvl="1" w:tentative="0">
      <w:start w:val="1"/>
      <w:numFmt w:val="decimal"/>
      <w:pStyle w:val="4"/>
      <w:isLgl/>
      <w:lvlText w:val="%1.%2"/>
      <w:lvlJc w:val="left"/>
      <w:pPr>
        <w:tabs>
          <w:tab w:val="left" w:pos="576"/>
        </w:tabs>
        <w:ind w:left="576" w:hanging="576"/>
      </w:pPr>
      <w:rPr>
        <w:rFonts w:hint="eastAsia"/>
      </w:rPr>
    </w:lvl>
    <w:lvl w:ilvl="2" w:tentative="0">
      <w:start w:val="1"/>
      <w:numFmt w:val="decimal"/>
      <w:pStyle w:val="5"/>
      <w:isLgl/>
      <w:lvlText w:val="%1.%2.%3"/>
      <w:lvlJc w:val="left"/>
      <w:pPr>
        <w:tabs>
          <w:tab w:val="left" w:pos="5824"/>
        </w:tabs>
        <w:ind w:left="5824" w:hanging="720"/>
      </w:pPr>
      <w:rPr>
        <w:rFonts w:hint="eastAsia"/>
      </w:rPr>
    </w:lvl>
    <w:lvl w:ilvl="3" w:tentative="0">
      <w:start w:val="1"/>
      <w:numFmt w:val="decimal"/>
      <w:pStyle w:val="6"/>
      <w:isLgl/>
      <w:lvlText w:val="%1.%2.%3.%4"/>
      <w:lvlJc w:val="left"/>
      <w:pPr>
        <w:tabs>
          <w:tab w:val="left" w:pos="1404"/>
        </w:tabs>
        <w:ind w:left="1404" w:hanging="864"/>
      </w:pPr>
      <w:rPr>
        <w:rFonts w:hint="eastAsia"/>
      </w:rPr>
    </w:lvl>
    <w:lvl w:ilvl="4" w:tentative="0">
      <w:start w:val="1"/>
      <w:numFmt w:val="decimal"/>
      <w:pStyle w:val="7"/>
      <w:isLgl/>
      <w:lvlText w:val="%1.%2.%3.%4.%5"/>
      <w:lvlJc w:val="left"/>
      <w:pPr>
        <w:tabs>
          <w:tab w:val="left" w:pos="1548"/>
        </w:tabs>
        <w:ind w:left="1548" w:hanging="1008"/>
      </w:pPr>
      <w:rPr>
        <w:rFonts w:hint="eastAsia"/>
      </w:rPr>
    </w:lvl>
    <w:lvl w:ilvl="5" w:tentative="0">
      <w:start w:val="1"/>
      <w:numFmt w:val="decimal"/>
      <w:isLgl/>
      <w:lvlText w:val="%1.%2.%3.%4.%5.%6"/>
      <w:lvlJc w:val="left"/>
      <w:pPr>
        <w:tabs>
          <w:tab w:val="left" w:pos="1692"/>
        </w:tabs>
        <w:ind w:left="1692" w:hanging="1152"/>
      </w:pPr>
      <w:rPr>
        <w:rFonts w:hint="eastAsia"/>
      </w:rPr>
    </w:lvl>
    <w:lvl w:ilvl="6" w:tentative="0">
      <w:start w:val="1"/>
      <w:numFmt w:val="decimal"/>
      <w:isLgl/>
      <w:lvlText w:val="%1.%2.%3.%4.%5.%6.%7"/>
      <w:lvlJc w:val="left"/>
      <w:pPr>
        <w:tabs>
          <w:tab w:val="left" w:pos="1836"/>
        </w:tabs>
        <w:ind w:left="1836" w:hanging="1296"/>
      </w:pPr>
      <w:rPr>
        <w:rFonts w:hint="eastAsia"/>
      </w:rPr>
    </w:lvl>
    <w:lvl w:ilvl="7" w:tentative="0">
      <w:start w:val="1"/>
      <w:numFmt w:val="decimal"/>
      <w:isLgl/>
      <w:lvlText w:val="%1.%2.%3.%4.%5.%6.%7.%8"/>
      <w:lvlJc w:val="left"/>
      <w:pPr>
        <w:tabs>
          <w:tab w:val="left" w:pos="1980"/>
        </w:tabs>
        <w:ind w:left="1980" w:hanging="1440"/>
      </w:pPr>
      <w:rPr>
        <w:rFonts w:hint="eastAsia"/>
      </w:rPr>
    </w:lvl>
    <w:lvl w:ilvl="8" w:tentative="0">
      <w:start w:val="1"/>
      <w:numFmt w:val="decimal"/>
      <w:isLgl/>
      <w:lvlText w:val="%1.%2.%3.%4.%5.%6.%7.%8.%9"/>
      <w:lvlJc w:val="left"/>
      <w:pPr>
        <w:tabs>
          <w:tab w:val="left" w:pos="2124"/>
        </w:tabs>
        <w:ind w:left="2124" w:hanging="1584"/>
      </w:pPr>
      <w:rPr>
        <w:rFonts w:hint="eastAsia"/>
      </w:rPr>
    </w:lvl>
  </w:abstractNum>
  <w:abstractNum w:abstractNumId="8">
    <w:nsid w:val="10966A89"/>
    <w:multiLevelType w:val="multilevel"/>
    <w:tmpl w:val="10966A89"/>
    <w:lvl w:ilvl="0" w:tentative="0">
      <w:start w:val="1"/>
      <w:numFmt w:val="bullet"/>
      <w:lvlText w:val=""/>
      <w:lvlJc w:val="left"/>
      <w:pPr>
        <w:ind w:left="420" w:hanging="42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13F95947"/>
    <w:multiLevelType w:val="multilevel"/>
    <w:tmpl w:val="13F9594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1F20652D"/>
    <w:multiLevelType w:val="singleLevel"/>
    <w:tmpl w:val="1F20652D"/>
    <w:lvl w:ilvl="0" w:tentative="0">
      <w:start w:val="1"/>
      <w:numFmt w:val="decimal"/>
      <w:lvlText w:val="%1."/>
      <w:lvlJc w:val="left"/>
      <w:pPr>
        <w:ind w:left="665" w:hanging="425"/>
      </w:pPr>
      <w:rPr>
        <w:rFonts w:hint="default"/>
      </w:rPr>
    </w:lvl>
  </w:abstractNum>
  <w:abstractNum w:abstractNumId="11">
    <w:nsid w:val="3AD3A66E"/>
    <w:multiLevelType w:val="singleLevel"/>
    <w:tmpl w:val="3AD3A66E"/>
    <w:lvl w:ilvl="0" w:tentative="0">
      <w:start w:val="1"/>
      <w:numFmt w:val="decimal"/>
      <w:lvlText w:val="%1."/>
      <w:lvlJc w:val="left"/>
      <w:pPr>
        <w:tabs>
          <w:tab w:val="left" w:pos="420"/>
        </w:tabs>
        <w:ind w:left="425" w:leftChars="0" w:hanging="425" w:firstLineChars="0"/>
      </w:pPr>
      <w:rPr>
        <w:rFonts w:hint="default"/>
      </w:rPr>
    </w:lvl>
  </w:abstractNum>
  <w:abstractNum w:abstractNumId="12">
    <w:nsid w:val="47E317B5"/>
    <w:multiLevelType w:val="multilevel"/>
    <w:tmpl w:val="47E317B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53502A1D"/>
    <w:multiLevelType w:val="singleLevel"/>
    <w:tmpl w:val="53502A1D"/>
    <w:lvl w:ilvl="0" w:tentative="0">
      <w:start w:val="1"/>
      <w:numFmt w:val="decimal"/>
      <w:lvlText w:val="%1."/>
      <w:lvlJc w:val="left"/>
      <w:pPr>
        <w:ind w:left="425" w:hanging="425"/>
      </w:pPr>
      <w:rPr>
        <w:rFonts w:hint="default"/>
      </w:rPr>
    </w:lvl>
  </w:abstractNum>
  <w:abstractNum w:abstractNumId="14">
    <w:nsid w:val="5BB751CE"/>
    <w:multiLevelType w:val="multilevel"/>
    <w:tmpl w:val="5BB751CE"/>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BCB488B"/>
    <w:multiLevelType w:val="multilevel"/>
    <w:tmpl w:val="5BCB488B"/>
    <w:lvl w:ilvl="0" w:tentative="0">
      <w:start w:val="1"/>
      <w:numFmt w:val="decimal"/>
      <w:lvlText w:val="（%1）"/>
      <w:lvlJc w:val="left"/>
      <w:pPr>
        <w:ind w:left="0" w:hanging="420"/>
      </w:pPr>
      <w:rPr>
        <w:rFonts w:hint="default"/>
        <w:b w:val="0"/>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6">
    <w:nsid w:val="6BFE0227"/>
    <w:multiLevelType w:val="singleLevel"/>
    <w:tmpl w:val="6BFE0227"/>
    <w:lvl w:ilvl="0" w:tentative="0">
      <w:start w:val="1"/>
      <w:numFmt w:val="decimal"/>
      <w:lvlText w:val="%1."/>
      <w:lvlJc w:val="left"/>
      <w:pPr>
        <w:ind w:left="425" w:hanging="425"/>
      </w:pPr>
      <w:rPr>
        <w:rFonts w:hint="default"/>
      </w:rPr>
    </w:lvl>
  </w:abstractNum>
  <w:abstractNum w:abstractNumId="17">
    <w:nsid w:val="6FA293C4"/>
    <w:multiLevelType w:val="singleLevel"/>
    <w:tmpl w:val="6FA293C4"/>
    <w:lvl w:ilvl="0" w:tentative="0">
      <w:start w:val="1"/>
      <w:numFmt w:val="bullet"/>
      <w:lvlText w:val=""/>
      <w:lvlJc w:val="left"/>
      <w:pPr>
        <w:ind w:left="420" w:hanging="420"/>
      </w:pPr>
      <w:rPr>
        <w:rFonts w:hint="default" w:ascii="Wingdings" w:hAnsi="Wingdings"/>
      </w:rPr>
    </w:lvl>
  </w:abstractNum>
  <w:num w:numId="1">
    <w:abstractNumId w:val="7"/>
  </w:num>
  <w:num w:numId="2">
    <w:abstractNumId w:val="6"/>
  </w:num>
  <w:num w:numId="3">
    <w:abstractNumId w:val="5"/>
  </w:num>
  <w:num w:numId="4">
    <w:abstractNumId w:val="0"/>
  </w:num>
  <w:num w:numId="5">
    <w:abstractNumId w:val="10"/>
  </w:num>
  <w:num w:numId="6">
    <w:abstractNumId w:val="15"/>
  </w:num>
  <w:num w:numId="7">
    <w:abstractNumId w:val="13"/>
  </w:num>
  <w:num w:numId="8">
    <w:abstractNumId w:val="2"/>
  </w:num>
  <w:num w:numId="9">
    <w:abstractNumId w:val="9"/>
  </w:num>
  <w:num w:numId="10">
    <w:abstractNumId w:val="12"/>
  </w:num>
  <w:num w:numId="11">
    <w:abstractNumId w:val="11"/>
  </w:num>
  <w:num w:numId="12">
    <w:abstractNumId w:val="4"/>
  </w:num>
  <w:num w:numId="13">
    <w:abstractNumId w:val="3"/>
  </w:num>
  <w:num w:numId="14">
    <w:abstractNumId w:val="17"/>
  </w:num>
  <w:num w:numId="15">
    <w:abstractNumId w:val="8"/>
  </w:num>
  <w:num w:numId="16">
    <w:abstractNumId w:val="14"/>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lYTUyNWY3YmNmMjgwZGNjYmZhZjViODAxYjY1ZWIifQ=="/>
  </w:docVars>
  <w:rsids>
    <w:rsidRoot w:val="00680295"/>
    <w:rsid w:val="000000E9"/>
    <w:rsid w:val="00000299"/>
    <w:rsid w:val="000017DA"/>
    <w:rsid w:val="000021C2"/>
    <w:rsid w:val="00003B61"/>
    <w:rsid w:val="00004390"/>
    <w:rsid w:val="000048A5"/>
    <w:rsid w:val="0000538C"/>
    <w:rsid w:val="00006438"/>
    <w:rsid w:val="00006B3F"/>
    <w:rsid w:val="00006D43"/>
    <w:rsid w:val="00006EBB"/>
    <w:rsid w:val="0000750D"/>
    <w:rsid w:val="00007949"/>
    <w:rsid w:val="0001001E"/>
    <w:rsid w:val="0001072C"/>
    <w:rsid w:val="00011C90"/>
    <w:rsid w:val="000125A4"/>
    <w:rsid w:val="00013575"/>
    <w:rsid w:val="00013EF1"/>
    <w:rsid w:val="00014986"/>
    <w:rsid w:val="00014A22"/>
    <w:rsid w:val="0001590C"/>
    <w:rsid w:val="00015B36"/>
    <w:rsid w:val="0001656A"/>
    <w:rsid w:val="000208D6"/>
    <w:rsid w:val="00021026"/>
    <w:rsid w:val="00021F3F"/>
    <w:rsid w:val="00022050"/>
    <w:rsid w:val="00022E1D"/>
    <w:rsid w:val="000230F3"/>
    <w:rsid w:val="0002334B"/>
    <w:rsid w:val="00023D49"/>
    <w:rsid w:val="00024850"/>
    <w:rsid w:val="000255F2"/>
    <w:rsid w:val="00025A47"/>
    <w:rsid w:val="00025A8A"/>
    <w:rsid w:val="0002669D"/>
    <w:rsid w:val="000273B8"/>
    <w:rsid w:val="000302ED"/>
    <w:rsid w:val="00030576"/>
    <w:rsid w:val="00032461"/>
    <w:rsid w:val="0003246F"/>
    <w:rsid w:val="00032A42"/>
    <w:rsid w:val="00033648"/>
    <w:rsid w:val="00033DED"/>
    <w:rsid w:val="00034B54"/>
    <w:rsid w:val="000363FA"/>
    <w:rsid w:val="00037108"/>
    <w:rsid w:val="00037FB5"/>
    <w:rsid w:val="00037FEB"/>
    <w:rsid w:val="00041FF6"/>
    <w:rsid w:val="00042051"/>
    <w:rsid w:val="0004208D"/>
    <w:rsid w:val="000424FA"/>
    <w:rsid w:val="0004315E"/>
    <w:rsid w:val="0004330D"/>
    <w:rsid w:val="00043EC7"/>
    <w:rsid w:val="00043F0F"/>
    <w:rsid w:val="000449AE"/>
    <w:rsid w:val="00044A3B"/>
    <w:rsid w:val="00044C9A"/>
    <w:rsid w:val="00044E08"/>
    <w:rsid w:val="000450CC"/>
    <w:rsid w:val="000466E8"/>
    <w:rsid w:val="00046D41"/>
    <w:rsid w:val="00046F4B"/>
    <w:rsid w:val="000470CD"/>
    <w:rsid w:val="00047A64"/>
    <w:rsid w:val="0005266C"/>
    <w:rsid w:val="00052732"/>
    <w:rsid w:val="0005369F"/>
    <w:rsid w:val="00053C79"/>
    <w:rsid w:val="000540B3"/>
    <w:rsid w:val="00054208"/>
    <w:rsid w:val="0005431D"/>
    <w:rsid w:val="00054AFA"/>
    <w:rsid w:val="00055133"/>
    <w:rsid w:val="00055381"/>
    <w:rsid w:val="00055514"/>
    <w:rsid w:val="0005631E"/>
    <w:rsid w:val="000573D7"/>
    <w:rsid w:val="00060613"/>
    <w:rsid w:val="00060BB9"/>
    <w:rsid w:val="00060FAF"/>
    <w:rsid w:val="00062729"/>
    <w:rsid w:val="00062E0B"/>
    <w:rsid w:val="00062F0F"/>
    <w:rsid w:val="00064024"/>
    <w:rsid w:val="00065B2B"/>
    <w:rsid w:val="00066452"/>
    <w:rsid w:val="000664C7"/>
    <w:rsid w:val="000703A7"/>
    <w:rsid w:val="00071972"/>
    <w:rsid w:val="0007209C"/>
    <w:rsid w:val="00072330"/>
    <w:rsid w:val="0007287B"/>
    <w:rsid w:val="00072E67"/>
    <w:rsid w:val="00073680"/>
    <w:rsid w:val="000749F4"/>
    <w:rsid w:val="00075B2E"/>
    <w:rsid w:val="0007622C"/>
    <w:rsid w:val="00077079"/>
    <w:rsid w:val="00077B8E"/>
    <w:rsid w:val="00077E3F"/>
    <w:rsid w:val="00080C5C"/>
    <w:rsid w:val="0008110D"/>
    <w:rsid w:val="00081C26"/>
    <w:rsid w:val="000820A6"/>
    <w:rsid w:val="0008608B"/>
    <w:rsid w:val="00086ECC"/>
    <w:rsid w:val="00087059"/>
    <w:rsid w:val="00087725"/>
    <w:rsid w:val="0009074B"/>
    <w:rsid w:val="000909DD"/>
    <w:rsid w:val="00091CEB"/>
    <w:rsid w:val="0009247E"/>
    <w:rsid w:val="00092879"/>
    <w:rsid w:val="000928BE"/>
    <w:rsid w:val="0009409C"/>
    <w:rsid w:val="00096942"/>
    <w:rsid w:val="00097784"/>
    <w:rsid w:val="000A007A"/>
    <w:rsid w:val="000A00E9"/>
    <w:rsid w:val="000A0CD8"/>
    <w:rsid w:val="000A1280"/>
    <w:rsid w:val="000A1447"/>
    <w:rsid w:val="000A200F"/>
    <w:rsid w:val="000A295A"/>
    <w:rsid w:val="000A2DAD"/>
    <w:rsid w:val="000A3A03"/>
    <w:rsid w:val="000A43AE"/>
    <w:rsid w:val="000A5018"/>
    <w:rsid w:val="000A5F1F"/>
    <w:rsid w:val="000A7120"/>
    <w:rsid w:val="000A7E31"/>
    <w:rsid w:val="000B02A7"/>
    <w:rsid w:val="000B071B"/>
    <w:rsid w:val="000B0734"/>
    <w:rsid w:val="000B1007"/>
    <w:rsid w:val="000B215A"/>
    <w:rsid w:val="000B3073"/>
    <w:rsid w:val="000B390D"/>
    <w:rsid w:val="000B3FA4"/>
    <w:rsid w:val="000B4B81"/>
    <w:rsid w:val="000B4FA1"/>
    <w:rsid w:val="000B5364"/>
    <w:rsid w:val="000B65EC"/>
    <w:rsid w:val="000C1103"/>
    <w:rsid w:val="000C1510"/>
    <w:rsid w:val="000C211E"/>
    <w:rsid w:val="000C2F0A"/>
    <w:rsid w:val="000C3B0C"/>
    <w:rsid w:val="000C5204"/>
    <w:rsid w:val="000C5B3D"/>
    <w:rsid w:val="000C60F3"/>
    <w:rsid w:val="000C63AC"/>
    <w:rsid w:val="000C66DF"/>
    <w:rsid w:val="000C6896"/>
    <w:rsid w:val="000C68A5"/>
    <w:rsid w:val="000D144F"/>
    <w:rsid w:val="000D1487"/>
    <w:rsid w:val="000D1A7B"/>
    <w:rsid w:val="000D23BD"/>
    <w:rsid w:val="000D2605"/>
    <w:rsid w:val="000D26B2"/>
    <w:rsid w:val="000D27B5"/>
    <w:rsid w:val="000D2C84"/>
    <w:rsid w:val="000D3A89"/>
    <w:rsid w:val="000D4000"/>
    <w:rsid w:val="000D5042"/>
    <w:rsid w:val="000D61BF"/>
    <w:rsid w:val="000D6270"/>
    <w:rsid w:val="000D671B"/>
    <w:rsid w:val="000D7752"/>
    <w:rsid w:val="000D7E47"/>
    <w:rsid w:val="000E1A1D"/>
    <w:rsid w:val="000E1F2E"/>
    <w:rsid w:val="000E3352"/>
    <w:rsid w:val="000E3B43"/>
    <w:rsid w:val="000E4531"/>
    <w:rsid w:val="000E4623"/>
    <w:rsid w:val="000E4649"/>
    <w:rsid w:val="000E4C3F"/>
    <w:rsid w:val="000E4D72"/>
    <w:rsid w:val="000E5247"/>
    <w:rsid w:val="000E53E5"/>
    <w:rsid w:val="000E60C5"/>
    <w:rsid w:val="000E630C"/>
    <w:rsid w:val="000E6395"/>
    <w:rsid w:val="000E6878"/>
    <w:rsid w:val="000E690C"/>
    <w:rsid w:val="000E69E3"/>
    <w:rsid w:val="000E73FE"/>
    <w:rsid w:val="000F0A3D"/>
    <w:rsid w:val="000F1415"/>
    <w:rsid w:val="000F1467"/>
    <w:rsid w:val="000F273A"/>
    <w:rsid w:val="000F2EF9"/>
    <w:rsid w:val="000F3CCB"/>
    <w:rsid w:val="000F4303"/>
    <w:rsid w:val="000F5636"/>
    <w:rsid w:val="000F5CE1"/>
    <w:rsid w:val="000F62B0"/>
    <w:rsid w:val="000F72B3"/>
    <w:rsid w:val="000F78F2"/>
    <w:rsid w:val="000F7906"/>
    <w:rsid w:val="000F792F"/>
    <w:rsid w:val="000F7953"/>
    <w:rsid w:val="00100458"/>
    <w:rsid w:val="00100534"/>
    <w:rsid w:val="00101A4A"/>
    <w:rsid w:val="00101DA2"/>
    <w:rsid w:val="001049C9"/>
    <w:rsid w:val="00104E7A"/>
    <w:rsid w:val="00105E88"/>
    <w:rsid w:val="00106311"/>
    <w:rsid w:val="00106ED6"/>
    <w:rsid w:val="00107B3C"/>
    <w:rsid w:val="00107C15"/>
    <w:rsid w:val="00107EC0"/>
    <w:rsid w:val="00112BE3"/>
    <w:rsid w:val="00112C05"/>
    <w:rsid w:val="00113563"/>
    <w:rsid w:val="0011530A"/>
    <w:rsid w:val="00115729"/>
    <w:rsid w:val="001164BE"/>
    <w:rsid w:val="00117240"/>
    <w:rsid w:val="001205BC"/>
    <w:rsid w:val="001216DE"/>
    <w:rsid w:val="001239A4"/>
    <w:rsid w:val="001245FE"/>
    <w:rsid w:val="001258FA"/>
    <w:rsid w:val="00126B93"/>
    <w:rsid w:val="001278E5"/>
    <w:rsid w:val="00130BFB"/>
    <w:rsid w:val="00130D37"/>
    <w:rsid w:val="0013110B"/>
    <w:rsid w:val="00132D08"/>
    <w:rsid w:val="00133287"/>
    <w:rsid w:val="00133D17"/>
    <w:rsid w:val="00133EBC"/>
    <w:rsid w:val="0013480C"/>
    <w:rsid w:val="00134898"/>
    <w:rsid w:val="00134A77"/>
    <w:rsid w:val="00137873"/>
    <w:rsid w:val="00137E53"/>
    <w:rsid w:val="00140E1C"/>
    <w:rsid w:val="001411C6"/>
    <w:rsid w:val="001411DD"/>
    <w:rsid w:val="0014157B"/>
    <w:rsid w:val="0014157E"/>
    <w:rsid w:val="0014197E"/>
    <w:rsid w:val="00142473"/>
    <w:rsid w:val="0014256D"/>
    <w:rsid w:val="00143E40"/>
    <w:rsid w:val="00144897"/>
    <w:rsid w:val="00146278"/>
    <w:rsid w:val="001462DF"/>
    <w:rsid w:val="00146DFD"/>
    <w:rsid w:val="00150180"/>
    <w:rsid w:val="00151089"/>
    <w:rsid w:val="00151568"/>
    <w:rsid w:val="00153491"/>
    <w:rsid w:val="001539C3"/>
    <w:rsid w:val="00153DFB"/>
    <w:rsid w:val="00153EEF"/>
    <w:rsid w:val="00154223"/>
    <w:rsid w:val="00154EEF"/>
    <w:rsid w:val="001552BC"/>
    <w:rsid w:val="00155A43"/>
    <w:rsid w:val="001560AA"/>
    <w:rsid w:val="001560B2"/>
    <w:rsid w:val="00156322"/>
    <w:rsid w:val="00156AB6"/>
    <w:rsid w:val="00156B54"/>
    <w:rsid w:val="00157109"/>
    <w:rsid w:val="001573D6"/>
    <w:rsid w:val="001575E1"/>
    <w:rsid w:val="00160879"/>
    <w:rsid w:val="001617FB"/>
    <w:rsid w:val="001619F9"/>
    <w:rsid w:val="00161A90"/>
    <w:rsid w:val="001633BF"/>
    <w:rsid w:val="00163F40"/>
    <w:rsid w:val="00164145"/>
    <w:rsid w:val="00164798"/>
    <w:rsid w:val="00165026"/>
    <w:rsid w:val="001667E9"/>
    <w:rsid w:val="001673AF"/>
    <w:rsid w:val="00167709"/>
    <w:rsid w:val="001677A6"/>
    <w:rsid w:val="00167CB3"/>
    <w:rsid w:val="0017018F"/>
    <w:rsid w:val="00170A87"/>
    <w:rsid w:val="001726DE"/>
    <w:rsid w:val="00172AB4"/>
    <w:rsid w:val="00172BA0"/>
    <w:rsid w:val="00173571"/>
    <w:rsid w:val="001736CC"/>
    <w:rsid w:val="001740F2"/>
    <w:rsid w:val="00174356"/>
    <w:rsid w:val="00174F71"/>
    <w:rsid w:val="00176D5B"/>
    <w:rsid w:val="00176F44"/>
    <w:rsid w:val="001771D8"/>
    <w:rsid w:val="0017797C"/>
    <w:rsid w:val="0018017F"/>
    <w:rsid w:val="00180C35"/>
    <w:rsid w:val="00180DA0"/>
    <w:rsid w:val="0018118F"/>
    <w:rsid w:val="00181421"/>
    <w:rsid w:val="00181489"/>
    <w:rsid w:val="00183089"/>
    <w:rsid w:val="00183A05"/>
    <w:rsid w:val="00184888"/>
    <w:rsid w:val="00184A49"/>
    <w:rsid w:val="00184B4A"/>
    <w:rsid w:val="00186245"/>
    <w:rsid w:val="00186BCE"/>
    <w:rsid w:val="0018720F"/>
    <w:rsid w:val="001901C3"/>
    <w:rsid w:val="00190B45"/>
    <w:rsid w:val="00190EB1"/>
    <w:rsid w:val="001913AA"/>
    <w:rsid w:val="00191E24"/>
    <w:rsid w:val="001932DD"/>
    <w:rsid w:val="00193DD6"/>
    <w:rsid w:val="00194D1C"/>
    <w:rsid w:val="001958EE"/>
    <w:rsid w:val="001974D2"/>
    <w:rsid w:val="001A0B7D"/>
    <w:rsid w:val="001A120F"/>
    <w:rsid w:val="001A1598"/>
    <w:rsid w:val="001A1B90"/>
    <w:rsid w:val="001A369C"/>
    <w:rsid w:val="001A7B28"/>
    <w:rsid w:val="001B01DD"/>
    <w:rsid w:val="001B2823"/>
    <w:rsid w:val="001B366B"/>
    <w:rsid w:val="001B3821"/>
    <w:rsid w:val="001B5638"/>
    <w:rsid w:val="001B5E7C"/>
    <w:rsid w:val="001B6AFC"/>
    <w:rsid w:val="001B7319"/>
    <w:rsid w:val="001B7BF8"/>
    <w:rsid w:val="001B7E3B"/>
    <w:rsid w:val="001C0964"/>
    <w:rsid w:val="001C2F17"/>
    <w:rsid w:val="001C36A6"/>
    <w:rsid w:val="001C3C3C"/>
    <w:rsid w:val="001C4433"/>
    <w:rsid w:val="001C55A0"/>
    <w:rsid w:val="001C5D3B"/>
    <w:rsid w:val="001C7881"/>
    <w:rsid w:val="001C7C90"/>
    <w:rsid w:val="001C7C91"/>
    <w:rsid w:val="001D02DB"/>
    <w:rsid w:val="001D0ECB"/>
    <w:rsid w:val="001D1138"/>
    <w:rsid w:val="001D1C5C"/>
    <w:rsid w:val="001D242A"/>
    <w:rsid w:val="001D3EB6"/>
    <w:rsid w:val="001D4A88"/>
    <w:rsid w:val="001D4FBD"/>
    <w:rsid w:val="001D5490"/>
    <w:rsid w:val="001D6CB6"/>
    <w:rsid w:val="001D6F66"/>
    <w:rsid w:val="001D7259"/>
    <w:rsid w:val="001D72C9"/>
    <w:rsid w:val="001D7777"/>
    <w:rsid w:val="001E1176"/>
    <w:rsid w:val="001E117F"/>
    <w:rsid w:val="001E1D92"/>
    <w:rsid w:val="001E2267"/>
    <w:rsid w:val="001E281E"/>
    <w:rsid w:val="001E2E14"/>
    <w:rsid w:val="001E32D7"/>
    <w:rsid w:val="001E4337"/>
    <w:rsid w:val="001E4AA4"/>
    <w:rsid w:val="001E5E71"/>
    <w:rsid w:val="001E5F67"/>
    <w:rsid w:val="001E635C"/>
    <w:rsid w:val="001F04B3"/>
    <w:rsid w:val="001F075C"/>
    <w:rsid w:val="001F0BA0"/>
    <w:rsid w:val="001F1AD3"/>
    <w:rsid w:val="001F1F72"/>
    <w:rsid w:val="001F2604"/>
    <w:rsid w:val="001F282E"/>
    <w:rsid w:val="001F470C"/>
    <w:rsid w:val="001F48C3"/>
    <w:rsid w:val="001F528D"/>
    <w:rsid w:val="0020074E"/>
    <w:rsid w:val="00201AE7"/>
    <w:rsid w:val="00203C0E"/>
    <w:rsid w:val="00203CE9"/>
    <w:rsid w:val="00205AC4"/>
    <w:rsid w:val="0020674C"/>
    <w:rsid w:val="002077BA"/>
    <w:rsid w:val="002077CC"/>
    <w:rsid w:val="00207D80"/>
    <w:rsid w:val="00207F7A"/>
    <w:rsid w:val="00210380"/>
    <w:rsid w:val="002106FF"/>
    <w:rsid w:val="0021076F"/>
    <w:rsid w:val="0021111D"/>
    <w:rsid w:val="00211FD4"/>
    <w:rsid w:val="00212B25"/>
    <w:rsid w:val="00213E99"/>
    <w:rsid w:val="00214DA7"/>
    <w:rsid w:val="0021610A"/>
    <w:rsid w:val="002163DF"/>
    <w:rsid w:val="0021677A"/>
    <w:rsid w:val="002167B4"/>
    <w:rsid w:val="0021762D"/>
    <w:rsid w:val="00217E1C"/>
    <w:rsid w:val="002204E8"/>
    <w:rsid w:val="002206F3"/>
    <w:rsid w:val="00221302"/>
    <w:rsid w:val="00222B7D"/>
    <w:rsid w:val="00222C12"/>
    <w:rsid w:val="00224849"/>
    <w:rsid w:val="00224DB6"/>
    <w:rsid w:val="00226839"/>
    <w:rsid w:val="0022732B"/>
    <w:rsid w:val="002275D4"/>
    <w:rsid w:val="00227C15"/>
    <w:rsid w:val="00230549"/>
    <w:rsid w:val="002311A9"/>
    <w:rsid w:val="00231FE1"/>
    <w:rsid w:val="00232B58"/>
    <w:rsid w:val="002333EC"/>
    <w:rsid w:val="00233881"/>
    <w:rsid w:val="00234215"/>
    <w:rsid w:val="002358E6"/>
    <w:rsid w:val="00237187"/>
    <w:rsid w:val="00237200"/>
    <w:rsid w:val="002379A4"/>
    <w:rsid w:val="0024130E"/>
    <w:rsid w:val="00241E7B"/>
    <w:rsid w:val="00242EDD"/>
    <w:rsid w:val="00243136"/>
    <w:rsid w:val="00243300"/>
    <w:rsid w:val="00244676"/>
    <w:rsid w:val="002456A1"/>
    <w:rsid w:val="00247923"/>
    <w:rsid w:val="0025099B"/>
    <w:rsid w:val="00251DC3"/>
    <w:rsid w:val="0025274C"/>
    <w:rsid w:val="00252F32"/>
    <w:rsid w:val="00253337"/>
    <w:rsid w:val="00253733"/>
    <w:rsid w:val="002549A4"/>
    <w:rsid w:val="0025556E"/>
    <w:rsid w:val="002567A3"/>
    <w:rsid w:val="00260231"/>
    <w:rsid w:val="002622FF"/>
    <w:rsid w:val="002628EE"/>
    <w:rsid w:val="00262F47"/>
    <w:rsid w:val="002630D3"/>
    <w:rsid w:val="00263C89"/>
    <w:rsid w:val="0026519C"/>
    <w:rsid w:val="00265564"/>
    <w:rsid w:val="00266FE3"/>
    <w:rsid w:val="00267875"/>
    <w:rsid w:val="0026798C"/>
    <w:rsid w:val="00270728"/>
    <w:rsid w:val="00273294"/>
    <w:rsid w:val="0027451B"/>
    <w:rsid w:val="00275831"/>
    <w:rsid w:val="00275E52"/>
    <w:rsid w:val="0027750F"/>
    <w:rsid w:val="0027787F"/>
    <w:rsid w:val="00280465"/>
    <w:rsid w:val="002809DB"/>
    <w:rsid w:val="00281259"/>
    <w:rsid w:val="00281439"/>
    <w:rsid w:val="00282006"/>
    <w:rsid w:val="00282E2A"/>
    <w:rsid w:val="00284473"/>
    <w:rsid w:val="00284554"/>
    <w:rsid w:val="00285102"/>
    <w:rsid w:val="002858E9"/>
    <w:rsid w:val="00286499"/>
    <w:rsid w:val="00286866"/>
    <w:rsid w:val="00286A8C"/>
    <w:rsid w:val="0028753D"/>
    <w:rsid w:val="0029083F"/>
    <w:rsid w:val="0029096C"/>
    <w:rsid w:val="00290D7D"/>
    <w:rsid w:val="00291B63"/>
    <w:rsid w:val="002924D4"/>
    <w:rsid w:val="00292695"/>
    <w:rsid w:val="002926C6"/>
    <w:rsid w:val="00294358"/>
    <w:rsid w:val="002944BD"/>
    <w:rsid w:val="00294E89"/>
    <w:rsid w:val="002956F3"/>
    <w:rsid w:val="002965ED"/>
    <w:rsid w:val="002A02E5"/>
    <w:rsid w:val="002A0564"/>
    <w:rsid w:val="002A1D98"/>
    <w:rsid w:val="002A2009"/>
    <w:rsid w:val="002A2224"/>
    <w:rsid w:val="002A2254"/>
    <w:rsid w:val="002A29B2"/>
    <w:rsid w:val="002A375B"/>
    <w:rsid w:val="002A3B3F"/>
    <w:rsid w:val="002A40BC"/>
    <w:rsid w:val="002A5810"/>
    <w:rsid w:val="002A6223"/>
    <w:rsid w:val="002A670D"/>
    <w:rsid w:val="002A688B"/>
    <w:rsid w:val="002A6981"/>
    <w:rsid w:val="002A6A37"/>
    <w:rsid w:val="002B120A"/>
    <w:rsid w:val="002B1B15"/>
    <w:rsid w:val="002B1CC8"/>
    <w:rsid w:val="002B1DA3"/>
    <w:rsid w:val="002B22EF"/>
    <w:rsid w:val="002B2859"/>
    <w:rsid w:val="002B2EFE"/>
    <w:rsid w:val="002B35E0"/>
    <w:rsid w:val="002B3CA5"/>
    <w:rsid w:val="002B4086"/>
    <w:rsid w:val="002B40CD"/>
    <w:rsid w:val="002B4814"/>
    <w:rsid w:val="002B490B"/>
    <w:rsid w:val="002B4A1A"/>
    <w:rsid w:val="002B592A"/>
    <w:rsid w:val="002B752D"/>
    <w:rsid w:val="002B784F"/>
    <w:rsid w:val="002B78C0"/>
    <w:rsid w:val="002B7A96"/>
    <w:rsid w:val="002B7FB8"/>
    <w:rsid w:val="002C0C3F"/>
    <w:rsid w:val="002C1B82"/>
    <w:rsid w:val="002C28C4"/>
    <w:rsid w:val="002C2B4A"/>
    <w:rsid w:val="002C2C56"/>
    <w:rsid w:val="002C332B"/>
    <w:rsid w:val="002C4954"/>
    <w:rsid w:val="002C52D7"/>
    <w:rsid w:val="002C6397"/>
    <w:rsid w:val="002C7139"/>
    <w:rsid w:val="002C7FC5"/>
    <w:rsid w:val="002D2B10"/>
    <w:rsid w:val="002D2B66"/>
    <w:rsid w:val="002D3B01"/>
    <w:rsid w:val="002D3E58"/>
    <w:rsid w:val="002D42FD"/>
    <w:rsid w:val="002D49F2"/>
    <w:rsid w:val="002D4A1E"/>
    <w:rsid w:val="002D5A44"/>
    <w:rsid w:val="002D5C55"/>
    <w:rsid w:val="002D5F12"/>
    <w:rsid w:val="002E0685"/>
    <w:rsid w:val="002E2844"/>
    <w:rsid w:val="002E2B4F"/>
    <w:rsid w:val="002E4024"/>
    <w:rsid w:val="002E4572"/>
    <w:rsid w:val="002E720C"/>
    <w:rsid w:val="002E72D2"/>
    <w:rsid w:val="002F01AE"/>
    <w:rsid w:val="002F073F"/>
    <w:rsid w:val="002F0C94"/>
    <w:rsid w:val="002F122B"/>
    <w:rsid w:val="002F16DF"/>
    <w:rsid w:val="002F1A26"/>
    <w:rsid w:val="002F2056"/>
    <w:rsid w:val="002F2A2E"/>
    <w:rsid w:val="002F46D0"/>
    <w:rsid w:val="002F4E60"/>
    <w:rsid w:val="002F5092"/>
    <w:rsid w:val="002F5B17"/>
    <w:rsid w:val="002F7041"/>
    <w:rsid w:val="00300356"/>
    <w:rsid w:val="00300922"/>
    <w:rsid w:val="00300AB5"/>
    <w:rsid w:val="00301AFA"/>
    <w:rsid w:val="00301B2E"/>
    <w:rsid w:val="00302565"/>
    <w:rsid w:val="00302EE5"/>
    <w:rsid w:val="0030308B"/>
    <w:rsid w:val="00303592"/>
    <w:rsid w:val="00303D3A"/>
    <w:rsid w:val="00303F46"/>
    <w:rsid w:val="003048BC"/>
    <w:rsid w:val="00304B74"/>
    <w:rsid w:val="00305438"/>
    <w:rsid w:val="003067A5"/>
    <w:rsid w:val="00307C07"/>
    <w:rsid w:val="00307E9C"/>
    <w:rsid w:val="00310692"/>
    <w:rsid w:val="0031112B"/>
    <w:rsid w:val="003113ED"/>
    <w:rsid w:val="00311421"/>
    <w:rsid w:val="0031201E"/>
    <w:rsid w:val="00313F4D"/>
    <w:rsid w:val="00314203"/>
    <w:rsid w:val="00314E0A"/>
    <w:rsid w:val="003150C2"/>
    <w:rsid w:val="0031584F"/>
    <w:rsid w:val="003158C8"/>
    <w:rsid w:val="003167B9"/>
    <w:rsid w:val="00317205"/>
    <w:rsid w:val="00317C34"/>
    <w:rsid w:val="0032118C"/>
    <w:rsid w:val="0032182E"/>
    <w:rsid w:val="00321882"/>
    <w:rsid w:val="00321B69"/>
    <w:rsid w:val="00322BCA"/>
    <w:rsid w:val="00323AE6"/>
    <w:rsid w:val="0032463B"/>
    <w:rsid w:val="00324AE2"/>
    <w:rsid w:val="00325687"/>
    <w:rsid w:val="00327320"/>
    <w:rsid w:val="00327745"/>
    <w:rsid w:val="003322E8"/>
    <w:rsid w:val="0033250F"/>
    <w:rsid w:val="00333D9C"/>
    <w:rsid w:val="00335915"/>
    <w:rsid w:val="00335AB0"/>
    <w:rsid w:val="00335FC9"/>
    <w:rsid w:val="003366A9"/>
    <w:rsid w:val="0033683E"/>
    <w:rsid w:val="00336B82"/>
    <w:rsid w:val="00336F50"/>
    <w:rsid w:val="00337110"/>
    <w:rsid w:val="003402B8"/>
    <w:rsid w:val="0034159E"/>
    <w:rsid w:val="00341F01"/>
    <w:rsid w:val="0034233F"/>
    <w:rsid w:val="003429DA"/>
    <w:rsid w:val="00342F0B"/>
    <w:rsid w:val="00343FC2"/>
    <w:rsid w:val="0034408B"/>
    <w:rsid w:val="00344121"/>
    <w:rsid w:val="00344B1B"/>
    <w:rsid w:val="00344E53"/>
    <w:rsid w:val="00345D4C"/>
    <w:rsid w:val="003472D7"/>
    <w:rsid w:val="003475A1"/>
    <w:rsid w:val="0034797E"/>
    <w:rsid w:val="00347D95"/>
    <w:rsid w:val="0035058F"/>
    <w:rsid w:val="00350B23"/>
    <w:rsid w:val="003511CC"/>
    <w:rsid w:val="00353955"/>
    <w:rsid w:val="0035486D"/>
    <w:rsid w:val="00354DA6"/>
    <w:rsid w:val="0035602B"/>
    <w:rsid w:val="003562F4"/>
    <w:rsid w:val="00356F63"/>
    <w:rsid w:val="0035739B"/>
    <w:rsid w:val="00357694"/>
    <w:rsid w:val="003577B6"/>
    <w:rsid w:val="00357867"/>
    <w:rsid w:val="00362AF9"/>
    <w:rsid w:val="003635FB"/>
    <w:rsid w:val="0036362C"/>
    <w:rsid w:val="003639A8"/>
    <w:rsid w:val="003642DC"/>
    <w:rsid w:val="00364D3A"/>
    <w:rsid w:val="00365665"/>
    <w:rsid w:val="00365F4E"/>
    <w:rsid w:val="003665D5"/>
    <w:rsid w:val="00367709"/>
    <w:rsid w:val="00370224"/>
    <w:rsid w:val="003703DC"/>
    <w:rsid w:val="00370482"/>
    <w:rsid w:val="00370C7D"/>
    <w:rsid w:val="0037139E"/>
    <w:rsid w:val="003716C1"/>
    <w:rsid w:val="003724B6"/>
    <w:rsid w:val="003732FE"/>
    <w:rsid w:val="00373E9C"/>
    <w:rsid w:val="0037407B"/>
    <w:rsid w:val="0037445D"/>
    <w:rsid w:val="003749DB"/>
    <w:rsid w:val="00374A67"/>
    <w:rsid w:val="00374B1F"/>
    <w:rsid w:val="00374D13"/>
    <w:rsid w:val="00375FD5"/>
    <w:rsid w:val="0037655A"/>
    <w:rsid w:val="00377F88"/>
    <w:rsid w:val="003803E1"/>
    <w:rsid w:val="003807A9"/>
    <w:rsid w:val="00380EA5"/>
    <w:rsid w:val="00382D6C"/>
    <w:rsid w:val="00383332"/>
    <w:rsid w:val="0038367F"/>
    <w:rsid w:val="00385974"/>
    <w:rsid w:val="003860B8"/>
    <w:rsid w:val="00387538"/>
    <w:rsid w:val="00393A19"/>
    <w:rsid w:val="00395188"/>
    <w:rsid w:val="003965E0"/>
    <w:rsid w:val="003970F7"/>
    <w:rsid w:val="00397E51"/>
    <w:rsid w:val="003A0DDE"/>
    <w:rsid w:val="003A0F5C"/>
    <w:rsid w:val="003A2124"/>
    <w:rsid w:val="003A238E"/>
    <w:rsid w:val="003A2936"/>
    <w:rsid w:val="003A2DBD"/>
    <w:rsid w:val="003A2FA4"/>
    <w:rsid w:val="003A30C8"/>
    <w:rsid w:val="003A38E1"/>
    <w:rsid w:val="003A3D42"/>
    <w:rsid w:val="003A4D11"/>
    <w:rsid w:val="003A4FC8"/>
    <w:rsid w:val="003A7435"/>
    <w:rsid w:val="003B0870"/>
    <w:rsid w:val="003B0A8E"/>
    <w:rsid w:val="003B1071"/>
    <w:rsid w:val="003B172B"/>
    <w:rsid w:val="003B1E08"/>
    <w:rsid w:val="003B2908"/>
    <w:rsid w:val="003B33B4"/>
    <w:rsid w:val="003B4005"/>
    <w:rsid w:val="003B441C"/>
    <w:rsid w:val="003B45F3"/>
    <w:rsid w:val="003B4866"/>
    <w:rsid w:val="003B68F0"/>
    <w:rsid w:val="003B6917"/>
    <w:rsid w:val="003B7591"/>
    <w:rsid w:val="003B7B1E"/>
    <w:rsid w:val="003C0AE2"/>
    <w:rsid w:val="003C3C6F"/>
    <w:rsid w:val="003C41D8"/>
    <w:rsid w:val="003C43D7"/>
    <w:rsid w:val="003C5990"/>
    <w:rsid w:val="003C62C2"/>
    <w:rsid w:val="003C6C3D"/>
    <w:rsid w:val="003D1A5A"/>
    <w:rsid w:val="003D2D77"/>
    <w:rsid w:val="003D3386"/>
    <w:rsid w:val="003D359B"/>
    <w:rsid w:val="003D43FD"/>
    <w:rsid w:val="003D45A5"/>
    <w:rsid w:val="003D4CE6"/>
    <w:rsid w:val="003D5256"/>
    <w:rsid w:val="003D5562"/>
    <w:rsid w:val="003D5F0B"/>
    <w:rsid w:val="003D631B"/>
    <w:rsid w:val="003D6A26"/>
    <w:rsid w:val="003D7CB1"/>
    <w:rsid w:val="003E02FF"/>
    <w:rsid w:val="003E1633"/>
    <w:rsid w:val="003E35AC"/>
    <w:rsid w:val="003E3DDC"/>
    <w:rsid w:val="003E4036"/>
    <w:rsid w:val="003E41DD"/>
    <w:rsid w:val="003E5898"/>
    <w:rsid w:val="003E5D38"/>
    <w:rsid w:val="003E6A25"/>
    <w:rsid w:val="003E7398"/>
    <w:rsid w:val="003E7AE4"/>
    <w:rsid w:val="003F007F"/>
    <w:rsid w:val="003F0FB2"/>
    <w:rsid w:val="003F16B9"/>
    <w:rsid w:val="003F37E4"/>
    <w:rsid w:val="003F3872"/>
    <w:rsid w:val="003F43C8"/>
    <w:rsid w:val="003F456E"/>
    <w:rsid w:val="003F5C87"/>
    <w:rsid w:val="003F604B"/>
    <w:rsid w:val="003F719E"/>
    <w:rsid w:val="003F7F9C"/>
    <w:rsid w:val="00400091"/>
    <w:rsid w:val="0040132E"/>
    <w:rsid w:val="004019CC"/>
    <w:rsid w:val="004024FC"/>
    <w:rsid w:val="00402A2C"/>
    <w:rsid w:val="00402E8E"/>
    <w:rsid w:val="00403DCA"/>
    <w:rsid w:val="00403EAA"/>
    <w:rsid w:val="0040472A"/>
    <w:rsid w:val="00405158"/>
    <w:rsid w:val="00405C37"/>
    <w:rsid w:val="0040656C"/>
    <w:rsid w:val="00410B6C"/>
    <w:rsid w:val="0041195B"/>
    <w:rsid w:val="004119C2"/>
    <w:rsid w:val="004124EE"/>
    <w:rsid w:val="0041303C"/>
    <w:rsid w:val="004137C7"/>
    <w:rsid w:val="004151DF"/>
    <w:rsid w:val="00416A95"/>
    <w:rsid w:val="00417806"/>
    <w:rsid w:val="0042088B"/>
    <w:rsid w:val="0042181B"/>
    <w:rsid w:val="004218A0"/>
    <w:rsid w:val="00421983"/>
    <w:rsid w:val="00421CC6"/>
    <w:rsid w:val="00421E1B"/>
    <w:rsid w:val="00422FC7"/>
    <w:rsid w:val="0042338B"/>
    <w:rsid w:val="0042339A"/>
    <w:rsid w:val="004242F9"/>
    <w:rsid w:val="004253D2"/>
    <w:rsid w:val="00426396"/>
    <w:rsid w:val="004267A8"/>
    <w:rsid w:val="00426F51"/>
    <w:rsid w:val="00427CC2"/>
    <w:rsid w:val="00430310"/>
    <w:rsid w:val="00430BD7"/>
    <w:rsid w:val="00431032"/>
    <w:rsid w:val="00431654"/>
    <w:rsid w:val="0043235D"/>
    <w:rsid w:val="0043289A"/>
    <w:rsid w:val="004335D8"/>
    <w:rsid w:val="0043400E"/>
    <w:rsid w:val="00434B2A"/>
    <w:rsid w:val="00435D1A"/>
    <w:rsid w:val="00435FC8"/>
    <w:rsid w:val="0043610A"/>
    <w:rsid w:val="00436449"/>
    <w:rsid w:val="0043660C"/>
    <w:rsid w:val="0043693D"/>
    <w:rsid w:val="00436A4A"/>
    <w:rsid w:val="00436FA3"/>
    <w:rsid w:val="00440D38"/>
    <w:rsid w:val="004410AE"/>
    <w:rsid w:val="004411D6"/>
    <w:rsid w:val="00441235"/>
    <w:rsid w:val="004438E7"/>
    <w:rsid w:val="00444E60"/>
    <w:rsid w:val="00446E17"/>
    <w:rsid w:val="00451502"/>
    <w:rsid w:val="00452593"/>
    <w:rsid w:val="00452DA1"/>
    <w:rsid w:val="0045325F"/>
    <w:rsid w:val="00453A20"/>
    <w:rsid w:val="00454C3D"/>
    <w:rsid w:val="00455ADC"/>
    <w:rsid w:val="00456C0D"/>
    <w:rsid w:val="00460434"/>
    <w:rsid w:val="00460633"/>
    <w:rsid w:val="00460763"/>
    <w:rsid w:val="00460B2B"/>
    <w:rsid w:val="004620AE"/>
    <w:rsid w:val="00462242"/>
    <w:rsid w:val="00462B81"/>
    <w:rsid w:val="00462CE4"/>
    <w:rsid w:val="00463CB7"/>
    <w:rsid w:val="004648F1"/>
    <w:rsid w:val="00464D72"/>
    <w:rsid w:val="0046549E"/>
    <w:rsid w:val="00465A37"/>
    <w:rsid w:val="00465E4C"/>
    <w:rsid w:val="00466F6F"/>
    <w:rsid w:val="0046722D"/>
    <w:rsid w:val="00467A63"/>
    <w:rsid w:val="00470715"/>
    <w:rsid w:val="00471A2A"/>
    <w:rsid w:val="004740A7"/>
    <w:rsid w:val="00474E54"/>
    <w:rsid w:val="00475061"/>
    <w:rsid w:val="004756E9"/>
    <w:rsid w:val="0047792D"/>
    <w:rsid w:val="00477E69"/>
    <w:rsid w:val="0048022E"/>
    <w:rsid w:val="00483246"/>
    <w:rsid w:val="0048347D"/>
    <w:rsid w:val="00484199"/>
    <w:rsid w:val="00484CAC"/>
    <w:rsid w:val="00484DA9"/>
    <w:rsid w:val="00484FED"/>
    <w:rsid w:val="00485BB9"/>
    <w:rsid w:val="00485FF2"/>
    <w:rsid w:val="004866AA"/>
    <w:rsid w:val="00490881"/>
    <w:rsid w:val="0049121D"/>
    <w:rsid w:val="00492A9E"/>
    <w:rsid w:val="0049429B"/>
    <w:rsid w:val="00495EF0"/>
    <w:rsid w:val="00496954"/>
    <w:rsid w:val="00496957"/>
    <w:rsid w:val="004970A1"/>
    <w:rsid w:val="00497DC1"/>
    <w:rsid w:val="004A0986"/>
    <w:rsid w:val="004A2BF1"/>
    <w:rsid w:val="004A2D04"/>
    <w:rsid w:val="004A3B90"/>
    <w:rsid w:val="004A445C"/>
    <w:rsid w:val="004A4493"/>
    <w:rsid w:val="004A5129"/>
    <w:rsid w:val="004A5AEE"/>
    <w:rsid w:val="004A67D5"/>
    <w:rsid w:val="004A702B"/>
    <w:rsid w:val="004A7234"/>
    <w:rsid w:val="004B0314"/>
    <w:rsid w:val="004B0A8C"/>
    <w:rsid w:val="004B1DDC"/>
    <w:rsid w:val="004B2367"/>
    <w:rsid w:val="004B27F7"/>
    <w:rsid w:val="004B3DE0"/>
    <w:rsid w:val="004B450B"/>
    <w:rsid w:val="004B5AFE"/>
    <w:rsid w:val="004B5D2E"/>
    <w:rsid w:val="004B5FCB"/>
    <w:rsid w:val="004B7409"/>
    <w:rsid w:val="004B767E"/>
    <w:rsid w:val="004C0C59"/>
    <w:rsid w:val="004C0F68"/>
    <w:rsid w:val="004C169D"/>
    <w:rsid w:val="004C19E8"/>
    <w:rsid w:val="004C1D03"/>
    <w:rsid w:val="004C2F0B"/>
    <w:rsid w:val="004C3D4F"/>
    <w:rsid w:val="004C4212"/>
    <w:rsid w:val="004C52DD"/>
    <w:rsid w:val="004C5308"/>
    <w:rsid w:val="004C5380"/>
    <w:rsid w:val="004C65B2"/>
    <w:rsid w:val="004C6D23"/>
    <w:rsid w:val="004C6D7E"/>
    <w:rsid w:val="004C6F29"/>
    <w:rsid w:val="004C74FA"/>
    <w:rsid w:val="004C7D0E"/>
    <w:rsid w:val="004D0369"/>
    <w:rsid w:val="004D0A0C"/>
    <w:rsid w:val="004D0BF3"/>
    <w:rsid w:val="004D2428"/>
    <w:rsid w:val="004D272D"/>
    <w:rsid w:val="004D2803"/>
    <w:rsid w:val="004D2934"/>
    <w:rsid w:val="004D295D"/>
    <w:rsid w:val="004D36D0"/>
    <w:rsid w:val="004D3907"/>
    <w:rsid w:val="004D5840"/>
    <w:rsid w:val="004D5969"/>
    <w:rsid w:val="004D5CB8"/>
    <w:rsid w:val="004D6880"/>
    <w:rsid w:val="004D76C6"/>
    <w:rsid w:val="004E015A"/>
    <w:rsid w:val="004E15D8"/>
    <w:rsid w:val="004E1FF6"/>
    <w:rsid w:val="004E2BBD"/>
    <w:rsid w:val="004E2E2D"/>
    <w:rsid w:val="004E30DB"/>
    <w:rsid w:val="004E3253"/>
    <w:rsid w:val="004E3993"/>
    <w:rsid w:val="004E3D2C"/>
    <w:rsid w:val="004E53DE"/>
    <w:rsid w:val="004E5490"/>
    <w:rsid w:val="004E5535"/>
    <w:rsid w:val="004E5EB5"/>
    <w:rsid w:val="004E61AC"/>
    <w:rsid w:val="004E6C49"/>
    <w:rsid w:val="004F0410"/>
    <w:rsid w:val="004F0562"/>
    <w:rsid w:val="004F0585"/>
    <w:rsid w:val="004F16D2"/>
    <w:rsid w:val="004F1BCD"/>
    <w:rsid w:val="004F20BA"/>
    <w:rsid w:val="004F2ADA"/>
    <w:rsid w:val="004F33E1"/>
    <w:rsid w:val="004F3DDF"/>
    <w:rsid w:val="004F4157"/>
    <w:rsid w:val="004F7046"/>
    <w:rsid w:val="004F7365"/>
    <w:rsid w:val="004F7C61"/>
    <w:rsid w:val="005001BD"/>
    <w:rsid w:val="005010F0"/>
    <w:rsid w:val="00501EA7"/>
    <w:rsid w:val="00503233"/>
    <w:rsid w:val="00504C12"/>
    <w:rsid w:val="00505321"/>
    <w:rsid w:val="005073E1"/>
    <w:rsid w:val="005074A2"/>
    <w:rsid w:val="00507FE0"/>
    <w:rsid w:val="0051094C"/>
    <w:rsid w:val="005109D6"/>
    <w:rsid w:val="00510C9E"/>
    <w:rsid w:val="00510F4F"/>
    <w:rsid w:val="00511564"/>
    <w:rsid w:val="005115D4"/>
    <w:rsid w:val="005118CE"/>
    <w:rsid w:val="00511E32"/>
    <w:rsid w:val="005134D8"/>
    <w:rsid w:val="00513737"/>
    <w:rsid w:val="00515376"/>
    <w:rsid w:val="0051629F"/>
    <w:rsid w:val="0051704B"/>
    <w:rsid w:val="005173AB"/>
    <w:rsid w:val="005200FC"/>
    <w:rsid w:val="0052077E"/>
    <w:rsid w:val="00520AFB"/>
    <w:rsid w:val="00520D9F"/>
    <w:rsid w:val="00522F03"/>
    <w:rsid w:val="005231F4"/>
    <w:rsid w:val="00523D13"/>
    <w:rsid w:val="005249A8"/>
    <w:rsid w:val="00525562"/>
    <w:rsid w:val="00525AA1"/>
    <w:rsid w:val="00525BB5"/>
    <w:rsid w:val="00525C1B"/>
    <w:rsid w:val="00525C35"/>
    <w:rsid w:val="00526E02"/>
    <w:rsid w:val="00527ADF"/>
    <w:rsid w:val="00530CFB"/>
    <w:rsid w:val="0053116C"/>
    <w:rsid w:val="00531662"/>
    <w:rsid w:val="00531788"/>
    <w:rsid w:val="0053180E"/>
    <w:rsid w:val="005327E1"/>
    <w:rsid w:val="0053327A"/>
    <w:rsid w:val="00533416"/>
    <w:rsid w:val="005336B6"/>
    <w:rsid w:val="0053411B"/>
    <w:rsid w:val="005342EE"/>
    <w:rsid w:val="00535642"/>
    <w:rsid w:val="005361D4"/>
    <w:rsid w:val="0053767F"/>
    <w:rsid w:val="00537B0D"/>
    <w:rsid w:val="005407D9"/>
    <w:rsid w:val="00540931"/>
    <w:rsid w:val="00541D69"/>
    <w:rsid w:val="00542DF6"/>
    <w:rsid w:val="00543190"/>
    <w:rsid w:val="005434FB"/>
    <w:rsid w:val="005436EC"/>
    <w:rsid w:val="00543E8A"/>
    <w:rsid w:val="0054794C"/>
    <w:rsid w:val="005479A9"/>
    <w:rsid w:val="00547E9E"/>
    <w:rsid w:val="00551F1F"/>
    <w:rsid w:val="0055323C"/>
    <w:rsid w:val="0055332A"/>
    <w:rsid w:val="00554529"/>
    <w:rsid w:val="00554CF5"/>
    <w:rsid w:val="00554D9A"/>
    <w:rsid w:val="00555833"/>
    <w:rsid w:val="00555BC9"/>
    <w:rsid w:val="0055661D"/>
    <w:rsid w:val="0055792B"/>
    <w:rsid w:val="00557AF2"/>
    <w:rsid w:val="00560807"/>
    <w:rsid w:val="00561BAE"/>
    <w:rsid w:val="00562166"/>
    <w:rsid w:val="0056307C"/>
    <w:rsid w:val="005633AA"/>
    <w:rsid w:val="00563B2E"/>
    <w:rsid w:val="00564FB3"/>
    <w:rsid w:val="00565DBD"/>
    <w:rsid w:val="0056677D"/>
    <w:rsid w:val="00566E55"/>
    <w:rsid w:val="005672DB"/>
    <w:rsid w:val="00567580"/>
    <w:rsid w:val="00567939"/>
    <w:rsid w:val="00570197"/>
    <w:rsid w:val="005715BB"/>
    <w:rsid w:val="005719C1"/>
    <w:rsid w:val="00571A46"/>
    <w:rsid w:val="005723D5"/>
    <w:rsid w:val="00572E31"/>
    <w:rsid w:val="005737E1"/>
    <w:rsid w:val="005741D3"/>
    <w:rsid w:val="005743E0"/>
    <w:rsid w:val="005743EE"/>
    <w:rsid w:val="005745BD"/>
    <w:rsid w:val="00574641"/>
    <w:rsid w:val="005763C5"/>
    <w:rsid w:val="00576643"/>
    <w:rsid w:val="005768F2"/>
    <w:rsid w:val="005770E6"/>
    <w:rsid w:val="00580136"/>
    <w:rsid w:val="005804E4"/>
    <w:rsid w:val="00580B73"/>
    <w:rsid w:val="00581D45"/>
    <w:rsid w:val="005835DF"/>
    <w:rsid w:val="00583F76"/>
    <w:rsid w:val="00584024"/>
    <w:rsid w:val="005846B5"/>
    <w:rsid w:val="00585BAA"/>
    <w:rsid w:val="00585CB5"/>
    <w:rsid w:val="00585CD4"/>
    <w:rsid w:val="005862B7"/>
    <w:rsid w:val="005869B8"/>
    <w:rsid w:val="00587CE4"/>
    <w:rsid w:val="0059096C"/>
    <w:rsid w:val="00590D38"/>
    <w:rsid w:val="0059233F"/>
    <w:rsid w:val="00592FC7"/>
    <w:rsid w:val="00593DF6"/>
    <w:rsid w:val="00593F4B"/>
    <w:rsid w:val="005945FF"/>
    <w:rsid w:val="005949AC"/>
    <w:rsid w:val="00594A5C"/>
    <w:rsid w:val="00594D33"/>
    <w:rsid w:val="005961F6"/>
    <w:rsid w:val="005965CD"/>
    <w:rsid w:val="005972B0"/>
    <w:rsid w:val="005975B2"/>
    <w:rsid w:val="00597842"/>
    <w:rsid w:val="00597ABB"/>
    <w:rsid w:val="005A0AA1"/>
    <w:rsid w:val="005A0BE3"/>
    <w:rsid w:val="005A1878"/>
    <w:rsid w:val="005A1CF3"/>
    <w:rsid w:val="005A1EE5"/>
    <w:rsid w:val="005A2709"/>
    <w:rsid w:val="005A3BBD"/>
    <w:rsid w:val="005A6429"/>
    <w:rsid w:val="005A73BD"/>
    <w:rsid w:val="005A78A0"/>
    <w:rsid w:val="005B0682"/>
    <w:rsid w:val="005B0A54"/>
    <w:rsid w:val="005B34AD"/>
    <w:rsid w:val="005B3533"/>
    <w:rsid w:val="005B4CE6"/>
    <w:rsid w:val="005B5EAD"/>
    <w:rsid w:val="005B7046"/>
    <w:rsid w:val="005B7F6C"/>
    <w:rsid w:val="005B7F6E"/>
    <w:rsid w:val="005C0881"/>
    <w:rsid w:val="005C270A"/>
    <w:rsid w:val="005C2A57"/>
    <w:rsid w:val="005C2C4B"/>
    <w:rsid w:val="005C2E60"/>
    <w:rsid w:val="005C30C9"/>
    <w:rsid w:val="005C42C3"/>
    <w:rsid w:val="005C4AF6"/>
    <w:rsid w:val="005C5258"/>
    <w:rsid w:val="005C5CD3"/>
    <w:rsid w:val="005C5E66"/>
    <w:rsid w:val="005C6E04"/>
    <w:rsid w:val="005C6F38"/>
    <w:rsid w:val="005C7C3A"/>
    <w:rsid w:val="005D1E02"/>
    <w:rsid w:val="005D2363"/>
    <w:rsid w:val="005D32B7"/>
    <w:rsid w:val="005D3F46"/>
    <w:rsid w:val="005D4515"/>
    <w:rsid w:val="005D5165"/>
    <w:rsid w:val="005D5DBA"/>
    <w:rsid w:val="005D7658"/>
    <w:rsid w:val="005D7F95"/>
    <w:rsid w:val="005E0187"/>
    <w:rsid w:val="005E03F0"/>
    <w:rsid w:val="005E05AD"/>
    <w:rsid w:val="005E1FBC"/>
    <w:rsid w:val="005E3E01"/>
    <w:rsid w:val="005E4990"/>
    <w:rsid w:val="005E4A90"/>
    <w:rsid w:val="005E4BB5"/>
    <w:rsid w:val="005E4D51"/>
    <w:rsid w:val="005E4FBB"/>
    <w:rsid w:val="005E684E"/>
    <w:rsid w:val="005E69F7"/>
    <w:rsid w:val="005E7974"/>
    <w:rsid w:val="005E7D3F"/>
    <w:rsid w:val="005E7E5F"/>
    <w:rsid w:val="005F07E7"/>
    <w:rsid w:val="005F2F58"/>
    <w:rsid w:val="005F3CF6"/>
    <w:rsid w:val="005F4366"/>
    <w:rsid w:val="005F4B4A"/>
    <w:rsid w:val="005F5D77"/>
    <w:rsid w:val="005F61C4"/>
    <w:rsid w:val="00600F04"/>
    <w:rsid w:val="006016EE"/>
    <w:rsid w:val="0060223A"/>
    <w:rsid w:val="006023FD"/>
    <w:rsid w:val="00603345"/>
    <w:rsid w:val="00603B5C"/>
    <w:rsid w:val="00605977"/>
    <w:rsid w:val="00605A4B"/>
    <w:rsid w:val="00605F33"/>
    <w:rsid w:val="006062B2"/>
    <w:rsid w:val="0060651B"/>
    <w:rsid w:val="006075CC"/>
    <w:rsid w:val="006079CF"/>
    <w:rsid w:val="00607F4D"/>
    <w:rsid w:val="006106B8"/>
    <w:rsid w:val="00610FA1"/>
    <w:rsid w:val="0061192A"/>
    <w:rsid w:val="00611F6B"/>
    <w:rsid w:val="00611FAB"/>
    <w:rsid w:val="006122E6"/>
    <w:rsid w:val="006133AD"/>
    <w:rsid w:val="00613F41"/>
    <w:rsid w:val="00614070"/>
    <w:rsid w:val="0061423A"/>
    <w:rsid w:val="00614AA1"/>
    <w:rsid w:val="00614F09"/>
    <w:rsid w:val="006152D4"/>
    <w:rsid w:val="0061550F"/>
    <w:rsid w:val="0061569B"/>
    <w:rsid w:val="00615FD4"/>
    <w:rsid w:val="00616504"/>
    <w:rsid w:val="00616E95"/>
    <w:rsid w:val="00620781"/>
    <w:rsid w:val="006210B0"/>
    <w:rsid w:val="00621218"/>
    <w:rsid w:val="00621387"/>
    <w:rsid w:val="006213F6"/>
    <w:rsid w:val="00621E38"/>
    <w:rsid w:val="006228EF"/>
    <w:rsid w:val="006232DE"/>
    <w:rsid w:val="006235EF"/>
    <w:rsid w:val="0062377D"/>
    <w:rsid w:val="006240C0"/>
    <w:rsid w:val="00624260"/>
    <w:rsid w:val="00626457"/>
    <w:rsid w:val="006272D9"/>
    <w:rsid w:val="00627BD6"/>
    <w:rsid w:val="00627E73"/>
    <w:rsid w:val="00627F7E"/>
    <w:rsid w:val="0063024B"/>
    <w:rsid w:val="006312A0"/>
    <w:rsid w:val="00632283"/>
    <w:rsid w:val="00632508"/>
    <w:rsid w:val="006326CC"/>
    <w:rsid w:val="00633CF4"/>
    <w:rsid w:val="00634421"/>
    <w:rsid w:val="00634EEF"/>
    <w:rsid w:val="00635928"/>
    <w:rsid w:val="00635C67"/>
    <w:rsid w:val="00636221"/>
    <w:rsid w:val="006363A1"/>
    <w:rsid w:val="0063664A"/>
    <w:rsid w:val="006366EF"/>
    <w:rsid w:val="006368B8"/>
    <w:rsid w:val="00636C49"/>
    <w:rsid w:val="006372BB"/>
    <w:rsid w:val="006374FE"/>
    <w:rsid w:val="00637528"/>
    <w:rsid w:val="006401B7"/>
    <w:rsid w:val="00640433"/>
    <w:rsid w:val="00640F70"/>
    <w:rsid w:val="0064100B"/>
    <w:rsid w:val="00641643"/>
    <w:rsid w:val="006419DE"/>
    <w:rsid w:val="00642BE7"/>
    <w:rsid w:val="006433A8"/>
    <w:rsid w:val="00644835"/>
    <w:rsid w:val="006458A2"/>
    <w:rsid w:val="00645FC2"/>
    <w:rsid w:val="00646D6D"/>
    <w:rsid w:val="0064765E"/>
    <w:rsid w:val="0065118D"/>
    <w:rsid w:val="0065158F"/>
    <w:rsid w:val="0065196D"/>
    <w:rsid w:val="00651B37"/>
    <w:rsid w:val="0065324A"/>
    <w:rsid w:val="00653FF9"/>
    <w:rsid w:val="00654527"/>
    <w:rsid w:val="00654BFD"/>
    <w:rsid w:val="00655473"/>
    <w:rsid w:val="0065700D"/>
    <w:rsid w:val="00657192"/>
    <w:rsid w:val="006573B9"/>
    <w:rsid w:val="0066000F"/>
    <w:rsid w:val="00660A7A"/>
    <w:rsid w:val="006614F8"/>
    <w:rsid w:val="006618EA"/>
    <w:rsid w:val="006621AA"/>
    <w:rsid w:val="00662B91"/>
    <w:rsid w:val="0066339E"/>
    <w:rsid w:val="006647E6"/>
    <w:rsid w:val="00665069"/>
    <w:rsid w:val="0066565B"/>
    <w:rsid w:val="00665EBB"/>
    <w:rsid w:val="00665FBF"/>
    <w:rsid w:val="00667668"/>
    <w:rsid w:val="00671389"/>
    <w:rsid w:val="00671E4F"/>
    <w:rsid w:val="00673BE4"/>
    <w:rsid w:val="0067545A"/>
    <w:rsid w:val="006758CC"/>
    <w:rsid w:val="00675BD1"/>
    <w:rsid w:val="00675BE4"/>
    <w:rsid w:val="006761EF"/>
    <w:rsid w:val="00680295"/>
    <w:rsid w:val="00681207"/>
    <w:rsid w:val="00681248"/>
    <w:rsid w:val="00681321"/>
    <w:rsid w:val="0068244E"/>
    <w:rsid w:val="0068252B"/>
    <w:rsid w:val="006825EE"/>
    <w:rsid w:val="00683493"/>
    <w:rsid w:val="00683A66"/>
    <w:rsid w:val="00683C31"/>
    <w:rsid w:val="00684B4B"/>
    <w:rsid w:val="00684C2D"/>
    <w:rsid w:val="00686583"/>
    <w:rsid w:val="00686698"/>
    <w:rsid w:val="006934A2"/>
    <w:rsid w:val="00693662"/>
    <w:rsid w:val="00696D55"/>
    <w:rsid w:val="00697CD5"/>
    <w:rsid w:val="006A0CED"/>
    <w:rsid w:val="006A0D5F"/>
    <w:rsid w:val="006A2118"/>
    <w:rsid w:val="006A252D"/>
    <w:rsid w:val="006A307A"/>
    <w:rsid w:val="006A512C"/>
    <w:rsid w:val="006A7305"/>
    <w:rsid w:val="006B01BF"/>
    <w:rsid w:val="006B110A"/>
    <w:rsid w:val="006B2A6E"/>
    <w:rsid w:val="006B30AA"/>
    <w:rsid w:val="006B3841"/>
    <w:rsid w:val="006B431C"/>
    <w:rsid w:val="006B4739"/>
    <w:rsid w:val="006B4D83"/>
    <w:rsid w:val="006B4F1A"/>
    <w:rsid w:val="006B6015"/>
    <w:rsid w:val="006B6492"/>
    <w:rsid w:val="006C1067"/>
    <w:rsid w:val="006C243B"/>
    <w:rsid w:val="006C270B"/>
    <w:rsid w:val="006C2779"/>
    <w:rsid w:val="006C2A93"/>
    <w:rsid w:val="006C2FC1"/>
    <w:rsid w:val="006C46F3"/>
    <w:rsid w:val="006C4E38"/>
    <w:rsid w:val="006C5C40"/>
    <w:rsid w:val="006C5DB7"/>
    <w:rsid w:val="006C637C"/>
    <w:rsid w:val="006C6810"/>
    <w:rsid w:val="006C71A7"/>
    <w:rsid w:val="006D0AAE"/>
    <w:rsid w:val="006D1DBF"/>
    <w:rsid w:val="006D25CE"/>
    <w:rsid w:val="006D27C7"/>
    <w:rsid w:val="006D2E4E"/>
    <w:rsid w:val="006D3A31"/>
    <w:rsid w:val="006D3A8C"/>
    <w:rsid w:val="006D3D0C"/>
    <w:rsid w:val="006D4577"/>
    <w:rsid w:val="006D49F8"/>
    <w:rsid w:val="006D6DB1"/>
    <w:rsid w:val="006D6EE1"/>
    <w:rsid w:val="006D7088"/>
    <w:rsid w:val="006D7646"/>
    <w:rsid w:val="006D7C5B"/>
    <w:rsid w:val="006D7E7F"/>
    <w:rsid w:val="006E1AA2"/>
    <w:rsid w:val="006E35C4"/>
    <w:rsid w:val="006E4854"/>
    <w:rsid w:val="006E4A74"/>
    <w:rsid w:val="006E566C"/>
    <w:rsid w:val="006E5719"/>
    <w:rsid w:val="006E6B40"/>
    <w:rsid w:val="006E7145"/>
    <w:rsid w:val="006E716E"/>
    <w:rsid w:val="006E7367"/>
    <w:rsid w:val="006F014F"/>
    <w:rsid w:val="006F0282"/>
    <w:rsid w:val="006F0313"/>
    <w:rsid w:val="006F0789"/>
    <w:rsid w:val="006F0EC7"/>
    <w:rsid w:val="006F0FFE"/>
    <w:rsid w:val="006F1BE0"/>
    <w:rsid w:val="006F2C3B"/>
    <w:rsid w:val="006F3646"/>
    <w:rsid w:val="006F4A97"/>
    <w:rsid w:val="006F4B9F"/>
    <w:rsid w:val="006F4ECD"/>
    <w:rsid w:val="006F5677"/>
    <w:rsid w:val="006F5AA1"/>
    <w:rsid w:val="006F7A35"/>
    <w:rsid w:val="006F7AF1"/>
    <w:rsid w:val="0070041F"/>
    <w:rsid w:val="0070070B"/>
    <w:rsid w:val="0070074D"/>
    <w:rsid w:val="00700B0F"/>
    <w:rsid w:val="0070180C"/>
    <w:rsid w:val="0070199E"/>
    <w:rsid w:val="0070401E"/>
    <w:rsid w:val="007045D4"/>
    <w:rsid w:val="007052F3"/>
    <w:rsid w:val="007065DF"/>
    <w:rsid w:val="007104AF"/>
    <w:rsid w:val="007106CB"/>
    <w:rsid w:val="00710B39"/>
    <w:rsid w:val="00711A36"/>
    <w:rsid w:val="007134F1"/>
    <w:rsid w:val="00714743"/>
    <w:rsid w:val="00714A37"/>
    <w:rsid w:val="00714A6B"/>
    <w:rsid w:val="00715291"/>
    <w:rsid w:val="00716009"/>
    <w:rsid w:val="007164C7"/>
    <w:rsid w:val="0071684D"/>
    <w:rsid w:val="0072065D"/>
    <w:rsid w:val="00720BEB"/>
    <w:rsid w:val="00720D74"/>
    <w:rsid w:val="0072170E"/>
    <w:rsid w:val="007218B4"/>
    <w:rsid w:val="007229E6"/>
    <w:rsid w:val="007233AF"/>
    <w:rsid w:val="0072406F"/>
    <w:rsid w:val="00724616"/>
    <w:rsid w:val="00724B3B"/>
    <w:rsid w:val="00724FCE"/>
    <w:rsid w:val="00725BB2"/>
    <w:rsid w:val="00725D24"/>
    <w:rsid w:val="00726896"/>
    <w:rsid w:val="007272D1"/>
    <w:rsid w:val="00727AF4"/>
    <w:rsid w:val="00730AB2"/>
    <w:rsid w:val="00730D7C"/>
    <w:rsid w:val="00731F24"/>
    <w:rsid w:val="0073202F"/>
    <w:rsid w:val="007323AB"/>
    <w:rsid w:val="007329DA"/>
    <w:rsid w:val="00733978"/>
    <w:rsid w:val="00733BE0"/>
    <w:rsid w:val="00733D2D"/>
    <w:rsid w:val="00734F84"/>
    <w:rsid w:val="00735BAF"/>
    <w:rsid w:val="00736508"/>
    <w:rsid w:val="0073704B"/>
    <w:rsid w:val="00740888"/>
    <w:rsid w:val="00742B09"/>
    <w:rsid w:val="00742C11"/>
    <w:rsid w:val="00743915"/>
    <w:rsid w:val="00744C66"/>
    <w:rsid w:val="00746024"/>
    <w:rsid w:val="00746CCC"/>
    <w:rsid w:val="00746F86"/>
    <w:rsid w:val="0074770E"/>
    <w:rsid w:val="00750297"/>
    <w:rsid w:val="007507C7"/>
    <w:rsid w:val="00751333"/>
    <w:rsid w:val="0075447D"/>
    <w:rsid w:val="007558C4"/>
    <w:rsid w:val="00755B0C"/>
    <w:rsid w:val="00756B0D"/>
    <w:rsid w:val="0076022C"/>
    <w:rsid w:val="007612C8"/>
    <w:rsid w:val="0076160B"/>
    <w:rsid w:val="007628EC"/>
    <w:rsid w:val="00763BA5"/>
    <w:rsid w:val="007655C1"/>
    <w:rsid w:val="00765978"/>
    <w:rsid w:val="00766CE4"/>
    <w:rsid w:val="00767656"/>
    <w:rsid w:val="00767EFD"/>
    <w:rsid w:val="007705A0"/>
    <w:rsid w:val="0077171C"/>
    <w:rsid w:val="007729ED"/>
    <w:rsid w:val="00772FB8"/>
    <w:rsid w:val="00773277"/>
    <w:rsid w:val="0077394E"/>
    <w:rsid w:val="00775663"/>
    <w:rsid w:val="00776857"/>
    <w:rsid w:val="00776D3C"/>
    <w:rsid w:val="00777477"/>
    <w:rsid w:val="00782354"/>
    <w:rsid w:val="007848AA"/>
    <w:rsid w:val="00784B89"/>
    <w:rsid w:val="00785A1B"/>
    <w:rsid w:val="00786010"/>
    <w:rsid w:val="00786423"/>
    <w:rsid w:val="007866DC"/>
    <w:rsid w:val="007876CB"/>
    <w:rsid w:val="00787A12"/>
    <w:rsid w:val="00787F84"/>
    <w:rsid w:val="007904AF"/>
    <w:rsid w:val="00790900"/>
    <w:rsid w:val="007926F0"/>
    <w:rsid w:val="0079325F"/>
    <w:rsid w:val="00793353"/>
    <w:rsid w:val="0079416F"/>
    <w:rsid w:val="0079477F"/>
    <w:rsid w:val="00795E27"/>
    <w:rsid w:val="00796779"/>
    <w:rsid w:val="00796CB6"/>
    <w:rsid w:val="00797252"/>
    <w:rsid w:val="007976BB"/>
    <w:rsid w:val="007A2697"/>
    <w:rsid w:val="007A2D4F"/>
    <w:rsid w:val="007A3676"/>
    <w:rsid w:val="007A428B"/>
    <w:rsid w:val="007A4C4A"/>
    <w:rsid w:val="007A4CBF"/>
    <w:rsid w:val="007A6240"/>
    <w:rsid w:val="007A6B2D"/>
    <w:rsid w:val="007B1384"/>
    <w:rsid w:val="007B2B1A"/>
    <w:rsid w:val="007B3DC6"/>
    <w:rsid w:val="007B48E0"/>
    <w:rsid w:val="007B4F0E"/>
    <w:rsid w:val="007B5573"/>
    <w:rsid w:val="007B6EEB"/>
    <w:rsid w:val="007B78E4"/>
    <w:rsid w:val="007C14E6"/>
    <w:rsid w:val="007C22E8"/>
    <w:rsid w:val="007C27F1"/>
    <w:rsid w:val="007C2952"/>
    <w:rsid w:val="007C2E7D"/>
    <w:rsid w:val="007C4416"/>
    <w:rsid w:val="007C461D"/>
    <w:rsid w:val="007C4F39"/>
    <w:rsid w:val="007C57C5"/>
    <w:rsid w:val="007C5DE0"/>
    <w:rsid w:val="007C79C2"/>
    <w:rsid w:val="007D05C0"/>
    <w:rsid w:val="007D1560"/>
    <w:rsid w:val="007D2C45"/>
    <w:rsid w:val="007D55F8"/>
    <w:rsid w:val="007D5948"/>
    <w:rsid w:val="007D68AA"/>
    <w:rsid w:val="007E0120"/>
    <w:rsid w:val="007E04A7"/>
    <w:rsid w:val="007E0EA3"/>
    <w:rsid w:val="007E2EA1"/>
    <w:rsid w:val="007E311F"/>
    <w:rsid w:val="007E3CA0"/>
    <w:rsid w:val="007E480E"/>
    <w:rsid w:val="007E4ABC"/>
    <w:rsid w:val="007E526F"/>
    <w:rsid w:val="007E5E2D"/>
    <w:rsid w:val="007E7212"/>
    <w:rsid w:val="007E7B3C"/>
    <w:rsid w:val="007E7F5D"/>
    <w:rsid w:val="007F0231"/>
    <w:rsid w:val="007F02FE"/>
    <w:rsid w:val="007F0B3D"/>
    <w:rsid w:val="007F1AA7"/>
    <w:rsid w:val="007F3A7A"/>
    <w:rsid w:val="007F535B"/>
    <w:rsid w:val="007F6D01"/>
    <w:rsid w:val="007F70F8"/>
    <w:rsid w:val="007F74BF"/>
    <w:rsid w:val="007F78F2"/>
    <w:rsid w:val="0080061F"/>
    <w:rsid w:val="00800E85"/>
    <w:rsid w:val="00801410"/>
    <w:rsid w:val="00801D3A"/>
    <w:rsid w:val="00803122"/>
    <w:rsid w:val="008031BB"/>
    <w:rsid w:val="00803757"/>
    <w:rsid w:val="008047BE"/>
    <w:rsid w:val="008059D2"/>
    <w:rsid w:val="008062DF"/>
    <w:rsid w:val="0080650D"/>
    <w:rsid w:val="00807453"/>
    <w:rsid w:val="0080775A"/>
    <w:rsid w:val="008079E8"/>
    <w:rsid w:val="00807F14"/>
    <w:rsid w:val="00807F56"/>
    <w:rsid w:val="00811329"/>
    <w:rsid w:val="00811B24"/>
    <w:rsid w:val="00811C17"/>
    <w:rsid w:val="008144CA"/>
    <w:rsid w:val="0081486C"/>
    <w:rsid w:val="008148BC"/>
    <w:rsid w:val="00814EFB"/>
    <w:rsid w:val="008158B2"/>
    <w:rsid w:val="0081654D"/>
    <w:rsid w:val="00816666"/>
    <w:rsid w:val="00816AB6"/>
    <w:rsid w:val="00817A96"/>
    <w:rsid w:val="00817CAD"/>
    <w:rsid w:val="008205F6"/>
    <w:rsid w:val="00821079"/>
    <w:rsid w:val="008214CB"/>
    <w:rsid w:val="00822094"/>
    <w:rsid w:val="00822464"/>
    <w:rsid w:val="008232DF"/>
    <w:rsid w:val="008235BA"/>
    <w:rsid w:val="00823924"/>
    <w:rsid w:val="00824024"/>
    <w:rsid w:val="0082438E"/>
    <w:rsid w:val="00824B6D"/>
    <w:rsid w:val="008262D2"/>
    <w:rsid w:val="00826628"/>
    <w:rsid w:val="008319A6"/>
    <w:rsid w:val="00831CF6"/>
    <w:rsid w:val="00831FFC"/>
    <w:rsid w:val="0083220D"/>
    <w:rsid w:val="008329B5"/>
    <w:rsid w:val="00833C2C"/>
    <w:rsid w:val="00833D49"/>
    <w:rsid w:val="008340A3"/>
    <w:rsid w:val="008344D0"/>
    <w:rsid w:val="00835A6B"/>
    <w:rsid w:val="00836251"/>
    <w:rsid w:val="00837224"/>
    <w:rsid w:val="0083748C"/>
    <w:rsid w:val="008379C6"/>
    <w:rsid w:val="00837B8A"/>
    <w:rsid w:val="0084042A"/>
    <w:rsid w:val="00840E63"/>
    <w:rsid w:val="0084105E"/>
    <w:rsid w:val="008424E2"/>
    <w:rsid w:val="008428D6"/>
    <w:rsid w:val="0084322B"/>
    <w:rsid w:val="0084363E"/>
    <w:rsid w:val="00843BC5"/>
    <w:rsid w:val="00844A3A"/>
    <w:rsid w:val="00844DB2"/>
    <w:rsid w:val="00844F53"/>
    <w:rsid w:val="00846128"/>
    <w:rsid w:val="00846731"/>
    <w:rsid w:val="00847660"/>
    <w:rsid w:val="0084779D"/>
    <w:rsid w:val="00851296"/>
    <w:rsid w:val="0085187E"/>
    <w:rsid w:val="00851FB6"/>
    <w:rsid w:val="008536A3"/>
    <w:rsid w:val="00853D6A"/>
    <w:rsid w:val="0085555B"/>
    <w:rsid w:val="008555AA"/>
    <w:rsid w:val="00857913"/>
    <w:rsid w:val="00861758"/>
    <w:rsid w:val="0086186C"/>
    <w:rsid w:val="00861A5B"/>
    <w:rsid w:val="008622A7"/>
    <w:rsid w:val="0086266B"/>
    <w:rsid w:val="00862FD9"/>
    <w:rsid w:val="0086355D"/>
    <w:rsid w:val="008638B0"/>
    <w:rsid w:val="0086563A"/>
    <w:rsid w:val="00865F79"/>
    <w:rsid w:val="00867488"/>
    <w:rsid w:val="00867EFF"/>
    <w:rsid w:val="00867FFD"/>
    <w:rsid w:val="0087112F"/>
    <w:rsid w:val="00872487"/>
    <w:rsid w:val="008724DD"/>
    <w:rsid w:val="008729CD"/>
    <w:rsid w:val="00872DE6"/>
    <w:rsid w:val="00873606"/>
    <w:rsid w:val="00873990"/>
    <w:rsid w:val="008745EE"/>
    <w:rsid w:val="0087469C"/>
    <w:rsid w:val="0087659E"/>
    <w:rsid w:val="0087739B"/>
    <w:rsid w:val="008775D4"/>
    <w:rsid w:val="008775EF"/>
    <w:rsid w:val="00882F37"/>
    <w:rsid w:val="0088327E"/>
    <w:rsid w:val="008844F2"/>
    <w:rsid w:val="0088521F"/>
    <w:rsid w:val="008852A5"/>
    <w:rsid w:val="008862BD"/>
    <w:rsid w:val="008864AE"/>
    <w:rsid w:val="0088664E"/>
    <w:rsid w:val="00887F4D"/>
    <w:rsid w:val="00890282"/>
    <w:rsid w:val="00894184"/>
    <w:rsid w:val="00894583"/>
    <w:rsid w:val="00894881"/>
    <w:rsid w:val="00896023"/>
    <w:rsid w:val="008961FB"/>
    <w:rsid w:val="008975CA"/>
    <w:rsid w:val="00897693"/>
    <w:rsid w:val="008A0498"/>
    <w:rsid w:val="008A0B88"/>
    <w:rsid w:val="008A15A4"/>
    <w:rsid w:val="008A1EE8"/>
    <w:rsid w:val="008A5B97"/>
    <w:rsid w:val="008A6202"/>
    <w:rsid w:val="008A6A32"/>
    <w:rsid w:val="008A7ABE"/>
    <w:rsid w:val="008B15CE"/>
    <w:rsid w:val="008B243A"/>
    <w:rsid w:val="008B4348"/>
    <w:rsid w:val="008B6607"/>
    <w:rsid w:val="008B6B5C"/>
    <w:rsid w:val="008B7206"/>
    <w:rsid w:val="008C08EB"/>
    <w:rsid w:val="008C1F59"/>
    <w:rsid w:val="008C3489"/>
    <w:rsid w:val="008C3BFC"/>
    <w:rsid w:val="008C4156"/>
    <w:rsid w:val="008C5504"/>
    <w:rsid w:val="008C5FBC"/>
    <w:rsid w:val="008C6A6B"/>
    <w:rsid w:val="008C768A"/>
    <w:rsid w:val="008C7FD2"/>
    <w:rsid w:val="008D0C38"/>
    <w:rsid w:val="008D18FB"/>
    <w:rsid w:val="008D280D"/>
    <w:rsid w:val="008D313A"/>
    <w:rsid w:val="008D4EC3"/>
    <w:rsid w:val="008D5E96"/>
    <w:rsid w:val="008D6248"/>
    <w:rsid w:val="008D71C0"/>
    <w:rsid w:val="008E09CA"/>
    <w:rsid w:val="008E0F57"/>
    <w:rsid w:val="008E233B"/>
    <w:rsid w:val="008E2CB2"/>
    <w:rsid w:val="008E2E4C"/>
    <w:rsid w:val="008E30BD"/>
    <w:rsid w:val="008E35D7"/>
    <w:rsid w:val="008E5142"/>
    <w:rsid w:val="008E5592"/>
    <w:rsid w:val="008E5721"/>
    <w:rsid w:val="008F02B2"/>
    <w:rsid w:val="008F0A45"/>
    <w:rsid w:val="008F0CDC"/>
    <w:rsid w:val="008F1676"/>
    <w:rsid w:val="008F18B2"/>
    <w:rsid w:val="008F1E7C"/>
    <w:rsid w:val="008F2314"/>
    <w:rsid w:val="008F27F9"/>
    <w:rsid w:val="008F42B8"/>
    <w:rsid w:val="008F4741"/>
    <w:rsid w:val="008F675B"/>
    <w:rsid w:val="008F6894"/>
    <w:rsid w:val="008F722C"/>
    <w:rsid w:val="009016B6"/>
    <w:rsid w:val="009025F6"/>
    <w:rsid w:val="00902EF9"/>
    <w:rsid w:val="009035F8"/>
    <w:rsid w:val="00903B0A"/>
    <w:rsid w:val="009045B3"/>
    <w:rsid w:val="0090461F"/>
    <w:rsid w:val="00904F2D"/>
    <w:rsid w:val="00905BAD"/>
    <w:rsid w:val="009064DC"/>
    <w:rsid w:val="009073FB"/>
    <w:rsid w:val="00907FE9"/>
    <w:rsid w:val="009114D9"/>
    <w:rsid w:val="00911830"/>
    <w:rsid w:val="00911AB5"/>
    <w:rsid w:val="009121F9"/>
    <w:rsid w:val="009127EB"/>
    <w:rsid w:val="00912C4A"/>
    <w:rsid w:val="00915393"/>
    <w:rsid w:val="009157DC"/>
    <w:rsid w:val="009160C0"/>
    <w:rsid w:val="00916536"/>
    <w:rsid w:val="00917C1D"/>
    <w:rsid w:val="00917D77"/>
    <w:rsid w:val="00920CE1"/>
    <w:rsid w:val="00921199"/>
    <w:rsid w:val="00921F64"/>
    <w:rsid w:val="00922CB9"/>
    <w:rsid w:val="0092322E"/>
    <w:rsid w:val="009233C1"/>
    <w:rsid w:val="00924435"/>
    <w:rsid w:val="009247C7"/>
    <w:rsid w:val="00924F3A"/>
    <w:rsid w:val="00925F3D"/>
    <w:rsid w:val="00926D40"/>
    <w:rsid w:val="00927FB8"/>
    <w:rsid w:val="00933A92"/>
    <w:rsid w:val="00934360"/>
    <w:rsid w:val="0093457C"/>
    <w:rsid w:val="009348A6"/>
    <w:rsid w:val="00934ADE"/>
    <w:rsid w:val="00935090"/>
    <w:rsid w:val="00935797"/>
    <w:rsid w:val="00936431"/>
    <w:rsid w:val="00936AF4"/>
    <w:rsid w:val="009375B7"/>
    <w:rsid w:val="00940346"/>
    <w:rsid w:val="00940896"/>
    <w:rsid w:val="00942007"/>
    <w:rsid w:val="00943105"/>
    <w:rsid w:val="0094377C"/>
    <w:rsid w:val="00943D40"/>
    <w:rsid w:val="009441C1"/>
    <w:rsid w:val="00944C08"/>
    <w:rsid w:val="00945268"/>
    <w:rsid w:val="009467B0"/>
    <w:rsid w:val="00946BAF"/>
    <w:rsid w:val="009512FA"/>
    <w:rsid w:val="00952BA3"/>
    <w:rsid w:val="00952BFE"/>
    <w:rsid w:val="00952C73"/>
    <w:rsid w:val="00953300"/>
    <w:rsid w:val="00954940"/>
    <w:rsid w:val="00955941"/>
    <w:rsid w:val="009559F2"/>
    <w:rsid w:val="00955C16"/>
    <w:rsid w:val="009563E0"/>
    <w:rsid w:val="00956D6B"/>
    <w:rsid w:val="009575AA"/>
    <w:rsid w:val="00960669"/>
    <w:rsid w:val="009606A0"/>
    <w:rsid w:val="009610E3"/>
    <w:rsid w:val="0096174A"/>
    <w:rsid w:val="009623BC"/>
    <w:rsid w:val="00962EDA"/>
    <w:rsid w:val="009630A6"/>
    <w:rsid w:val="00964098"/>
    <w:rsid w:val="0096585F"/>
    <w:rsid w:val="00965952"/>
    <w:rsid w:val="00965AF2"/>
    <w:rsid w:val="0096624E"/>
    <w:rsid w:val="00966E13"/>
    <w:rsid w:val="0096707C"/>
    <w:rsid w:val="0096731B"/>
    <w:rsid w:val="00967626"/>
    <w:rsid w:val="00967C6E"/>
    <w:rsid w:val="00967F00"/>
    <w:rsid w:val="00970002"/>
    <w:rsid w:val="009701E8"/>
    <w:rsid w:val="0097045F"/>
    <w:rsid w:val="00970A33"/>
    <w:rsid w:val="00970E18"/>
    <w:rsid w:val="0097158E"/>
    <w:rsid w:val="0097182E"/>
    <w:rsid w:val="009720A1"/>
    <w:rsid w:val="00972898"/>
    <w:rsid w:val="00974A93"/>
    <w:rsid w:val="00976693"/>
    <w:rsid w:val="00976F45"/>
    <w:rsid w:val="00981CB2"/>
    <w:rsid w:val="009827B9"/>
    <w:rsid w:val="00982DBD"/>
    <w:rsid w:val="009831F1"/>
    <w:rsid w:val="00984BF7"/>
    <w:rsid w:val="00985AE2"/>
    <w:rsid w:val="00986F1F"/>
    <w:rsid w:val="009879A5"/>
    <w:rsid w:val="00987F70"/>
    <w:rsid w:val="0099068A"/>
    <w:rsid w:val="00990D3D"/>
    <w:rsid w:val="00992747"/>
    <w:rsid w:val="00992B11"/>
    <w:rsid w:val="00993B6D"/>
    <w:rsid w:val="00994588"/>
    <w:rsid w:val="009945FC"/>
    <w:rsid w:val="0099519F"/>
    <w:rsid w:val="00995742"/>
    <w:rsid w:val="009966F2"/>
    <w:rsid w:val="009A1B9C"/>
    <w:rsid w:val="009A1D64"/>
    <w:rsid w:val="009A253C"/>
    <w:rsid w:val="009A2B15"/>
    <w:rsid w:val="009A3D55"/>
    <w:rsid w:val="009A42BD"/>
    <w:rsid w:val="009A6285"/>
    <w:rsid w:val="009A6B33"/>
    <w:rsid w:val="009A6E7C"/>
    <w:rsid w:val="009A719C"/>
    <w:rsid w:val="009A727C"/>
    <w:rsid w:val="009A72C2"/>
    <w:rsid w:val="009B1BF5"/>
    <w:rsid w:val="009B4445"/>
    <w:rsid w:val="009B4682"/>
    <w:rsid w:val="009B6079"/>
    <w:rsid w:val="009B6502"/>
    <w:rsid w:val="009B65B2"/>
    <w:rsid w:val="009B65D1"/>
    <w:rsid w:val="009B78A6"/>
    <w:rsid w:val="009B7EC4"/>
    <w:rsid w:val="009B7EC6"/>
    <w:rsid w:val="009C0FEC"/>
    <w:rsid w:val="009C1C48"/>
    <w:rsid w:val="009C1C68"/>
    <w:rsid w:val="009C1D3D"/>
    <w:rsid w:val="009C20D7"/>
    <w:rsid w:val="009C2E55"/>
    <w:rsid w:val="009C4796"/>
    <w:rsid w:val="009C72FF"/>
    <w:rsid w:val="009C7C69"/>
    <w:rsid w:val="009D186C"/>
    <w:rsid w:val="009D1EC7"/>
    <w:rsid w:val="009D264E"/>
    <w:rsid w:val="009D2AC3"/>
    <w:rsid w:val="009D2E8E"/>
    <w:rsid w:val="009D2FB0"/>
    <w:rsid w:val="009D32DF"/>
    <w:rsid w:val="009D3AAF"/>
    <w:rsid w:val="009D3D04"/>
    <w:rsid w:val="009D5929"/>
    <w:rsid w:val="009D7EF9"/>
    <w:rsid w:val="009E03F6"/>
    <w:rsid w:val="009E07F2"/>
    <w:rsid w:val="009E0C68"/>
    <w:rsid w:val="009E1241"/>
    <w:rsid w:val="009E147B"/>
    <w:rsid w:val="009E2453"/>
    <w:rsid w:val="009E6094"/>
    <w:rsid w:val="009E7790"/>
    <w:rsid w:val="009E7FB2"/>
    <w:rsid w:val="009F021F"/>
    <w:rsid w:val="009F1768"/>
    <w:rsid w:val="009F3237"/>
    <w:rsid w:val="009F5517"/>
    <w:rsid w:val="009F5AB2"/>
    <w:rsid w:val="009F66EC"/>
    <w:rsid w:val="009F6AFA"/>
    <w:rsid w:val="00A00699"/>
    <w:rsid w:val="00A008DB"/>
    <w:rsid w:val="00A00953"/>
    <w:rsid w:val="00A00ABD"/>
    <w:rsid w:val="00A00D17"/>
    <w:rsid w:val="00A01003"/>
    <w:rsid w:val="00A01730"/>
    <w:rsid w:val="00A02368"/>
    <w:rsid w:val="00A0238C"/>
    <w:rsid w:val="00A03449"/>
    <w:rsid w:val="00A03D39"/>
    <w:rsid w:val="00A04650"/>
    <w:rsid w:val="00A04FC7"/>
    <w:rsid w:val="00A052C7"/>
    <w:rsid w:val="00A0558A"/>
    <w:rsid w:val="00A05FE1"/>
    <w:rsid w:val="00A06C97"/>
    <w:rsid w:val="00A0724A"/>
    <w:rsid w:val="00A07C05"/>
    <w:rsid w:val="00A10306"/>
    <w:rsid w:val="00A10E79"/>
    <w:rsid w:val="00A113ED"/>
    <w:rsid w:val="00A131D7"/>
    <w:rsid w:val="00A13AF7"/>
    <w:rsid w:val="00A13F7C"/>
    <w:rsid w:val="00A144A1"/>
    <w:rsid w:val="00A14B5A"/>
    <w:rsid w:val="00A14E1C"/>
    <w:rsid w:val="00A1506A"/>
    <w:rsid w:val="00A156B4"/>
    <w:rsid w:val="00A16386"/>
    <w:rsid w:val="00A1709F"/>
    <w:rsid w:val="00A1786B"/>
    <w:rsid w:val="00A20531"/>
    <w:rsid w:val="00A20F92"/>
    <w:rsid w:val="00A2211E"/>
    <w:rsid w:val="00A22AB5"/>
    <w:rsid w:val="00A235D4"/>
    <w:rsid w:val="00A24197"/>
    <w:rsid w:val="00A24E1A"/>
    <w:rsid w:val="00A25AF5"/>
    <w:rsid w:val="00A25D33"/>
    <w:rsid w:val="00A2702A"/>
    <w:rsid w:val="00A27C8B"/>
    <w:rsid w:val="00A27F80"/>
    <w:rsid w:val="00A31584"/>
    <w:rsid w:val="00A31BCC"/>
    <w:rsid w:val="00A31C5D"/>
    <w:rsid w:val="00A31D6B"/>
    <w:rsid w:val="00A32068"/>
    <w:rsid w:val="00A3245D"/>
    <w:rsid w:val="00A33670"/>
    <w:rsid w:val="00A34014"/>
    <w:rsid w:val="00A34050"/>
    <w:rsid w:val="00A343BC"/>
    <w:rsid w:val="00A34494"/>
    <w:rsid w:val="00A34F34"/>
    <w:rsid w:val="00A34FE2"/>
    <w:rsid w:val="00A353DE"/>
    <w:rsid w:val="00A35E47"/>
    <w:rsid w:val="00A35F48"/>
    <w:rsid w:val="00A36180"/>
    <w:rsid w:val="00A3628C"/>
    <w:rsid w:val="00A375A9"/>
    <w:rsid w:val="00A378BD"/>
    <w:rsid w:val="00A37D67"/>
    <w:rsid w:val="00A37FD2"/>
    <w:rsid w:val="00A4129B"/>
    <w:rsid w:val="00A42117"/>
    <w:rsid w:val="00A42C6E"/>
    <w:rsid w:val="00A43A13"/>
    <w:rsid w:val="00A446CB"/>
    <w:rsid w:val="00A44809"/>
    <w:rsid w:val="00A44BAF"/>
    <w:rsid w:val="00A454B4"/>
    <w:rsid w:val="00A45B7F"/>
    <w:rsid w:val="00A473D2"/>
    <w:rsid w:val="00A478E8"/>
    <w:rsid w:val="00A501B6"/>
    <w:rsid w:val="00A50794"/>
    <w:rsid w:val="00A523A5"/>
    <w:rsid w:val="00A52904"/>
    <w:rsid w:val="00A54083"/>
    <w:rsid w:val="00A5428D"/>
    <w:rsid w:val="00A54F91"/>
    <w:rsid w:val="00A5520A"/>
    <w:rsid w:val="00A5529C"/>
    <w:rsid w:val="00A55736"/>
    <w:rsid w:val="00A565BE"/>
    <w:rsid w:val="00A56A75"/>
    <w:rsid w:val="00A5761D"/>
    <w:rsid w:val="00A579E6"/>
    <w:rsid w:val="00A57CA6"/>
    <w:rsid w:val="00A6079C"/>
    <w:rsid w:val="00A615F6"/>
    <w:rsid w:val="00A63C2E"/>
    <w:rsid w:val="00A66830"/>
    <w:rsid w:val="00A66D18"/>
    <w:rsid w:val="00A67923"/>
    <w:rsid w:val="00A67DAD"/>
    <w:rsid w:val="00A70350"/>
    <w:rsid w:val="00A703ED"/>
    <w:rsid w:val="00A71F97"/>
    <w:rsid w:val="00A72F45"/>
    <w:rsid w:val="00A73678"/>
    <w:rsid w:val="00A736C4"/>
    <w:rsid w:val="00A742D5"/>
    <w:rsid w:val="00A74461"/>
    <w:rsid w:val="00A74E81"/>
    <w:rsid w:val="00A76592"/>
    <w:rsid w:val="00A76F89"/>
    <w:rsid w:val="00A80281"/>
    <w:rsid w:val="00A80849"/>
    <w:rsid w:val="00A8220C"/>
    <w:rsid w:val="00A8276F"/>
    <w:rsid w:val="00A82790"/>
    <w:rsid w:val="00A83B00"/>
    <w:rsid w:val="00A83E38"/>
    <w:rsid w:val="00A850C2"/>
    <w:rsid w:val="00A85909"/>
    <w:rsid w:val="00A85B7B"/>
    <w:rsid w:val="00A8610A"/>
    <w:rsid w:val="00A871CC"/>
    <w:rsid w:val="00A87493"/>
    <w:rsid w:val="00A8778B"/>
    <w:rsid w:val="00A901B4"/>
    <w:rsid w:val="00A90626"/>
    <w:rsid w:val="00A90D17"/>
    <w:rsid w:val="00A90E35"/>
    <w:rsid w:val="00A91255"/>
    <w:rsid w:val="00A91E0A"/>
    <w:rsid w:val="00A93217"/>
    <w:rsid w:val="00A934A4"/>
    <w:rsid w:val="00A93ADE"/>
    <w:rsid w:val="00A93BB4"/>
    <w:rsid w:val="00A93CCA"/>
    <w:rsid w:val="00A966FE"/>
    <w:rsid w:val="00A96C26"/>
    <w:rsid w:val="00A976AD"/>
    <w:rsid w:val="00AA020D"/>
    <w:rsid w:val="00AA1908"/>
    <w:rsid w:val="00AA1CCE"/>
    <w:rsid w:val="00AA3AD5"/>
    <w:rsid w:val="00AA3E84"/>
    <w:rsid w:val="00AA4174"/>
    <w:rsid w:val="00AA44D9"/>
    <w:rsid w:val="00AA4B54"/>
    <w:rsid w:val="00AA4C56"/>
    <w:rsid w:val="00AA4D75"/>
    <w:rsid w:val="00AA4F45"/>
    <w:rsid w:val="00AA5520"/>
    <w:rsid w:val="00AA576D"/>
    <w:rsid w:val="00AA5BE1"/>
    <w:rsid w:val="00AA62F7"/>
    <w:rsid w:val="00AA6979"/>
    <w:rsid w:val="00AA6BB6"/>
    <w:rsid w:val="00AA7402"/>
    <w:rsid w:val="00AA77AD"/>
    <w:rsid w:val="00AB00F9"/>
    <w:rsid w:val="00AB0BE9"/>
    <w:rsid w:val="00AB0FC9"/>
    <w:rsid w:val="00AB195F"/>
    <w:rsid w:val="00AB1ED8"/>
    <w:rsid w:val="00AB22A5"/>
    <w:rsid w:val="00AB23A6"/>
    <w:rsid w:val="00AB25BD"/>
    <w:rsid w:val="00AB2918"/>
    <w:rsid w:val="00AB31AD"/>
    <w:rsid w:val="00AB571E"/>
    <w:rsid w:val="00AB6DBF"/>
    <w:rsid w:val="00AB7F8C"/>
    <w:rsid w:val="00AC1672"/>
    <w:rsid w:val="00AC1789"/>
    <w:rsid w:val="00AC1BF5"/>
    <w:rsid w:val="00AC36A4"/>
    <w:rsid w:val="00AC3C49"/>
    <w:rsid w:val="00AC43FD"/>
    <w:rsid w:val="00AC4E0B"/>
    <w:rsid w:val="00AC6019"/>
    <w:rsid w:val="00AC6443"/>
    <w:rsid w:val="00AC6884"/>
    <w:rsid w:val="00AC7083"/>
    <w:rsid w:val="00AC727E"/>
    <w:rsid w:val="00AC7621"/>
    <w:rsid w:val="00AD0175"/>
    <w:rsid w:val="00AD029C"/>
    <w:rsid w:val="00AD162C"/>
    <w:rsid w:val="00AD191D"/>
    <w:rsid w:val="00AD1D48"/>
    <w:rsid w:val="00AD20D7"/>
    <w:rsid w:val="00AD2147"/>
    <w:rsid w:val="00AD35C2"/>
    <w:rsid w:val="00AD43D3"/>
    <w:rsid w:val="00AD64F5"/>
    <w:rsid w:val="00AD69AD"/>
    <w:rsid w:val="00AD70CB"/>
    <w:rsid w:val="00AE01E8"/>
    <w:rsid w:val="00AE08B7"/>
    <w:rsid w:val="00AE0B43"/>
    <w:rsid w:val="00AE0CFF"/>
    <w:rsid w:val="00AE0DD8"/>
    <w:rsid w:val="00AE109D"/>
    <w:rsid w:val="00AE3D40"/>
    <w:rsid w:val="00AE420A"/>
    <w:rsid w:val="00AE50DA"/>
    <w:rsid w:val="00AE5826"/>
    <w:rsid w:val="00AE59BD"/>
    <w:rsid w:val="00AE5A4E"/>
    <w:rsid w:val="00AE63F2"/>
    <w:rsid w:val="00AF0609"/>
    <w:rsid w:val="00AF0A69"/>
    <w:rsid w:val="00AF214F"/>
    <w:rsid w:val="00AF2B77"/>
    <w:rsid w:val="00AF327F"/>
    <w:rsid w:val="00AF43A2"/>
    <w:rsid w:val="00AF624B"/>
    <w:rsid w:val="00B001E5"/>
    <w:rsid w:val="00B01787"/>
    <w:rsid w:val="00B01991"/>
    <w:rsid w:val="00B02338"/>
    <w:rsid w:val="00B03352"/>
    <w:rsid w:val="00B038B4"/>
    <w:rsid w:val="00B048F6"/>
    <w:rsid w:val="00B05DE0"/>
    <w:rsid w:val="00B063CE"/>
    <w:rsid w:val="00B07576"/>
    <w:rsid w:val="00B075FA"/>
    <w:rsid w:val="00B07847"/>
    <w:rsid w:val="00B078A2"/>
    <w:rsid w:val="00B07D6E"/>
    <w:rsid w:val="00B07E74"/>
    <w:rsid w:val="00B10DE8"/>
    <w:rsid w:val="00B12594"/>
    <w:rsid w:val="00B12620"/>
    <w:rsid w:val="00B13355"/>
    <w:rsid w:val="00B13692"/>
    <w:rsid w:val="00B13D45"/>
    <w:rsid w:val="00B15EE7"/>
    <w:rsid w:val="00B17304"/>
    <w:rsid w:val="00B17718"/>
    <w:rsid w:val="00B17F7C"/>
    <w:rsid w:val="00B22790"/>
    <w:rsid w:val="00B23489"/>
    <w:rsid w:val="00B24670"/>
    <w:rsid w:val="00B24C26"/>
    <w:rsid w:val="00B256E8"/>
    <w:rsid w:val="00B25C4A"/>
    <w:rsid w:val="00B26122"/>
    <w:rsid w:val="00B262F2"/>
    <w:rsid w:val="00B30070"/>
    <w:rsid w:val="00B30EEC"/>
    <w:rsid w:val="00B31DB4"/>
    <w:rsid w:val="00B32A81"/>
    <w:rsid w:val="00B3309B"/>
    <w:rsid w:val="00B334CE"/>
    <w:rsid w:val="00B33974"/>
    <w:rsid w:val="00B33ABF"/>
    <w:rsid w:val="00B33C28"/>
    <w:rsid w:val="00B33D8D"/>
    <w:rsid w:val="00B34556"/>
    <w:rsid w:val="00B36131"/>
    <w:rsid w:val="00B36AE4"/>
    <w:rsid w:val="00B37AAE"/>
    <w:rsid w:val="00B37F2C"/>
    <w:rsid w:val="00B40328"/>
    <w:rsid w:val="00B40A3B"/>
    <w:rsid w:val="00B41666"/>
    <w:rsid w:val="00B425CD"/>
    <w:rsid w:val="00B435E1"/>
    <w:rsid w:val="00B43F45"/>
    <w:rsid w:val="00B4450C"/>
    <w:rsid w:val="00B45099"/>
    <w:rsid w:val="00B451C5"/>
    <w:rsid w:val="00B46E97"/>
    <w:rsid w:val="00B4721D"/>
    <w:rsid w:val="00B50F2A"/>
    <w:rsid w:val="00B5125D"/>
    <w:rsid w:val="00B536D0"/>
    <w:rsid w:val="00B55B9B"/>
    <w:rsid w:val="00B57516"/>
    <w:rsid w:val="00B57E88"/>
    <w:rsid w:val="00B6016F"/>
    <w:rsid w:val="00B60210"/>
    <w:rsid w:val="00B60A7B"/>
    <w:rsid w:val="00B611CB"/>
    <w:rsid w:val="00B6248C"/>
    <w:rsid w:val="00B6285F"/>
    <w:rsid w:val="00B62A41"/>
    <w:rsid w:val="00B62BA9"/>
    <w:rsid w:val="00B63223"/>
    <w:rsid w:val="00B6352B"/>
    <w:rsid w:val="00B636F7"/>
    <w:rsid w:val="00B63933"/>
    <w:rsid w:val="00B63978"/>
    <w:rsid w:val="00B6411D"/>
    <w:rsid w:val="00B64BA1"/>
    <w:rsid w:val="00B64CC5"/>
    <w:rsid w:val="00B652AF"/>
    <w:rsid w:val="00B6717B"/>
    <w:rsid w:val="00B676AA"/>
    <w:rsid w:val="00B708C5"/>
    <w:rsid w:val="00B719BB"/>
    <w:rsid w:val="00B71E52"/>
    <w:rsid w:val="00B72324"/>
    <w:rsid w:val="00B72F41"/>
    <w:rsid w:val="00B73D06"/>
    <w:rsid w:val="00B7450C"/>
    <w:rsid w:val="00B74CB8"/>
    <w:rsid w:val="00B750F6"/>
    <w:rsid w:val="00B75D8A"/>
    <w:rsid w:val="00B763ED"/>
    <w:rsid w:val="00B770A2"/>
    <w:rsid w:val="00B778F3"/>
    <w:rsid w:val="00B80590"/>
    <w:rsid w:val="00B814F5"/>
    <w:rsid w:val="00B8243C"/>
    <w:rsid w:val="00B83294"/>
    <w:rsid w:val="00B833D3"/>
    <w:rsid w:val="00B83797"/>
    <w:rsid w:val="00B84335"/>
    <w:rsid w:val="00B854EC"/>
    <w:rsid w:val="00B8559F"/>
    <w:rsid w:val="00B859EF"/>
    <w:rsid w:val="00B86861"/>
    <w:rsid w:val="00B90229"/>
    <w:rsid w:val="00B90CFA"/>
    <w:rsid w:val="00B90E49"/>
    <w:rsid w:val="00B91D91"/>
    <w:rsid w:val="00B94219"/>
    <w:rsid w:val="00B94A87"/>
    <w:rsid w:val="00B94D37"/>
    <w:rsid w:val="00B9571D"/>
    <w:rsid w:val="00B95815"/>
    <w:rsid w:val="00B97FAE"/>
    <w:rsid w:val="00BA0D28"/>
    <w:rsid w:val="00BA0DE5"/>
    <w:rsid w:val="00BA105B"/>
    <w:rsid w:val="00BA29B8"/>
    <w:rsid w:val="00BA353B"/>
    <w:rsid w:val="00BA37FD"/>
    <w:rsid w:val="00BA41CA"/>
    <w:rsid w:val="00BA4AF9"/>
    <w:rsid w:val="00BA4CE3"/>
    <w:rsid w:val="00BA500A"/>
    <w:rsid w:val="00BA5F8E"/>
    <w:rsid w:val="00BB0116"/>
    <w:rsid w:val="00BB022B"/>
    <w:rsid w:val="00BB050D"/>
    <w:rsid w:val="00BB162F"/>
    <w:rsid w:val="00BB195E"/>
    <w:rsid w:val="00BB225E"/>
    <w:rsid w:val="00BB3433"/>
    <w:rsid w:val="00BB34CB"/>
    <w:rsid w:val="00BB3671"/>
    <w:rsid w:val="00BB4220"/>
    <w:rsid w:val="00BB4A40"/>
    <w:rsid w:val="00BB4AB7"/>
    <w:rsid w:val="00BB7C78"/>
    <w:rsid w:val="00BC1E27"/>
    <w:rsid w:val="00BC1E48"/>
    <w:rsid w:val="00BC2D94"/>
    <w:rsid w:val="00BC2FD3"/>
    <w:rsid w:val="00BC3155"/>
    <w:rsid w:val="00BC3BD2"/>
    <w:rsid w:val="00BC5980"/>
    <w:rsid w:val="00BC637C"/>
    <w:rsid w:val="00BC6B62"/>
    <w:rsid w:val="00BC6C8C"/>
    <w:rsid w:val="00BC7630"/>
    <w:rsid w:val="00BD0299"/>
    <w:rsid w:val="00BD0FAD"/>
    <w:rsid w:val="00BD0FC6"/>
    <w:rsid w:val="00BD1064"/>
    <w:rsid w:val="00BD302D"/>
    <w:rsid w:val="00BD3508"/>
    <w:rsid w:val="00BD3C51"/>
    <w:rsid w:val="00BD4084"/>
    <w:rsid w:val="00BD48B8"/>
    <w:rsid w:val="00BD5ED3"/>
    <w:rsid w:val="00BD5EF6"/>
    <w:rsid w:val="00BD614B"/>
    <w:rsid w:val="00BD6A2B"/>
    <w:rsid w:val="00BD6BD3"/>
    <w:rsid w:val="00BD7A82"/>
    <w:rsid w:val="00BE0A4E"/>
    <w:rsid w:val="00BE1B0E"/>
    <w:rsid w:val="00BE2059"/>
    <w:rsid w:val="00BE2585"/>
    <w:rsid w:val="00BE2B99"/>
    <w:rsid w:val="00BE2C85"/>
    <w:rsid w:val="00BE3E64"/>
    <w:rsid w:val="00BE4B75"/>
    <w:rsid w:val="00BE5370"/>
    <w:rsid w:val="00BE56E2"/>
    <w:rsid w:val="00BE69DA"/>
    <w:rsid w:val="00BE7A1E"/>
    <w:rsid w:val="00BF08FC"/>
    <w:rsid w:val="00BF1260"/>
    <w:rsid w:val="00BF25A7"/>
    <w:rsid w:val="00BF5544"/>
    <w:rsid w:val="00BF5A57"/>
    <w:rsid w:val="00BF5CE9"/>
    <w:rsid w:val="00BF60A2"/>
    <w:rsid w:val="00BF69BC"/>
    <w:rsid w:val="00BF70E7"/>
    <w:rsid w:val="00BF7132"/>
    <w:rsid w:val="00BF7AAC"/>
    <w:rsid w:val="00C003F1"/>
    <w:rsid w:val="00C00D0B"/>
    <w:rsid w:val="00C0129A"/>
    <w:rsid w:val="00C04EFB"/>
    <w:rsid w:val="00C04F5A"/>
    <w:rsid w:val="00C05450"/>
    <w:rsid w:val="00C059A5"/>
    <w:rsid w:val="00C05D68"/>
    <w:rsid w:val="00C05F62"/>
    <w:rsid w:val="00C06A14"/>
    <w:rsid w:val="00C07DE5"/>
    <w:rsid w:val="00C1057B"/>
    <w:rsid w:val="00C11CC8"/>
    <w:rsid w:val="00C11D35"/>
    <w:rsid w:val="00C11DFE"/>
    <w:rsid w:val="00C1514E"/>
    <w:rsid w:val="00C1581E"/>
    <w:rsid w:val="00C15D48"/>
    <w:rsid w:val="00C1691F"/>
    <w:rsid w:val="00C16BE1"/>
    <w:rsid w:val="00C16FF0"/>
    <w:rsid w:val="00C17C60"/>
    <w:rsid w:val="00C204A6"/>
    <w:rsid w:val="00C20893"/>
    <w:rsid w:val="00C20BAB"/>
    <w:rsid w:val="00C20BC4"/>
    <w:rsid w:val="00C21328"/>
    <w:rsid w:val="00C2176C"/>
    <w:rsid w:val="00C21BB5"/>
    <w:rsid w:val="00C2269E"/>
    <w:rsid w:val="00C226CD"/>
    <w:rsid w:val="00C22DEF"/>
    <w:rsid w:val="00C23D2D"/>
    <w:rsid w:val="00C2514D"/>
    <w:rsid w:val="00C2543F"/>
    <w:rsid w:val="00C25639"/>
    <w:rsid w:val="00C25FA0"/>
    <w:rsid w:val="00C26667"/>
    <w:rsid w:val="00C26D60"/>
    <w:rsid w:val="00C26F43"/>
    <w:rsid w:val="00C2700F"/>
    <w:rsid w:val="00C27DAF"/>
    <w:rsid w:val="00C30984"/>
    <w:rsid w:val="00C3145C"/>
    <w:rsid w:val="00C31CB6"/>
    <w:rsid w:val="00C32C65"/>
    <w:rsid w:val="00C3312A"/>
    <w:rsid w:val="00C339DC"/>
    <w:rsid w:val="00C33DD2"/>
    <w:rsid w:val="00C3492D"/>
    <w:rsid w:val="00C34B67"/>
    <w:rsid w:val="00C34B71"/>
    <w:rsid w:val="00C34CA4"/>
    <w:rsid w:val="00C34EA3"/>
    <w:rsid w:val="00C3558F"/>
    <w:rsid w:val="00C358E3"/>
    <w:rsid w:val="00C379B8"/>
    <w:rsid w:val="00C402FA"/>
    <w:rsid w:val="00C4033B"/>
    <w:rsid w:val="00C40D94"/>
    <w:rsid w:val="00C42F06"/>
    <w:rsid w:val="00C42FA2"/>
    <w:rsid w:val="00C44F6F"/>
    <w:rsid w:val="00C45618"/>
    <w:rsid w:val="00C46BC9"/>
    <w:rsid w:val="00C46BDE"/>
    <w:rsid w:val="00C4701A"/>
    <w:rsid w:val="00C500FD"/>
    <w:rsid w:val="00C5027D"/>
    <w:rsid w:val="00C5029C"/>
    <w:rsid w:val="00C50807"/>
    <w:rsid w:val="00C51008"/>
    <w:rsid w:val="00C51A13"/>
    <w:rsid w:val="00C537C3"/>
    <w:rsid w:val="00C53905"/>
    <w:rsid w:val="00C53D9F"/>
    <w:rsid w:val="00C55349"/>
    <w:rsid w:val="00C55622"/>
    <w:rsid w:val="00C566B5"/>
    <w:rsid w:val="00C56852"/>
    <w:rsid w:val="00C57686"/>
    <w:rsid w:val="00C578F2"/>
    <w:rsid w:val="00C6195D"/>
    <w:rsid w:val="00C62703"/>
    <w:rsid w:val="00C62EBD"/>
    <w:rsid w:val="00C63044"/>
    <w:rsid w:val="00C63669"/>
    <w:rsid w:val="00C66114"/>
    <w:rsid w:val="00C66839"/>
    <w:rsid w:val="00C6697A"/>
    <w:rsid w:val="00C66A7B"/>
    <w:rsid w:val="00C671BD"/>
    <w:rsid w:val="00C679C4"/>
    <w:rsid w:val="00C70507"/>
    <w:rsid w:val="00C71675"/>
    <w:rsid w:val="00C72517"/>
    <w:rsid w:val="00C72C5E"/>
    <w:rsid w:val="00C7323A"/>
    <w:rsid w:val="00C7326F"/>
    <w:rsid w:val="00C75C28"/>
    <w:rsid w:val="00C762CC"/>
    <w:rsid w:val="00C763DE"/>
    <w:rsid w:val="00C7667C"/>
    <w:rsid w:val="00C777C0"/>
    <w:rsid w:val="00C77A01"/>
    <w:rsid w:val="00C8162C"/>
    <w:rsid w:val="00C8182C"/>
    <w:rsid w:val="00C81DC8"/>
    <w:rsid w:val="00C82AFD"/>
    <w:rsid w:val="00C83245"/>
    <w:rsid w:val="00C83DFA"/>
    <w:rsid w:val="00C83E5E"/>
    <w:rsid w:val="00C84CBA"/>
    <w:rsid w:val="00C85A30"/>
    <w:rsid w:val="00C86B09"/>
    <w:rsid w:val="00C87698"/>
    <w:rsid w:val="00C902E6"/>
    <w:rsid w:val="00C90F9A"/>
    <w:rsid w:val="00C922B5"/>
    <w:rsid w:val="00C92BA1"/>
    <w:rsid w:val="00C93D3D"/>
    <w:rsid w:val="00C95BA3"/>
    <w:rsid w:val="00C9608A"/>
    <w:rsid w:val="00C96699"/>
    <w:rsid w:val="00C97BBC"/>
    <w:rsid w:val="00CA0211"/>
    <w:rsid w:val="00CA080B"/>
    <w:rsid w:val="00CA0F3C"/>
    <w:rsid w:val="00CA1252"/>
    <w:rsid w:val="00CA1586"/>
    <w:rsid w:val="00CA1ADB"/>
    <w:rsid w:val="00CA253D"/>
    <w:rsid w:val="00CA25E4"/>
    <w:rsid w:val="00CA3C1E"/>
    <w:rsid w:val="00CA4021"/>
    <w:rsid w:val="00CA4578"/>
    <w:rsid w:val="00CA4881"/>
    <w:rsid w:val="00CA65F4"/>
    <w:rsid w:val="00CA6F57"/>
    <w:rsid w:val="00CA7CA5"/>
    <w:rsid w:val="00CB1532"/>
    <w:rsid w:val="00CB1CFD"/>
    <w:rsid w:val="00CB4981"/>
    <w:rsid w:val="00CB4B25"/>
    <w:rsid w:val="00CB4B48"/>
    <w:rsid w:val="00CB4EFB"/>
    <w:rsid w:val="00CB5024"/>
    <w:rsid w:val="00CB66F1"/>
    <w:rsid w:val="00CB6A87"/>
    <w:rsid w:val="00CB770D"/>
    <w:rsid w:val="00CB7961"/>
    <w:rsid w:val="00CB7CDA"/>
    <w:rsid w:val="00CC0428"/>
    <w:rsid w:val="00CC196C"/>
    <w:rsid w:val="00CC1E0F"/>
    <w:rsid w:val="00CC1E44"/>
    <w:rsid w:val="00CC1E58"/>
    <w:rsid w:val="00CC1FDA"/>
    <w:rsid w:val="00CC25C5"/>
    <w:rsid w:val="00CC2939"/>
    <w:rsid w:val="00CC2AAD"/>
    <w:rsid w:val="00CC4758"/>
    <w:rsid w:val="00CC5FD9"/>
    <w:rsid w:val="00CC69FD"/>
    <w:rsid w:val="00CC7B78"/>
    <w:rsid w:val="00CD042B"/>
    <w:rsid w:val="00CD062D"/>
    <w:rsid w:val="00CD0BC8"/>
    <w:rsid w:val="00CD0F48"/>
    <w:rsid w:val="00CD25CC"/>
    <w:rsid w:val="00CD2674"/>
    <w:rsid w:val="00CD2BA3"/>
    <w:rsid w:val="00CD2D68"/>
    <w:rsid w:val="00CD3001"/>
    <w:rsid w:val="00CD3A52"/>
    <w:rsid w:val="00CD42A8"/>
    <w:rsid w:val="00CD5552"/>
    <w:rsid w:val="00CD5F10"/>
    <w:rsid w:val="00CD6874"/>
    <w:rsid w:val="00CD74D0"/>
    <w:rsid w:val="00CD7E99"/>
    <w:rsid w:val="00CE0364"/>
    <w:rsid w:val="00CE22A0"/>
    <w:rsid w:val="00CF0172"/>
    <w:rsid w:val="00CF03D2"/>
    <w:rsid w:val="00CF080D"/>
    <w:rsid w:val="00CF1211"/>
    <w:rsid w:val="00CF27A5"/>
    <w:rsid w:val="00CF2C47"/>
    <w:rsid w:val="00CF3592"/>
    <w:rsid w:val="00CF3752"/>
    <w:rsid w:val="00CF3EF9"/>
    <w:rsid w:val="00CF45C9"/>
    <w:rsid w:val="00CF5277"/>
    <w:rsid w:val="00CF5BFD"/>
    <w:rsid w:val="00CF6C7A"/>
    <w:rsid w:val="00CF6D92"/>
    <w:rsid w:val="00CF6EC8"/>
    <w:rsid w:val="00D00060"/>
    <w:rsid w:val="00D00284"/>
    <w:rsid w:val="00D00800"/>
    <w:rsid w:val="00D00AAB"/>
    <w:rsid w:val="00D01904"/>
    <w:rsid w:val="00D023A7"/>
    <w:rsid w:val="00D02D91"/>
    <w:rsid w:val="00D0324B"/>
    <w:rsid w:val="00D03417"/>
    <w:rsid w:val="00D041DE"/>
    <w:rsid w:val="00D0633C"/>
    <w:rsid w:val="00D06AFF"/>
    <w:rsid w:val="00D06CB3"/>
    <w:rsid w:val="00D06EB0"/>
    <w:rsid w:val="00D0750E"/>
    <w:rsid w:val="00D0786D"/>
    <w:rsid w:val="00D10B2B"/>
    <w:rsid w:val="00D1106E"/>
    <w:rsid w:val="00D114F1"/>
    <w:rsid w:val="00D12200"/>
    <w:rsid w:val="00D12737"/>
    <w:rsid w:val="00D12D84"/>
    <w:rsid w:val="00D150A5"/>
    <w:rsid w:val="00D15224"/>
    <w:rsid w:val="00D153C5"/>
    <w:rsid w:val="00D17C62"/>
    <w:rsid w:val="00D20F61"/>
    <w:rsid w:val="00D218AA"/>
    <w:rsid w:val="00D22273"/>
    <w:rsid w:val="00D22325"/>
    <w:rsid w:val="00D2258C"/>
    <w:rsid w:val="00D23C86"/>
    <w:rsid w:val="00D23C98"/>
    <w:rsid w:val="00D2506D"/>
    <w:rsid w:val="00D25B40"/>
    <w:rsid w:val="00D27146"/>
    <w:rsid w:val="00D27788"/>
    <w:rsid w:val="00D30041"/>
    <w:rsid w:val="00D30B72"/>
    <w:rsid w:val="00D3348F"/>
    <w:rsid w:val="00D33715"/>
    <w:rsid w:val="00D351A0"/>
    <w:rsid w:val="00D3585B"/>
    <w:rsid w:val="00D35B50"/>
    <w:rsid w:val="00D36D8C"/>
    <w:rsid w:val="00D37530"/>
    <w:rsid w:val="00D37619"/>
    <w:rsid w:val="00D37A79"/>
    <w:rsid w:val="00D37E3A"/>
    <w:rsid w:val="00D37EDC"/>
    <w:rsid w:val="00D4002D"/>
    <w:rsid w:val="00D40756"/>
    <w:rsid w:val="00D411C7"/>
    <w:rsid w:val="00D4170C"/>
    <w:rsid w:val="00D41BD2"/>
    <w:rsid w:val="00D42989"/>
    <w:rsid w:val="00D43654"/>
    <w:rsid w:val="00D4499F"/>
    <w:rsid w:val="00D44DB9"/>
    <w:rsid w:val="00D44EC1"/>
    <w:rsid w:val="00D462E9"/>
    <w:rsid w:val="00D46B3D"/>
    <w:rsid w:val="00D46B6B"/>
    <w:rsid w:val="00D46DE7"/>
    <w:rsid w:val="00D46FBF"/>
    <w:rsid w:val="00D47F81"/>
    <w:rsid w:val="00D5110D"/>
    <w:rsid w:val="00D512E5"/>
    <w:rsid w:val="00D52491"/>
    <w:rsid w:val="00D540E0"/>
    <w:rsid w:val="00D54409"/>
    <w:rsid w:val="00D5446D"/>
    <w:rsid w:val="00D5467D"/>
    <w:rsid w:val="00D54818"/>
    <w:rsid w:val="00D54A4C"/>
    <w:rsid w:val="00D54F0C"/>
    <w:rsid w:val="00D556FA"/>
    <w:rsid w:val="00D561B7"/>
    <w:rsid w:val="00D62506"/>
    <w:rsid w:val="00D63365"/>
    <w:rsid w:val="00D64467"/>
    <w:rsid w:val="00D64D4B"/>
    <w:rsid w:val="00D65624"/>
    <w:rsid w:val="00D66186"/>
    <w:rsid w:val="00D66460"/>
    <w:rsid w:val="00D669FF"/>
    <w:rsid w:val="00D66B7C"/>
    <w:rsid w:val="00D66DA5"/>
    <w:rsid w:val="00D67033"/>
    <w:rsid w:val="00D70941"/>
    <w:rsid w:val="00D71240"/>
    <w:rsid w:val="00D714AF"/>
    <w:rsid w:val="00D714BE"/>
    <w:rsid w:val="00D725E5"/>
    <w:rsid w:val="00D733AB"/>
    <w:rsid w:val="00D7374E"/>
    <w:rsid w:val="00D7496E"/>
    <w:rsid w:val="00D749A6"/>
    <w:rsid w:val="00D74A32"/>
    <w:rsid w:val="00D75650"/>
    <w:rsid w:val="00D75F09"/>
    <w:rsid w:val="00D763D3"/>
    <w:rsid w:val="00D76B7C"/>
    <w:rsid w:val="00D76EB3"/>
    <w:rsid w:val="00D76FB7"/>
    <w:rsid w:val="00D81927"/>
    <w:rsid w:val="00D835BC"/>
    <w:rsid w:val="00D84276"/>
    <w:rsid w:val="00D84F9E"/>
    <w:rsid w:val="00D86A49"/>
    <w:rsid w:val="00D87F10"/>
    <w:rsid w:val="00D913E4"/>
    <w:rsid w:val="00D92285"/>
    <w:rsid w:val="00D9409D"/>
    <w:rsid w:val="00D94790"/>
    <w:rsid w:val="00D948E4"/>
    <w:rsid w:val="00D94C18"/>
    <w:rsid w:val="00D95B4F"/>
    <w:rsid w:val="00D971AF"/>
    <w:rsid w:val="00DA0B47"/>
    <w:rsid w:val="00DA103A"/>
    <w:rsid w:val="00DA2F79"/>
    <w:rsid w:val="00DA3C71"/>
    <w:rsid w:val="00DA508D"/>
    <w:rsid w:val="00DA5438"/>
    <w:rsid w:val="00DA688E"/>
    <w:rsid w:val="00DA6FED"/>
    <w:rsid w:val="00DA77B9"/>
    <w:rsid w:val="00DA7859"/>
    <w:rsid w:val="00DA7F5C"/>
    <w:rsid w:val="00DB1B53"/>
    <w:rsid w:val="00DB21DE"/>
    <w:rsid w:val="00DB26B1"/>
    <w:rsid w:val="00DB40E7"/>
    <w:rsid w:val="00DB445A"/>
    <w:rsid w:val="00DB4CA9"/>
    <w:rsid w:val="00DB54C3"/>
    <w:rsid w:val="00DB5B29"/>
    <w:rsid w:val="00DB5B6C"/>
    <w:rsid w:val="00DB7479"/>
    <w:rsid w:val="00DC039F"/>
    <w:rsid w:val="00DC04C4"/>
    <w:rsid w:val="00DC052F"/>
    <w:rsid w:val="00DC0788"/>
    <w:rsid w:val="00DC2C16"/>
    <w:rsid w:val="00DC42E0"/>
    <w:rsid w:val="00DC4ACC"/>
    <w:rsid w:val="00DC4D53"/>
    <w:rsid w:val="00DC5A41"/>
    <w:rsid w:val="00DC6AC5"/>
    <w:rsid w:val="00DC7AA6"/>
    <w:rsid w:val="00DD0822"/>
    <w:rsid w:val="00DD0A2C"/>
    <w:rsid w:val="00DD0D20"/>
    <w:rsid w:val="00DD0F1F"/>
    <w:rsid w:val="00DD13EC"/>
    <w:rsid w:val="00DD170A"/>
    <w:rsid w:val="00DD1998"/>
    <w:rsid w:val="00DD20F7"/>
    <w:rsid w:val="00DD2406"/>
    <w:rsid w:val="00DD390A"/>
    <w:rsid w:val="00DD3B95"/>
    <w:rsid w:val="00DD40E3"/>
    <w:rsid w:val="00DD72A2"/>
    <w:rsid w:val="00DD7885"/>
    <w:rsid w:val="00DD7E3D"/>
    <w:rsid w:val="00DD7E92"/>
    <w:rsid w:val="00DE0000"/>
    <w:rsid w:val="00DE034D"/>
    <w:rsid w:val="00DE32D4"/>
    <w:rsid w:val="00DE37CC"/>
    <w:rsid w:val="00DE43D5"/>
    <w:rsid w:val="00DE47E6"/>
    <w:rsid w:val="00DE55F9"/>
    <w:rsid w:val="00DE67BB"/>
    <w:rsid w:val="00DE7958"/>
    <w:rsid w:val="00DF08D4"/>
    <w:rsid w:val="00DF0B01"/>
    <w:rsid w:val="00DF0C9B"/>
    <w:rsid w:val="00DF0F56"/>
    <w:rsid w:val="00DF1267"/>
    <w:rsid w:val="00DF12FC"/>
    <w:rsid w:val="00DF35C2"/>
    <w:rsid w:val="00DF3828"/>
    <w:rsid w:val="00DF632B"/>
    <w:rsid w:val="00DF636B"/>
    <w:rsid w:val="00DF69F2"/>
    <w:rsid w:val="00DF6E53"/>
    <w:rsid w:val="00DF6EED"/>
    <w:rsid w:val="00DF7A4A"/>
    <w:rsid w:val="00DF7AE7"/>
    <w:rsid w:val="00E006E2"/>
    <w:rsid w:val="00E02BC8"/>
    <w:rsid w:val="00E02BEC"/>
    <w:rsid w:val="00E02E14"/>
    <w:rsid w:val="00E033B0"/>
    <w:rsid w:val="00E036E0"/>
    <w:rsid w:val="00E03E69"/>
    <w:rsid w:val="00E040BD"/>
    <w:rsid w:val="00E04D29"/>
    <w:rsid w:val="00E0515F"/>
    <w:rsid w:val="00E05581"/>
    <w:rsid w:val="00E06BFF"/>
    <w:rsid w:val="00E076FE"/>
    <w:rsid w:val="00E07786"/>
    <w:rsid w:val="00E07B34"/>
    <w:rsid w:val="00E11005"/>
    <w:rsid w:val="00E12E69"/>
    <w:rsid w:val="00E1422D"/>
    <w:rsid w:val="00E14F36"/>
    <w:rsid w:val="00E15091"/>
    <w:rsid w:val="00E15623"/>
    <w:rsid w:val="00E1582B"/>
    <w:rsid w:val="00E16C12"/>
    <w:rsid w:val="00E17446"/>
    <w:rsid w:val="00E1759B"/>
    <w:rsid w:val="00E21432"/>
    <w:rsid w:val="00E2149B"/>
    <w:rsid w:val="00E21973"/>
    <w:rsid w:val="00E236F4"/>
    <w:rsid w:val="00E23EF3"/>
    <w:rsid w:val="00E24170"/>
    <w:rsid w:val="00E24A0D"/>
    <w:rsid w:val="00E26482"/>
    <w:rsid w:val="00E27200"/>
    <w:rsid w:val="00E27807"/>
    <w:rsid w:val="00E303E4"/>
    <w:rsid w:val="00E309A4"/>
    <w:rsid w:val="00E315BA"/>
    <w:rsid w:val="00E32B04"/>
    <w:rsid w:val="00E32F9D"/>
    <w:rsid w:val="00E35F08"/>
    <w:rsid w:val="00E36335"/>
    <w:rsid w:val="00E364D9"/>
    <w:rsid w:val="00E36D63"/>
    <w:rsid w:val="00E40501"/>
    <w:rsid w:val="00E438BB"/>
    <w:rsid w:val="00E4465F"/>
    <w:rsid w:val="00E45D39"/>
    <w:rsid w:val="00E4623D"/>
    <w:rsid w:val="00E466BE"/>
    <w:rsid w:val="00E47CC9"/>
    <w:rsid w:val="00E5027C"/>
    <w:rsid w:val="00E5057B"/>
    <w:rsid w:val="00E50A1D"/>
    <w:rsid w:val="00E50CDC"/>
    <w:rsid w:val="00E510D9"/>
    <w:rsid w:val="00E516DD"/>
    <w:rsid w:val="00E520C3"/>
    <w:rsid w:val="00E52F25"/>
    <w:rsid w:val="00E5411F"/>
    <w:rsid w:val="00E54210"/>
    <w:rsid w:val="00E54D8B"/>
    <w:rsid w:val="00E5504A"/>
    <w:rsid w:val="00E5543F"/>
    <w:rsid w:val="00E56172"/>
    <w:rsid w:val="00E610F0"/>
    <w:rsid w:val="00E615BC"/>
    <w:rsid w:val="00E62069"/>
    <w:rsid w:val="00E6210D"/>
    <w:rsid w:val="00E6262C"/>
    <w:rsid w:val="00E62BEF"/>
    <w:rsid w:val="00E62C27"/>
    <w:rsid w:val="00E634EB"/>
    <w:rsid w:val="00E63CCD"/>
    <w:rsid w:val="00E63D3E"/>
    <w:rsid w:val="00E64F73"/>
    <w:rsid w:val="00E65FAF"/>
    <w:rsid w:val="00E66651"/>
    <w:rsid w:val="00E666F3"/>
    <w:rsid w:val="00E671EB"/>
    <w:rsid w:val="00E67664"/>
    <w:rsid w:val="00E70064"/>
    <w:rsid w:val="00E71C8B"/>
    <w:rsid w:val="00E71CEC"/>
    <w:rsid w:val="00E725E5"/>
    <w:rsid w:val="00E7325C"/>
    <w:rsid w:val="00E7491C"/>
    <w:rsid w:val="00E750BB"/>
    <w:rsid w:val="00E767E8"/>
    <w:rsid w:val="00E7781A"/>
    <w:rsid w:val="00E77A8D"/>
    <w:rsid w:val="00E77F95"/>
    <w:rsid w:val="00E80370"/>
    <w:rsid w:val="00E80FC5"/>
    <w:rsid w:val="00E81BAF"/>
    <w:rsid w:val="00E81C49"/>
    <w:rsid w:val="00E8373D"/>
    <w:rsid w:val="00E85A05"/>
    <w:rsid w:val="00E86F57"/>
    <w:rsid w:val="00E875B4"/>
    <w:rsid w:val="00E87E2E"/>
    <w:rsid w:val="00E904E7"/>
    <w:rsid w:val="00E9101F"/>
    <w:rsid w:val="00E91046"/>
    <w:rsid w:val="00E913C0"/>
    <w:rsid w:val="00E914BA"/>
    <w:rsid w:val="00E92529"/>
    <w:rsid w:val="00E92A3F"/>
    <w:rsid w:val="00E92ABC"/>
    <w:rsid w:val="00E9397F"/>
    <w:rsid w:val="00E94302"/>
    <w:rsid w:val="00E9453C"/>
    <w:rsid w:val="00E9481A"/>
    <w:rsid w:val="00E94833"/>
    <w:rsid w:val="00E955A2"/>
    <w:rsid w:val="00E95F83"/>
    <w:rsid w:val="00E96C1C"/>
    <w:rsid w:val="00EA1478"/>
    <w:rsid w:val="00EA30F5"/>
    <w:rsid w:val="00EA3931"/>
    <w:rsid w:val="00EA3CEF"/>
    <w:rsid w:val="00EA3ED3"/>
    <w:rsid w:val="00EA40A3"/>
    <w:rsid w:val="00EA4850"/>
    <w:rsid w:val="00EA5233"/>
    <w:rsid w:val="00EA5BB4"/>
    <w:rsid w:val="00EA6628"/>
    <w:rsid w:val="00EA6BE7"/>
    <w:rsid w:val="00EA7223"/>
    <w:rsid w:val="00EA74DA"/>
    <w:rsid w:val="00EA78A0"/>
    <w:rsid w:val="00EB0FE8"/>
    <w:rsid w:val="00EB26D7"/>
    <w:rsid w:val="00EB2A2A"/>
    <w:rsid w:val="00EB3392"/>
    <w:rsid w:val="00EB43A8"/>
    <w:rsid w:val="00EB456C"/>
    <w:rsid w:val="00EB4634"/>
    <w:rsid w:val="00EB4E3C"/>
    <w:rsid w:val="00EB52E3"/>
    <w:rsid w:val="00EB5613"/>
    <w:rsid w:val="00EB5681"/>
    <w:rsid w:val="00EB5C0A"/>
    <w:rsid w:val="00EB5CEC"/>
    <w:rsid w:val="00EB6334"/>
    <w:rsid w:val="00EB6556"/>
    <w:rsid w:val="00EB742F"/>
    <w:rsid w:val="00EB78E4"/>
    <w:rsid w:val="00EB7A04"/>
    <w:rsid w:val="00EC02FC"/>
    <w:rsid w:val="00EC066D"/>
    <w:rsid w:val="00EC0864"/>
    <w:rsid w:val="00EC15D2"/>
    <w:rsid w:val="00EC2324"/>
    <w:rsid w:val="00EC307D"/>
    <w:rsid w:val="00EC3A8F"/>
    <w:rsid w:val="00EC4B8A"/>
    <w:rsid w:val="00EC523B"/>
    <w:rsid w:val="00EC5A03"/>
    <w:rsid w:val="00EC5CC3"/>
    <w:rsid w:val="00EC6F1D"/>
    <w:rsid w:val="00EC7A2A"/>
    <w:rsid w:val="00ED02C7"/>
    <w:rsid w:val="00ED1299"/>
    <w:rsid w:val="00ED1A51"/>
    <w:rsid w:val="00ED1CA5"/>
    <w:rsid w:val="00ED2111"/>
    <w:rsid w:val="00ED3CFC"/>
    <w:rsid w:val="00ED40F9"/>
    <w:rsid w:val="00ED445A"/>
    <w:rsid w:val="00ED49EF"/>
    <w:rsid w:val="00EE16E7"/>
    <w:rsid w:val="00EE20C6"/>
    <w:rsid w:val="00EE291B"/>
    <w:rsid w:val="00EE2DE1"/>
    <w:rsid w:val="00EE2DEF"/>
    <w:rsid w:val="00EE2EC1"/>
    <w:rsid w:val="00EE33EE"/>
    <w:rsid w:val="00EE37DB"/>
    <w:rsid w:val="00EE3F36"/>
    <w:rsid w:val="00EE47CC"/>
    <w:rsid w:val="00EE569A"/>
    <w:rsid w:val="00EE624B"/>
    <w:rsid w:val="00EE650D"/>
    <w:rsid w:val="00EE7433"/>
    <w:rsid w:val="00EE74A0"/>
    <w:rsid w:val="00EF16E1"/>
    <w:rsid w:val="00EF1E15"/>
    <w:rsid w:val="00EF30CA"/>
    <w:rsid w:val="00EF37DE"/>
    <w:rsid w:val="00EF5497"/>
    <w:rsid w:val="00EF6288"/>
    <w:rsid w:val="00EF7AF5"/>
    <w:rsid w:val="00EF7F77"/>
    <w:rsid w:val="00F00A57"/>
    <w:rsid w:val="00F00DC4"/>
    <w:rsid w:val="00F01251"/>
    <w:rsid w:val="00F017C4"/>
    <w:rsid w:val="00F026B4"/>
    <w:rsid w:val="00F02A7F"/>
    <w:rsid w:val="00F0307E"/>
    <w:rsid w:val="00F05BC9"/>
    <w:rsid w:val="00F067FF"/>
    <w:rsid w:val="00F07C9A"/>
    <w:rsid w:val="00F07CF3"/>
    <w:rsid w:val="00F1030E"/>
    <w:rsid w:val="00F105F3"/>
    <w:rsid w:val="00F10D22"/>
    <w:rsid w:val="00F11100"/>
    <w:rsid w:val="00F1147F"/>
    <w:rsid w:val="00F11687"/>
    <w:rsid w:val="00F11E09"/>
    <w:rsid w:val="00F13C91"/>
    <w:rsid w:val="00F13E1A"/>
    <w:rsid w:val="00F14B87"/>
    <w:rsid w:val="00F1541F"/>
    <w:rsid w:val="00F15440"/>
    <w:rsid w:val="00F172B0"/>
    <w:rsid w:val="00F20F42"/>
    <w:rsid w:val="00F21B7D"/>
    <w:rsid w:val="00F21FDF"/>
    <w:rsid w:val="00F22077"/>
    <w:rsid w:val="00F230D2"/>
    <w:rsid w:val="00F24232"/>
    <w:rsid w:val="00F2464E"/>
    <w:rsid w:val="00F24BE6"/>
    <w:rsid w:val="00F251C6"/>
    <w:rsid w:val="00F254C4"/>
    <w:rsid w:val="00F2692F"/>
    <w:rsid w:val="00F2709A"/>
    <w:rsid w:val="00F277C5"/>
    <w:rsid w:val="00F27843"/>
    <w:rsid w:val="00F27914"/>
    <w:rsid w:val="00F3082D"/>
    <w:rsid w:val="00F30FC2"/>
    <w:rsid w:val="00F32C9C"/>
    <w:rsid w:val="00F32D72"/>
    <w:rsid w:val="00F330F3"/>
    <w:rsid w:val="00F333A5"/>
    <w:rsid w:val="00F34426"/>
    <w:rsid w:val="00F35141"/>
    <w:rsid w:val="00F3566C"/>
    <w:rsid w:val="00F36A36"/>
    <w:rsid w:val="00F370FF"/>
    <w:rsid w:val="00F37193"/>
    <w:rsid w:val="00F40EC8"/>
    <w:rsid w:val="00F421E9"/>
    <w:rsid w:val="00F4237C"/>
    <w:rsid w:val="00F42529"/>
    <w:rsid w:val="00F4324F"/>
    <w:rsid w:val="00F43359"/>
    <w:rsid w:val="00F44273"/>
    <w:rsid w:val="00F44CFF"/>
    <w:rsid w:val="00F45B47"/>
    <w:rsid w:val="00F46755"/>
    <w:rsid w:val="00F46806"/>
    <w:rsid w:val="00F47C85"/>
    <w:rsid w:val="00F52D65"/>
    <w:rsid w:val="00F52FB5"/>
    <w:rsid w:val="00F53ECF"/>
    <w:rsid w:val="00F545A1"/>
    <w:rsid w:val="00F546C9"/>
    <w:rsid w:val="00F547A4"/>
    <w:rsid w:val="00F56139"/>
    <w:rsid w:val="00F561DB"/>
    <w:rsid w:val="00F56221"/>
    <w:rsid w:val="00F570C0"/>
    <w:rsid w:val="00F573AA"/>
    <w:rsid w:val="00F576DB"/>
    <w:rsid w:val="00F5796A"/>
    <w:rsid w:val="00F61355"/>
    <w:rsid w:val="00F61688"/>
    <w:rsid w:val="00F61987"/>
    <w:rsid w:val="00F62F40"/>
    <w:rsid w:val="00F63E7E"/>
    <w:rsid w:val="00F644AA"/>
    <w:rsid w:val="00F645CA"/>
    <w:rsid w:val="00F65B30"/>
    <w:rsid w:val="00F66F77"/>
    <w:rsid w:val="00F678A9"/>
    <w:rsid w:val="00F67BA0"/>
    <w:rsid w:val="00F67E67"/>
    <w:rsid w:val="00F70DD9"/>
    <w:rsid w:val="00F71024"/>
    <w:rsid w:val="00F71108"/>
    <w:rsid w:val="00F71234"/>
    <w:rsid w:val="00F71571"/>
    <w:rsid w:val="00F7172C"/>
    <w:rsid w:val="00F732FF"/>
    <w:rsid w:val="00F73A8F"/>
    <w:rsid w:val="00F73D83"/>
    <w:rsid w:val="00F7520C"/>
    <w:rsid w:val="00F80443"/>
    <w:rsid w:val="00F814C9"/>
    <w:rsid w:val="00F8243C"/>
    <w:rsid w:val="00F83517"/>
    <w:rsid w:val="00F84B34"/>
    <w:rsid w:val="00F85336"/>
    <w:rsid w:val="00F85680"/>
    <w:rsid w:val="00F859B8"/>
    <w:rsid w:val="00F85E3A"/>
    <w:rsid w:val="00F860D1"/>
    <w:rsid w:val="00F86156"/>
    <w:rsid w:val="00F8652C"/>
    <w:rsid w:val="00F867B0"/>
    <w:rsid w:val="00F86B69"/>
    <w:rsid w:val="00F86EFF"/>
    <w:rsid w:val="00F86F32"/>
    <w:rsid w:val="00F8749B"/>
    <w:rsid w:val="00F87E54"/>
    <w:rsid w:val="00F90236"/>
    <w:rsid w:val="00F904D8"/>
    <w:rsid w:val="00F908AD"/>
    <w:rsid w:val="00F9165C"/>
    <w:rsid w:val="00F92ED1"/>
    <w:rsid w:val="00F936D1"/>
    <w:rsid w:val="00F93737"/>
    <w:rsid w:val="00F9492E"/>
    <w:rsid w:val="00F94F75"/>
    <w:rsid w:val="00F95A36"/>
    <w:rsid w:val="00F95DDE"/>
    <w:rsid w:val="00F96CF9"/>
    <w:rsid w:val="00F971FD"/>
    <w:rsid w:val="00F97E29"/>
    <w:rsid w:val="00FA0427"/>
    <w:rsid w:val="00FA1E79"/>
    <w:rsid w:val="00FA2800"/>
    <w:rsid w:val="00FA3958"/>
    <w:rsid w:val="00FA448D"/>
    <w:rsid w:val="00FA4537"/>
    <w:rsid w:val="00FA4E17"/>
    <w:rsid w:val="00FA5FDC"/>
    <w:rsid w:val="00FA68CF"/>
    <w:rsid w:val="00FB0B38"/>
    <w:rsid w:val="00FB22E2"/>
    <w:rsid w:val="00FB2966"/>
    <w:rsid w:val="00FB2A40"/>
    <w:rsid w:val="00FB3440"/>
    <w:rsid w:val="00FB5098"/>
    <w:rsid w:val="00FB5632"/>
    <w:rsid w:val="00FB5936"/>
    <w:rsid w:val="00FB5B97"/>
    <w:rsid w:val="00FB5DDF"/>
    <w:rsid w:val="00FB60F1"/>
    <w:rsid w:val="00FB6E62"/>
    <w:rsid w:val="00FC02D3"/>
    <w:rsid w:val="00FC0E28"/>
    <w:rsid w:val="00FC1048"/>
    <w:rsid w:val="00FC121B"/>
    <w:rsid w:val="00FC1ABC"/>
    <w:rsid w:val="00FC1E96"/>
    <w:rsid w:val="00FC2AD9"/>
    <w:rsid w:val="00FC2B41"/>
    <w:rsid w:val="00FC2DD0"/>
    <w:rsid w:val="00FC33A1"/>
    <w:rsid w:val="00FC3C85"/>
    <w:rsid w:val="00FC4885"/>
    <w:rsid w:val="00FC520D"/>
    <w:rsid w:val="00FC531F"/>
    <w:rsid w:val="00FC6181"/>
    <w:rsid w:val="00FC63AD"/>
    <w:rsid w:val="00FC6420"/>
    <w:rsid w:val="00FC6730"/>
    <w:rsid w:val="00FC673A"/>
    <w:rsid w:val="00FC71B9"/>
    <w:rsid w:val="00FC7D2B"/>
    <w:rsid w:val="00FD1128"/>
    <w:rsid w:val="00FD21BA"/>
    <w:rsid w:val="00FD3320"/>
    <w:rsid w:val="00FD3BA7"/>
    <w:rsid w:val="00FD3F6E"/>
    <w:rsid w:val="00FD4778"/>
    <w:rsid w:val="00FD4C5B"/>
    <w:rsid w:val="00FD507E"/>
    <w:rsid w:val="00FD64D8"/>
    <w:rsid w:val="00FD6B3A"/>
    <w:rsid w:val="00FD6EC6"/>
    <w:rsid w:val="00FD7071"/>
    <w:rsid w:val="00FD7670"/>
    <w:rsid w:val="00FE05A0"/>
    <w:rsid w:val="00FE19D0"/>
    <w:rsid w:val="00FE28B0"/>
    <w:rsid w:val="00FE4231"/>
    <w:rsid w:val="00FE471B"/>
    <w:rsid w:val="00FE704E"/>
    <w:rsid w:val="00FE78CD"/>
    <w:rsid w:val="00FF125D"/>
    <w:rsid w:val="00FF2FA0"/>
    <w:rsid w:val="00FF4998"/>
    <w:rsid w:val="00FF4A7F"/>
    <w:rsid w:val="00FF57E7"/>
    <w:rsid w:val="00FF6BD9"/>
    <w:rsid w:val="00FF6E93"/>
    <w:rsid w:val="00FF7191"/>
    <w:rsid w:val="01165D19"/>
    <w:rsid w:val="012B7664"/>
    <w:rsid w:val="01344CAB"/>
    <w:rsid w:val="01404A1D"/>
    <w:rsid w:val="01786D1A"/>
    <w:rsid w:val="0186370D"/>
    <w:rsid w:val="01975785"/>
    <w:rsid w:val="01A04919"/>
    <w:rsid w:val="01A86A05"/>
    <w:rsid w:val="01AA04FE"/>
    <w:rsid w:val="01B505FC"/>
    <w:rsid w:val="01BD208A"/>
    <w:rsid w:val="01BD42A2"/>
    <w:rsid w:val="01CC7C92"/>
    <w:rsid w:val="01D61714"/>
    <w:rsid w:val="0205632F"/>
    <w:rsid w:val="020F65B7"/>
    <w:rsid w:val="021E6374"/>
    <w:rsid w:val="023B4DED"/>
    <w:rsid w:val="025815BD"/>
    <w:rsid w:val="025A15F4"/>
    <w:rsid w:val="0269756B"/>
    <w:rsid w:val="026E699E"/>
    <w:rsid w:val="027364C9"/>
    <w:rsid w:val="027B2925"/>
    <w:rsid w:val="02847D1E"/>
    <w:rsid w:val="028E0FF9"/>
    <w:rsid w:val="02952188"/>
    <w:rsid w:val="02AA31FB"/>
    <w:rsid w:val="02B86176"/>
    <w:rsid w:val="02C458BF"/>
    <w:rsid w:val="03094A09"/>
    <w:rsid w:val="03162ADF"/>
    <w:rsid w:val="031916A2"/>
    <w:rsid w:val="031D069D"/>
    <w:rsid w:val="032B5981"/>
    <w:rsid w:val="033A338F"/>
    <w:rsid w:val="034B5B7A"/>
    <w:rsid w:val="035B5FE1"/>
    <w:rsid w:val="03600B3C"/>
    <w:rsid w:val="03603480"/>
    <w:rsid w:val="037311D0"/>
    <w:rsid w:val="03875A9D"/>
    <w:rsid w:val="03920A08"/>
    <w:rsid w:val="039B7E7C"/>
    <w:rsid w:val="03AC1B29"/>
    <w:rsid w:val="03B93C9B"/>
    <w:rsid w:val="03C721E8"/>
    <w:rsid w:val="03D160F8"/>
    <w:rsid w:val="03FB1CE8"/>
    <w:rsid w:val="04471107"/>
    <w:rsid w:val="045B76B6"/>
    <w:rsid w:val="04614AE6"/>
    <w:rsid w:val="04633973"/>
    <w:rsid w:val="047733C8"/>
    <w:rsid w:val="047F420A"/>
    <w:rsid w:val="04894595"/>
    <w:rsid w:val="04911272"/>
    <w:rsid w:val="04AD146F"/>
    <w:rsid w:val="04B0088A"/>
    <w:rsid w:val="04C512B9"/>
    <w:rsid w:val="04E10A33"/>
    <w:rsid w:val="04E71044"/>
    <w:rsid w:val="04E903A7"/>
    <w:rsid w:val="04F03A35"/>
    <w:rsid w:val="04FE66C0"/>
    <w:rsid w:val="05261735"/>
    <w:rsid w:val="052E0678"/>
    <w:rsid w:val="054225C0"/>
    <w:rsid w:val="054B4F6B"/>
    <w:rsid w:val="056D57CA"/>
    <w:rsid w:val="05791EDF"/>
    <w:rsid w:val="059B66F0"/>
    <w:rsid w:val="05B77462"/>
    <w:rsid w:val="05D039E3"/>
    <w:rsid w:val="05D256BB"/>
    <w:rsid w:val="05ED3391"/>
    <w:rsid w:val="0602270F"/>
    <w:rsid w:val="060D2627"/>
    <w:rsid w:val="061052EA"/>
    <w:rsid w:val="0616228E"/>
    <w:rsid w:val="061E3C37"/>
    <w:rsid w:val="0698061E"/>
    <w:rsid w:val="06A1387B"/>
    <w:rsid w:val="06A51EA5"/>
    <w:rsid w:val="06B6041D"/>
    <w:rsid w:val="06B60B9C"/>
    <w:rsid w:val="06BB118B"/>
    <w:rsid w:val="06BC01D5"/>
    <w:rsid w:val="06CE63B3"/>
    <w:rsid w:val="06DB482C"/>
    <w:rsid w:val="06DE542F"/>
    <w:rsid w:val="06E32636"/>
    <w:rsid w:val="06E94E42"/>
    <w:rsid w:val="06F94276"/>
    <w:rsid w:val="07133A1C"/>
    <w:rsid w:val="075F628F"/>
    <w:rsid w:val="07627BED"/>
    <w:rsid w:val="077207CE"/>
    <w:rsid w:val="077946F5"/>
    <w:rsid w:val="07824435"/>
    <w:rsid w:val="07885063"/>
    <w:rsid w:val="078A2F3D"/>
    <w:rsid w:val="078D29A3"/>
    <w:rsid w:val="07A15D86"/>
    <w:rsid w:val="07A41615"/>
    <w:rsid w:val="07E87930"/>
    <w:rsid w:val="07F43A9E"/>
    <w:rsid w:val="07F541BD"/>
    <w:rsid w:val="08093C0B"/>
    <w:rsid w:val="080E1268"/>
    <w:rsid w:val="08211AC0"/>
    <w:rsid w:val="083E4D1A"/>
    <w:rsid w:val="08664468"/>
    <w:rsid w:val="087175F8"/>
    <w:rsid w:val="087A767D"/>
    <w:rsid w:val="088C1DAB"/>
    <w:rsid w:val="08C07850"/>
    <w:rsid w:val="08D03AAE"/>
    <w:rsid w:val="08D741F1"/>
    <w:rsid w:val="08ED110E"/>
    <w:rsid w:val="08F66D60"/>
    <w:rsid w:val="09160547"/>
    <w:rsid w:val="091821E1"/>
    <w:rsid w:val="097E055B"/>
    <w:rsid w:val="09823ED3"/>
    <w:rsid w:val="098A39AD"/>
    <w:rsid w:val="09946A8D"/>
    <w:rsid w:val="09CC5188"/>
    <w:rsid w:val="09CF3D2A"/>
    <w:rsid w:val="09DF26E5"/>
    <w:rsid w:val="09EE1A55"/>
    <w:rsid w:val="0A0056E6"/>
    <w:rsid w:val="0A01382F"/>
    <w:rsid w:val="0A026BBB"/>
    <w:rsid w:val="0A06012B"/>
    <w:rsid w:val="0A167C23"/>
    <w:rsid w:val="0A2A6438"/>
    <w:rsid w:val="0A3673AA"/>
    <w:rsid w:val="0A3E54A5"/>
    <w:rsid w:val="0AA15B51"/>
    <w:rsid w:val="0AA64682"/>
    <w:rsid w:val="0AC30308"/>
    <w:rsid w:val="0ACB7550"/>
    <w:rsid w:val="0AD9248E"/>
    <w:rsid w:val="0AEF3579"/>
    <w:rsid w:val="0AEF478A"/>
    <w:rsid w:val="0B396FAA"/>
    <w:rsid w:val="0B3B0C81"/>
    <w:rsid w:val="0B435F3E"/>
    <w:rsid w:val="0B6E5916"/>
    <w:rsid w:val="0B720FEA"/>
    <w:rsid w:val="0B990D1B"/>
    <w:rsid w:val="0B9B25D7"/>
    <w:rsid w:val="0BAD28E2"/>
    <w:rsid w:val="0BAE641E"/>
    <w:rsid w:val="0BB93035"/>
    <w:rsid w:val="0BC60D3E"/>
    <w:rsid w:val="0BD57193"/>
    <w:rsid w:val="0BDB45C4"/>
    <w:rsid w:val="0C054C42"/>
    <w:rsid w:val="0C216CBC"/>
    <w:rsid w:val="0C252478"/>
    <w:rsid w:val="0C3914BC"/>
    <w:rsid w:val="0C3C77C2"/>
    <w:rsid w:val="0C4303EB"/>
    <w:rsid w:val="0C564219"/>
    <w:rsid w:val="0CB34C8F"/>
    <w:rsid w:val="0CBE55E9"/>
    <w:rsid w:val="0CBE722E"/>
    <w:rsid w:val="0CBF203E"/>
    <w:rsid w:val="0CC2416B"/>
    <w:rsid w:val="0CCE4280"/>
    <w:rsid w:val="0CD43EA0"/>
    <w:rsid w:val="0CD5442C"/>
    <w:rsid w:val="0CD70950"/>
    <w:rsid w:val="0CDE6ACB"/>
    <w:rsid w:val="0CE01596"/>
    <w:rsid w:val="0D085F7E"/>
    <w:rsid w:val="0D09609E"/>
    <w:rsid w:val="0D597439"/>
    <w:rsid w:val="0D5B75E4"/>
    <w:rsid w:val="0D95362E"/>
    <w:rsid w:val="0DA11FD2"/>
    <w:rsid w:val="0DB8556E"/>
    <w:rsid w:val="0DBA7538"/>
    <w:rsid w:val="0DC43F13"/>
    <w:rsid w:val="0DD20D93"/>
    <w:rsid w:val="0DEC3941"/>
    <w:rsid w:val="0DEE7118"/>
    <w:rsid w:val="0DFE574F"/>
    <w:rsid w:val="0E35117E"/>
    <w:rsid w:val="0E884F40"/>
    <w:rsid w:val="0EA036C5"/>
    <w:rsid w:val="0ED22FC2"/>
    <w:rsid w:val="0EDC2CFE"/>
    <w:rsid w:val="0F1303C9"/>
    <w:rsid w:val="0F2844BF"/>
    <w:rsid w:val="0F426BEF"/>
    <w:rsid w:val="0F5505BA"/>
    <w:rsid w:val="0F5D07A6"/>
    <w:rsid w:val="0F5D0A2F"/>
    <w:rsid w:val="0F650F60"/>
    <w:rsid w:val="0F96680A"/>
    <w:rsid w:val="0FC51330"/>
    <w:rsid w:val="0FCD755C"/>
    <w:rsid w:val="0FD1125D"/>
    <w:rsid w:val="0FD5515D"/>
    <w:rsid w:val="0FF841BB"/>
    <w:rsid w:val="103D7FD1"/>
    <w:rsid w:val="105A0193"/>
    <w:rsid w:val="106B768D"/>
    <w:rsid w:val="108C5DA5"/>
    <w:rsid w:val="10C31666"/>
    <w:rsid w:val="10DF6F24"/>
    <w:rsid w:val="11003E80"/>
    <w:rsid w:val="110B59FC"/>
    <w:rsid w:val="112E0A9B"/>
    <w:rsid w:val="113C438C"/>
    <w:rsid w:val="113C7E9B"/>
    <w:rsid w:val="11405FA6"/>
    <w:rsid w:val="115765F2"/>
    <w:rsid w:val="1161365A"/>
    <w:rsid w:val="116A66CF"/>
    <w:rsid w:val="118C0783"/>
    <w:rsid w:val="11DA3C79"/>
    <w:rsid w:val="121C60CC"/>
    <w:rsid w:val="121F1F94"/>
    <w:rsid w:val="12264069"/>
    <w:rsid w:val="122C6139"/>
    <w:rsid w:val="12650CA0"/>
    <w:rsid w:val="128E2D47"/>
    <w:rsid w:val="129B56BE"/>
    <w:rsid w:val="12D673A1"/>
    <w:rsid w:val="12DF2656"/>
    <w:rsid w:val="12E95515"/>
    <w:rsid w:val="12F93E0B"/>
    <w:rsid w:val="12FB1AC7"/>
    <w:rsid w:val="13104C53"/>
    <w:rsid w:val="132A7CB4"/>
    <w:rsid w:val="1340415D"/>
    <w:rsid w:val="13531FC1"/>
    <w:rsid w:val="137C7113"/>
    <w:rsid w:val="139C7F2E"/>
    <w:rsid w:val="13A57706"/>
    <w:rsid w:val="13AA1A81"/>
    <w:rsid w:val="13B25320"/>
    <w:rsid w:val="13BC773D"/>
    <w:rsid w:val="13D604FC"/>
    <w:rsid w:val="13D86D38"/>
    <w:rsid w:val="13EA5710"/>
    <w:rsid w:val="13EE2102"/>
    <w:rsid w:val="13FB6861"/>
    <w:rsid w:val="1404150D"/>
    <w:rsid w:val="141C503C"/>
    <w:rsid w:val="142E60F1"/>
    <w:rsid w:val="144301ED"/>
    <w:rsid w:val="144C164E"/>
    <w:rsid w:val="14675FE4"/>
    <w:rsid w:val="14740441"/>
    <w:rsid w:val="14EE1392"/>
    <w:rsid w:val="14FA105F"/>
    <w:rsid w:val="14FA70B3"/>
    <w:rsid w:val="14FF691B"/>
    <w:rsid w:val="156404B5"/>
    <w:rsid w:val="158154E0"/>
    <w:rsid w:val="158E5D46"/>
    <w:rsid w:val="15997A33"/>
    <w:rsid w:val="15AA34D9"/>
    <w:rsid w:val="15B7611B"/>
    <w:rsid w:val="15BB6A86"/>
    <w:rsid w:val="15CA2D3E"/>
    <w:rsid w:val="15EC3240"/>
    <w:rsid w:val="16046113"/>
    <w:rsid w:val="160B1739"/>
    <w:rsid w:val="161B7278"/>
    <w:rsid w:val="161C73B6"/>
    <w:rsid w:val="162057B7"/>
    <w:rsid w:val="162F2A81"/>
    <w:rsid w:val="16820946"/>
    <w:rsid w:val="169B5F00"/>
    <w:rsid w:val="16AE2707"/>
    <w:rsid w:val="16B836EB"/>
    <w:rsid w:val="16D937A2"/>
    <w:rsid w:val="16E56295"/>
    <w:rsid w:val="16E92198"/>
    <w:rsid w:val="16EB2510"/>
    <w:rsid w:val="16EF2F20"/>
    <w:rsid w:val="174026A4"/>
    <w:rsid w:val="17403BFC"/>
    <w:rsid w:val="17785DBB"/>
    <w:rsid w:val="177B3B66"/>
    <w:rsid w:val="178177FC"/>
    <w:rsid w:val="17C05C5D"/>
    <w:rsid w:val="17C31EBA"/>
    <w:rsid w:val="17D52699"/>
    <w:rsid w:val="181C1DF0"/>
    <w:rsid w:val="1840373B"/>
    <w:rsid w:val="18571F1E"/>
    <w:rsid w:val="185A794E"/>
    <w:rsid w:val="18624A54"/>
    <w:rsid w:val="18B27E87"/>
    <w:rsid w:val="18B50076"/>
    <w:rsid w:val="18D170B7"/>
    <w:rsid w:val="18D531C8"/>
    <w:rsid w:val="18E44DA2"/>
    <w:rsid w:val="18E734D9"/>
    <w:rsid w:val="18EE65ED"/>
    <w:rsid w:val="18F21841"/>
    <w:rsid w:val="18F3467C"/>
    <w:rsid w:val="18F4335B"/>
    <w:rsid w:val="18F56384"/>
    <w:rsid w:val="18FF04F5"/>
    <w:rsid w:val="19124356"/>
    <w:rsid w:val="191E097B"/>
    <w:rsid w:val="19527158"/>
    <w:rsid w:val="19765C5A"/>
    <w:rsid w:val="197A76C3"/>
    <w:rsid w:val="19850202"/>
    <w:rsid w:val="19B16A2E"/>
    <w:rsid w:val="19B21A8F"/>
    <w:rsid w:val="1A054B22"/>
    <w:rsid w:val="1A165AF6"/>
    <w:rsid w:val="1A1A6F88"/>
    <w:rsid w:val="1A1C4038"/>
    <w:rsid w:val="1A2975D8"/>
    <w:rsid w:val="1A4961D8"/>
    <w:rsid w:val="1AA470CC"/>
    <w:rsid w:val="1AA94FAD"/>
    <w:rsid w:val="1AAE7E53"/>
    <w:rsid w:val="1ADC57A1"/>
    <w:rsid w:val="1AED4B34"/>
    <w:rsid w:val="1B027E29"/>
    <w:rsid w:val="1B085454"/>
    <w:rsid w:val="1B2970EC"/>
    <w:rsid w:val="1B3F2A1D"/>
    <w:rsid w:val="1B745D0A"/>
    <w:rsid w:val="1BAD0C89"/>
    <w:rsid w:val="1BAF7EAF"/>
    <w:rsid w:val="1BCC553F"/>
    <w:rsid w:val="1BDD46CB"/>
    <w:rsid w:val="1BF6777A"/>
    <w:rsid w:val="1C144976"/>
    <w:rsid w:val="1C38638D"/>
    <w:rsid w:val="1C5032ED"/>
    <w:rsid w:val="1C6F7283"/>
    <w:rsid w:val="1C7138DF"/>
    <w:rsid w:val="1C773183"/>
    <w:rsid w:val="1C7B68E7"/>
    <w:rsid w:val="1C935D86"/>
    <w:rsid w:val="1CA52281"/>
    <w:rsid w:val="1CB2718E"/>
    <w:rsid w:val="1CF147DB"/>
    <w:rsid w:val="1D077978"/>
    <w:rsid w:val="1D266867"/>
    <w:rsid w:val="1D2B6A45"/>
    <w:rsid w:val="1D2B79ED"/>
    <w:rsid w:val="1D301FD7"/>
    <w:rsid w:val="1D434E54"/>
    <w:rsid w:val="1D4B2B83"/>
    <w:rsid w:val="1D5B5109"/>
    <w:rsid w:val="1D655C57"/>
    <w:rsid w:val="1D80025A"/>
    <w:rsid w:val="1D900B8A"/>
    <w:rsid w:val="1DAF17FD"/>
    <w:rsid w:val="1E040EC5"/>
    <w:rsid w:val="1E065834"/>
    <w:rsid w:val="1E2414DB"/>
    <w:rsid w:val="1E4E30A5"/>
    <w:rsid w:val="1E5135A1"/>
    <w:rsid w:val="1E7428F3"/>
    <w:rsid w:val="1E780FC2"/>
    <w:rsid w:val="1E7B2E90"/>
    <w:rsid w:val="1E7E77ED"/>
    <w:rsid w:val="1E933BB9"/>
    <w:rsid w:val="1E992226"/>
    <w:rsid w:val="1EA25BAA"/>
    <w:rsid w:val="1EAB5BE9"/>
    <w:rsid w:val="1EDC3534"/>
    <w:rsid w:val="1EE87C34"/>
    <w:rsid w:val="1F36196C"/>
    <w:rsid w:val="1F455E77"/>
    <w:rsid w:val="1F50309A"/>
    <w:rsid w:val="1F7126D6"/>
    <w:rsid w:val="1F88508B"/>
    <w:rsid w:val="1F964BB8"/>
    <w:rsid w:val="1FBF2953"/>
    <w:rsid w:val="1FCF29CF"/>
    <w:rsid w:val="1FD6498A"/>
    <w:rsid w:val="1FD712AF"/>
    <w:rsid w:val="1FF65977"/>
    <w:rsid w:val="20056D5F"/>
    <w:rsid w:val="20121328"/>
    <w:rsid w:val="20144684"/>
    <w:rsid w:val="206D4637"/>
    <w:rsid w:val="206F3855"/>
    <w:rsid w:val="20877073"/>
    <w:rsid w:val="20A01978"/>
    <w:rsid w:val="20BE1C93"/>
    <w:rsid w:val="20C30E4D"/>
    <w:rsid w:val="20EE3372"/>
    <w:rsid w:val="20FC2011"/>
    <w:rsid w:val="20FC209C"/>
    <w:rsid w:val="210B2C77"/>
    <w:rsid w:val="212F0ECA"/>
    <w:rsid w:val="2138365E"/>
    <w:rsid w:val="213D605E"/>
    <w:rsid w:val="213E2122"/>
    <w:rsid w:val="214E750F"/>
    <w:rsid w:val="215E0BD7"/>
    <w:rsid w:val="21614F5F"/>
    <w:rsid w:val="216A5A2D"/>
    <w:rsid w:val="216E4CAE"/>
    <w:rsid w:val="21835537"/>
    <w:rsid w:val="218E0AB7"/>
    <w:rsid w:val="21923CF6"/>
    <w:rsid w:val="21936008"/>
    <w:rsid w:val="21A34113"/>
    <w:rsid w:val="21A92BF6"/>
    <w:rsid w:val="21B42F68"/>
    <w:rsid w:val="21B53E47"/>
    <w:rsid w:val="21C939E3"/>
    <w:rsid w:val="21E93835"/>
    <w:rsid w:val="21F35664"/>
    <w:rsid w:val="21F42870"/>
    <w:rsid w:val="220608A2"/>
    <w:rsid w:val="22144138"/>
    <w:rsid w:val="221A4717"/>
    <w:rsid w:val="223B1DE4"/>
    <w:rsid w:val="226F3EA1"/>
    <w:rsid w:val="22A760EE"/>
    <w:rsid w:val="22C6038A"/>
    <w:rsid w:val="22C759AB"/>
    <w:rsid w:val="22CC1A47"/>
    <w:rsid w:val="23176E87"/>
    <w:rsid w:val="231A2EF1"/>
    <w:rsid w:val="232767B3"/>
    <w:rsid w:val="233A57F2"/>
    <w:rsid w:val="23531B69"/>
    <w:rsid w:val="23AC6925"/>
    <w:rsid w:val="23B056B8"/>
    <w:rsid w:val="23B86207"/>
    <w:rsid w:val="23E17175"/>
    <w:rsid w:val="24286D93"/>
    <w:rsid w:val="24336D71"/>
    <w:rsid w:val="24423306"/>
    <w:rsid w:val="244D46C6"/>
    <w:rsid w:val="249E0E6E"/>
    <w:rsid w:val="24B96150"/>
    <w:rsid w:val="24D93F08"/>
    <w:rsid w:val="24DA544A"/>
    <w:rsid w:val="24FE5B05"/>
    <w:rsid w:val="2510666A"/>
    <w:rsid w:val="25245192"/>
    <w:rsid w:val="25272F93"/>
    <w:rsid w:val="252D1B28"/>
    <w:rsid w:val="252E7404"/>
    <w:rsid w:val="253D487F"/>
    <w:rsid w:val="254D755E"/>
    <w:rsid w:val="255132F3"/>
    <w:rsid w:val="255865E6"/>
    <w:rsid w:val="256529DE"/>
    <w:rsid w:val="25822292"/>
    <w:rsid w:val="25A246E2"/>
    <w:rsid w:val="25A86CFA"/>
    <w:rsid w:val="25D02FCB"/>
    <w:rsid w:val="25E14D11"/>
    <w:rsid w:val="25E3318D"/>
    <w:rsid w:val="25FB41C7"/>
    <w:rsid w:val="25FC2044"/>
    <w:rsid w:val="25FC7EC5"/>
    <w:rsid w:val="26004F05"/>
    <w:rsid w:val="26044669"/>
    <w:rsid w:val="26404627"/>
    <w:rsid w:val="26527EB6"/>
    <w:rsid w:val="266B541C"/>
    <w:rsid w:val="26793695"/>
    <w:rsid w:val="267B191F"/>
    <w:rsid w:val="26942BF1"/>
    <w:rsid w:val="269B7AAF"/>
    <w:rsid w:val="26AA1F72"/>
    <w:rsid w:val="26B10A57"/>
    <w:rsid w:val="26BE5300"/>
    <w:rsid w:val="26C57BD8"/>
    <w:rsid w:val="26C666B7"/>
    <w:rsid w:val="26CC5EBA"/>
    <w:rsid w:val="26DA531C"/>
    <w:rsid w:val="26E8517C"/>
    <w:rsid w:val="270D1509"/>
    <w:rsid w:val="272015A4"/>
    <w:rsid w:val="27244456"/>
    <w:rsid w:val="272E5D11"/>
    <w:rsid w:val="27341F26"/>
    <w:rsid w:val="274C15DF"/>
    <w:rsid w:val="275C6A9D"/>
    <w:rsid w:val="27837F5E"/>
    <w:rsid w:val="2792666F"/>
    <w:rsid w:val="27A460F5"/>
    <w:rsid w:val="27A91D5E"/>
    <w:rsid w:val="27AC3AED"/>
    <w:rsid w:val="27CF189A"/>
    <w:rsid w:val="27FF2B85"/>
    <w:rsid w:val="2802752A"/>
    <w:rsid w:val="28310B13"/>
    <w:rsid w:val="28355CE1"/>
    <w:rsid w:val="2838338C"/>
    <w:rsid w:val="28560734"/>
    <w:rsid w:val="287A6469"/>
    <w:rsid w:val="288F4789"/>
    <w:rsid w:val="2898780B"/>
    <w:rsid w:val="28B9421C"/>
    <w:rsid w:val="28BB16CA"/>
    <w:rsid w:val="28E13773"/>
    <w:rsid w:val="28F142C4"/>
    <w:rsid w:val="28F72F97"/>
    <w:rsid w:val="28F74E67"/>
    <w:rsid w:val="290031FD"/>
    <w:rsid w:val="291D29FD"/>
    <w:rsid w:val="292875F4"/>
    <w:rsid w:val="293711C1"/>
    <w:rsid w:val="293924BD"/>
    <w:rsid w:val="294645D2"/>
    <w:rsid w:val="29486EF2"/>
    <w:rsid w:val="296F5223"/>
    <w:rsid w:val="29705907"/>
    <w:rsid w:val="29723E17"/>
    <w:rsid w:val="299A1FDE"/>
    <w:rsid w:val="299A2E34"/>
    <w:rsid w:val="299F68C7"/>
    <w:rsid w:val="29AF4A94"/>
    <w:rsid w:val="29BD6562"/>
    <w:rsid w:val="29C97BF2"/>
    <w:rsid w:val="29F06976"/>
    <w:rsid w:val="2A226C84"/>
    <w:rsid w:val="2A42699A"/>
    <w:rsid w:val="2A5C20BF"/>
    <w:rsid w:val="2A8C0185"/>
    <w:rsid w:val="2A945D69"/>
    <w:rsid w:val="2A9C7121"/>
    <w:rsid w:val="2AA36F46"/>
    <w:rsid w:val="2AD664F2"/>
    <w:rsid w:val="2AEA264B"/>
    <w:rsid w:val="2AEA5922"/>
    <w:rsid w:val="2B027393"/>
    <w:rsid w:val="2B165B4A"/>
    <w:rsid w:val="2B1B0154"/>
    <w:rsid w:val="2B1B66EE"/>
    <w:rsid w:val="2B24677F"/>
    <w:rsid w:val="2B2A31B0"/>
    <w:rsid w:val="2B2A5B69"/>
    <w:rsid w:val="2B430715"/>
    <w:rsid w:val="2BA278B7"/>
    <w:rsid w:val="2BA56115"/>
    <w:rsid w:val="2BB8407D"/>
    <w:rsid w:val="2BF527B3"/>
    <w:rsid w:val="2BF978E3"/>
    <w:rsid w:val="2C0F23A5"/>
    <w:rsid w:val="2C1571A4"/>
    <w:rsid w:val="2C222404"/>
    <w:rsid w:val="2C3640B6"/>
    <w:rsid w:val="2C726890"/>
    <w:rsid w:val="2C78001B"/>
    <w:rsid w:val="2CBF278A"/>
    <w:rsid w:val="2CC35BB7"/>
    <w:rsid w:val="2CF56BB7"/>
    <w:rsid w:val="2D0619FA"/>
    <w:rsid w:val="2D0A6E70"/>
    <w:rsid w:val="2D0B562C"/>
    <w:rsid w:val="2D0D2B31"/>
    <w:rsid w:val="2D1B54A6"/>
    <w:rsid w:val="2D4F15F3"/>
    <w:rsid w:val="2D643754"/>
    <w:rsid w:val="2D75574F"/>
    <w:rsid w:val="2D7865A2"/>
    <w:rsid w:val="2D796670"/>
    <w:rsid w:val="2D8B3E9F"/>
    <w:rsid w:val="2D8E0383"/>
    <w:rsid w:val="2DD63EE9"/>
    <w:rsid w:val="2E0B7AD5"/>
    <w:rsid w:val="2E2D6347"/>
    <w:rsid w:val="2E4452A4"/>
    <w:rsid w:val="2E4F6ECD"/>
    <w:rsid w:val="2E854757"/>
    <w:rsid w:val="2E8619F0"/>
    <w:rsid w:val="2E9A0C4D"/>
    <w:rsid w:val="2E9E2D5B"/>
    <w:rsid w:val="2EB1680A"/>
    <w:rsid w:val="2EB2651F"/>
    <w:rsid w:val="2EEF30C3"/>
    <w:rsid w:val="2F042919"/>
    <w:rsid w:val="2F17699A"/>
    <w:rsid w:val="2F24231B"/>
    <w:rsid w:val="2F2B7A76"/>
    <w:rsid w:val="2F422131"/>
    <w:rsid w:val="2F4F47A7"/>
    <w:rsid w:val="2F8000BC"/>
    <w:rsid w:val="2F887E93"/>
    <w:rsid w:val="2F975CBF"/>
    <w:rsid w:val="2FAC61A1"/>
    <w:rsid w:val="2FB7522E"/>
    <w:rsid w:val="2FB90860"/>
    <w:rsid w:val="2FC11140"/>
    <w:rsid w:val="2FD0482B"/>
    <w:rsid w:val="2FDA56AD"/>
    <w:rsid w:val="2FF14953"/>
    <w:rsid w:val="30003794"/>
    <w:rsid w:val="300456D0"/>
    <w:rsid w:val="30134261"/>
    <w:rsid w:val="30142680"/>
    <w:rsid w:val="307B2EA6"/>
    <w:rsid w:val="30A6006B"/>
    <w:rsid w:val="30B628D6"/>
    <w:rsid w:val="30BC16A8"/>
    <w:rsid w:val="30D75D5A"/>
    <w:rsid w:val="30DA52AB"/>
    <w:rsid w:val="30F753D6"/>
    <w:rsid w:val="31012C04"/>
    <w:rsid w:val="312B1A2F"/>
    <w:rsid w:val="315941D9"/>
    <w:rsid w:val="31892293"/>
    <w:rsid w:val="31B732C3"/>
    <w:rsid w:val="31C92F8F"/>
    <w:rsid w:val="31D565CF"/>
    <w:rsid w:val="31E63303"/>
    <w:rsid w:val="32004AC2"/>
    <w:rsid w:val="320F74C2"/>
    <w:rsid w:val="32255725"/>
    <w:rsid w:val="322F37A1"/>
    <w:rsid w:val="323401C8"/>
    <w:rsid w:val="323526E6"/>
    <w:rsid w:val="32607DFF"/>
    <w:rsid w:val="326C27CF"/>
    <w:rsid w:val="327D6165"/>
    <w:rsid w:val="328238D1"/>
    <w:rsid w:val="32850967"/>
    <w:rsid w:val="32AB61D0"/>
    <w:rsid w:val="32BE4247"/>
    <w:rsid w:val="32D22AAA"/>
    <w:rsid w:val="32F0696D"/>
    <w:rsid w:val="32F30954"/>
    <w:rsid w:val="330041FB"/>
    <w:rsid w:val="335962B8"/>
    <w:rsid w:val="337916D3"/>
    <w:rsid w:val="337E6A24"/>
    <w:rsid w:val="33C7778A"/>
    <w:rsid w:val="33CB684D"/>
    <w:rsid w:val="33E5470D"/>
    <w:rsid w:val="33E660E2"/>
    <w:rsid w:val="33FE67C7"/>
    <w:rsid w:val="3401306A"/>
    <w:rsid w:val="346040E6"/>
    <w:rsid w:val="34741917"/>
    <w:rsid w:val="347D4B77"/>
    <w:rsid w:val="34A02A78"/>
    <w:rsid w:val="34A341EA"/>
    <w:rsid w:val="34A81BBF"/>
    <w:rsid w:val="34B00BC9"/>
    <w:rsid w:val="34B442FA"/>
    <w:rsid w:val="34B87EDC"/>
    <w:rsid w:val="34C16A32"/>
    <w:rsid w:val="34D32BE5"/>
    <w:rsid w:val="34D742B4"/>
    <w:rsid w:val="34E73858"/>
    <w:rsid w:val="350C2E06"/>
    <w:rsid w:val="351647A5"/>
    <w:rsid w:val="351F7AFD"/>
    <w:rsid w:val="35252191"/>
    <w:rsid w:val="353903A7"/>
    <w:rsid w:val="35401A13"/>
    <w:rsid w:val="35402714"/>
    <w:rsid w:val="35747173"/>
    <w:rsid w:val="3595456B"/>
    <w:rsid w:val="35963632"/>
    <w:rsid w:val="359C5DB9"/>
    <w:rsid w:val="35A6207C"/>
    <w:rsid w:val="35CA70C7"/>
    <w:rsid w:val="35D2691D"/>
    <w:rsid w:val="35EB7B62"/>
    <w:rsid w:val="35F50D12"/>
    <w:rsid w:val="360C257C"/>
    <w:rsid w:val="36235D0C"/>
    <w:rsid w:val="36263282"/>
    <w:rsid w:val="365A344D"/>
    <w:rsid w:val="36CA5626"/>
    <w:rsid w:val="36DC6F87"/>
    <w:rsid w:val="36F32FEF"/>
    <w:rsid w:val="36FC0855"/>
    <w:rsid w:val="37103CE4"/>
    <w:rsid w:val="371B7A7D"/>
    <w:rsid w:val="374C2700"/>
    <w:rsid w:val="374C463E"/>
    <w:rsid w:val="375872F6"/>
    <w:rsid w:val="37616014"/>
    <w:rsid w:val="37695060"/>
    <w:rsid w:val="37704640"/>
    <w:rsid w:val="37714421"/>
    <w:rsid w:val="37A77FE6"/>
    <w:rsid w:val="37AB4D03"/>
    <w:rsid w:val="37B4472A"/>
    <w:rsid w:val="37C85386"/>
    <w:rsid w:val="382C6322"/>
    <w:rsid w:val="382E1B81"/>
    <w:rsid w:val="383921C5"/>
    <w:rsid w:val="38436A1B"/>
    <w:rsid w:val="389077B7"/>
    <w:rsid w:val="389634EA"/>
    <w:rsid w:val="38AD4D49"/>
    <w:rsid w:val="38C60361"/>
    <w:rsid w:val="38CC5626"/>
    <w:rsid w:val="38CE5AC2"/>
    <w:rsid w:val="38DD3AEC"/>
    <w:rsid w:val="38E92FFB"/>
    <w:rsid w:val="38EF27D7"/>
    <w:rsid w:val="38F31085"/>
    <w:rsid w:val="393B03E5"/>
    <w:rsid w:val="393D2FEA"/>
    <w:rsid w:val="395D33BC"/>
    <w:rsid w:val="396E515E"/>
    <w:rsid w:val="39731895"/>
    <w:rsid w:val="39945203"/>
    <w:rsid w:val="399C375E"/>
    <w:rsid w:val="399D5D37"/>
    <w:rsid w:val="399F120C"/>
    <w:rsid w:val="39B2653A"/>
    <w:rsid w:val="39B50595"/>
    <w:rsid w:val="39B747A8"/>
    <w:rsid w:val="39C50597"/>
    <w:rsid w:val="3A152556"/>
    <w:rsid w:val="3A1D1D4C"/>
    <w:rsid w:val="3A2412BB"/>
    <w:rsid w:val="3A2F6786"/>
    <w:rsid w:val="3A483236"/>
    <w:rsid w:val="3A5A1E4C"/>
    <w:rsid w:val="3A6847C9"/>
    <w:rsid w:val="3A6C358A"/>
    <w:rsid w:val="3A775CE5"/>
    <w:rsid w:val="3A8F7591"/>
    <w:rsid w:val="3ACD43A3"/>
    <w:rsid w:val="3AF24F9D"/>
    <w:rsid w:val="3AFA660C"/>
    <w:rsid w:val="3B100519"/>
    <w:rsid w:val="3B161D72"/>
    <w:rsid w:val="3B216733"/>
    <w:rsid w:val="3B39593F"/>
    <w:rsid w:val="3B4A7704"/>
    <w:rsid w:val="3B902A5B"/>
    <w:rsid w:val="3BB8261B"/>
    <w:rsid w:val="3BCF3F13"/>
    <w:rsid w:val="3BD76299"/>
    <w:rsid w:val="3BE00DB7"/>
    <w:rsid w:val="3C125CC6"/>
    <w:rsid w:val="3C1A101E"/>
    <w:rsid w:val="3C8025FC"/>
    <w:rsid w:val="3C8545A5"/>
    <w:rsid w:val="3C9A2914"/>
    <w:rsid w:val="3C9B3C26"/>
    <w:rsid w:val="3CA10F84"/>
    <w:rsid w:val="3CC3387E"/>
    <w:rsid w:val="3CD04D51"/>
    <w:rsid w:val="3CF92922"/>
    <w:rsid w:val="3D060EA1"/>
    <w:rsid w:val="3D072B19"/>
    <w:rsid w:val="3D083034"/>
    <w:rsid w:val="3D1141CF"/>
    <w:rsid w:val="3D1A5B92"/>
    <w:rsid w:val="3D2D7FE0"/>
    <w:rsid w:val="3D68056A"/>
    <w:rsid w:val="3D7A4ADC"/>
    <w:rsid w:val="3D86525B"/>
    <w:rsid w:val="3D883C6D"/>
    <w:rsid w:val="3DB37CD6"/>
    <w:rsid w:val="3DC41242"/>
    <w:rsid w:val="3DE11D98"/>
    <w:rsid w:val="3DE418E4"/>
    <w:rsid w:val="3DE9278F"/>
    <w:rsid w:val="3E0F175C"/>
    <w:rsid w:val="3E2648B8"/>
    <w:rsid w:val="3E2D2E4F"/>
    <w:rsid w:val="3E2D328B"/>
    <w:rsid w:val="3E370A67"/>
    <w:rsid w:val="3E3C7763"/>
    <w:rsid w:val="3E5A34E3"/>
    <w:rsid w:val="3E5B7B33"/>
    <w:rsid w:val="3E7333D7"/>
    <w:rsid w:val="3E822CEE"/>
    <w:rsid w:val="3E9C1685"/>
    <w:rsid w:val="3E9E1B66"/>
    <w:rsid w:val="3EF77E5D"/>
    <w:rsid w:val="3F0A697F"/>
    <w:rsid w:val="3F297DF1"/>
    <w:rsid w:val="3F485BEB"/>
    <w:rsid w:val="3F5900B0"/>
    <w:rsid w:val="3F687B78"/>
    <w:rsid w:val="3F964E60"/>
    <w:rsid w:val="3FA767A4"/>
    <w:rsid w:val="3FB419A8"/>
    <w:rsid w:val="3FBD063E"/>
    <w:rsid w:val="3FDF1E7B"/>
    <w:rsid w:val="3FE60EBA"/>
    <w:rsid w:val="3FEE29DF"/>
    <w:rsid w:val="3FF102E8"/>
    <w:rsid w:val="4006297D"/>
    <w:rsid w:val="40194B0B"/>
    <w:rsid w:val="401F289E"/>
    <w:rsid w:val="402C027F"/>
    <w:rsid w:val="40426219"/>
    <w:rsid w:val="40740518"/>
    <w:rsid w:val="40902F74"/>
    <w:rsid w:val="409902B8"/>
    <w:rsid w:val="40AA6697"/>
    <w:rsid w:val="40D95004"/>
    <w:rsid w:val="40F90690"/>
    <w:rsid w:val="41391F47"/>
    <w:rsid w:val="41541B00"/>
    <w:rsid w:val="416F7716"/>
    <w:rsid w:val="417E6640"/>
    <w:rsid w:val="41907A20"/>
    <w:rsid w:val="41A97964"/>
    <w:rsid w:val="41AB2882"/>
    <w:rsid w:val="41B96DC6"/>
    <w:rsid w:val="41C4704D"/>
    <w:rsid w:val="41C51A2C"/>
    <w:rsid w:val="41D20A68"/>
    <w:rsid w:val="41D31923"/>
    <w:rsid w:val="41F71F64"/>
    <w:rsid w:val="420F2CA7"/>
    <w:rsid w:val="421801B3"/>
    <w:rsid w:val="421D1FA8"/>
    <w:rsid w:val="42207053"/>
    <w:rsid w:val="423B4D2D"/>
    <w:rsid w:val="425F59DD"/>
    <w:rsid w:val="42843F83"/>
    <w:rsid w:val="428A52BA"/>
    <w:rsid w:val="429E6EC5"/>
    <w:rsid w:val="42A41642"/>
    <w:rsid w:val="42BC0E36"/>
    <w:rsid w:val="42C47A93"/>
    <w:rsid w:val="42CD0836"/>
    <w:rsid w:val="42D533A4"/>
    <w:rsid w:val="42DB67C2"/>
    <w:rsid w:val="42E46282"/>
    <w:rsid w:val="42E94CF2"/>
    <w:rsid w:val="42EA27E1"/>
    <w:rsid w:val="42EF5E0A"/>
    <w:rsid w:val="42FE2D71"/>
    <w:rsid w:val="43082C6F"/>
    <w:rsid w:val="430C1CEE"/>
    <w:rsid w:val="430E44A8"/>
    <w:rsid w:val="43187281"/>
    <w:rsid w:val="43254E1F"/>
    <w:rsid w:val="432602A9"/>
    <w:rsid w:val="43345BA0"/>
    <w:rsid w:val="433C0DD2"/>
    <w:rsid w:val="435B29B2"/>
    <w:rsid w:val="43744C84"/>
    <w:rsid w:val="43774FEC"/>
    <w:rsid w:val="439F6E6A"/>
    <w:rsid w:val="43A16A95"/>
    <w:rsid w:val="43C53F65"/>
    <w:rsid w:val="43DD653C"/>
    <w:rsid w:val="43DF57A0"/>
    <w:rsid w:val="440D71ED"/>
    <w:rsid w:val="4441079C"/>
    <w:rsid w:val="444C30A4"/>
    <w:rsid w:val="44515624"/>
    <w:rsid w:val="44965297"/>
    <w:rsid w:val="44C935E1"/>
    <w:rsid w:val="44CD5F14"/>
    <w:rsid w:val="44D71DB5"/>
    <w:rsid w:val="44DC3315"/>
    <w:rsid w:val="44EB12BC"/>
    <w:rsid w:val="44FE5177"/>
    <w:rsid w:val="45220E03"/>
    <w:rsid w:val="454A3FF2"/>
    <w:rsid w:val="456C2654"/>
    <w:rsid w:val="457004A6"/>
    <w:rsid w:val="457231C7"/>
    <w:rsid w:val="457D7EB5"/>
    <w:rsid w:val="457F201D"/>
    <w:rsid w:val="45944BB6"/>
    <w:rsid w:val="45D36916"/>
    <w:rsid w:val="46133B47"/>
    <w:rsid w:val="461D5993"/>
    <w:rsid w:val="464515FE"/>
    <w:rsid w:val="46650457"/>
    <w:rsid w:val="469A206D"/>
    <w:rsid w:val="46CF777B"/>
    <w:rsid w:val="46E97F6B"/>
    <w:rsid w:val="46F06879"/>
    <w:rsid w:val="46FB716D"/>
    <w:rsid w:val="46FB75DC"/>
    <w:rsid w:val="471C0679"/>
    <w:rsid w:val="474641FC"/>
    <w:rsid w:val="4755586A"/>
    <w:rsid w:val="477379C1"/>
    <w:rsid w:val="47843168"/>
    <w:rsid w:val="478D7D35"/>
    <w:rsid w:val="47A04C96"/>
    <w:rsid w:val="47A47E2F"/>
    <w:rsid w:val="47D209FF"/>
    <w:rsid w:val="48056D08"/>
    <w:rsid w:val="481D5547"/>
    <w:rsid w:val="484566F6"/>
    <w:rsid w:val="484E0159"/>
    <w:rsid w:val="48515C50"/>
    <w:rsid w:val="485D0711"/>
    <w:rsid w:val="48711FC6"/>
    <w:rsid w:val="487C460D"/>
    <w:rsid w:val="488364F8"/>
    <w:rsid w:val="48897B8D"/>
    <w:rsid w:val="48AD5C29"/>
    <w:rsid w:val="48AE4FC8"/>
    <w:rsid w:val="48C57601"/>
    <w:rsid w:val="48D224D7"/>
    <w:rsid w:val="48EE4F74"/>
    <w:rsid w:val="48F46342"/>
    <w:rsid w:val="490A505A"/>
    <w:rsid w:val="49126F1D"/>
    <w:rsid w:val="49193C06"/>
    <w:rsid w:val="49224F88"/>
    <w:rsid w:val="49312C55"/>
    <w:rsid w:val="493D2391"/>
    <w:rsid w:val="4945569B"/>
    <w:rsid w:val="4969575E"/>
    <w:rsid w:val="496B1633"/>
    <w:rsid w:val="497142E6"/>
    <w:rsid w:val="49733534"/>
    <w:rsid w:val="497F6965"/>
    <w:rsid w:val="4988097F"/>
    <w:rsid w:val="499B6895"/>
    <w:rsid w:val="499C338D"/>
    <w:rsid w:val="49B06604"/>
    <w:rsid w:val="49B153E9"/>
    <w:rsid w:val="49B760FE"/>
    <w:rsid w:val="49B76741"/>
    <w:rsid w:val="49EC3AB6"/>
    <w:rsid w:val="4A003601"/>
    <w:rsid w:val="4A084BAC"/>
    <w:rsid w:val="4A270ABF"/>
    <w:rsid w:val="4A3765DC"/>
    <w:rsid w:val="4A541B9F"/>
    <w:rsid w:val="4A7B379D"/>
    <w:rsid w:val="4AA51C67"/>
    <w:rsid w:val="4AB05C25"/>
    <w:rsid w:val="4AB2268C"/>
    <w:rsid w:val="4ABE4728"/>
    <w:rsid w:val="4AF901F8"/>
    <w:rsid w:val="4B120564"/>
    <w:rsid w:val="4B296CDC"/>
    <w:rsid w:val="4B2C0426"/>
    <w:rsid w:val="4B3240E3"/>
    <w:rsid w:val="4B4A73D4"/>
    <w:rsid w:val="4B4B33B0"/>
    <w:rsid w:val="4B5E048D"/>
    <w:rsid w:val="4B7C00B3"/>
    <w:rsid w:val="4B7C4C05"/>
    <w:rsid w:val="4B8B1380"/>
    <w:rsid w:val="4B9D30D2"/>
    <w:rsid w:val="4BA91A77"/>
    <w:rsid w:val="4BAF7C4B"/>
    <w:rsid w:val="4BE5063D"/>
    <w:rsid w:val="4BE64FD6"/>
    <w:rsid w:val="4BE81C5A"/>
    <w:rsid w:val="4BEB6D97"/>
    <w:rsid w:val="4C002C44"/>
    <w:rsid w:val="4C260D7D"/>
    <w:rsid w:val="4C331E0E"/>
    <w:rsid w:val="4C3677AE"/>
    <w:rsid w:val="4C4C184F"/>
    <w:rsid w:val="4C570964"/>
    <w:rsid w:val="4C6009AA"/>
    <w:rsid w:val="4C7D6B0F"/>
    <w:rsid w:val="4C9D4875"/>
    <w:rsid w:val="4CA23096"/>
    <w:rsid w:val="4CD933FC"/>
    <w:rsid w:val="4D095984"/>
    <w:rsid w:val="4D0C52E9"/>
    <w:rsid w:val="4D270C24"/>
    <w:rsid w:val="4D442BB5"/>
    <w:rsid w:val="4D493511"/>
    <w:rsid w:val="4D6A3AF7"/>
    <w:rsid w:val="4D6E0465"/>
    <w:rsid w:val="4D7A7D21"/>
    <w:rsid w:val="4D8D08B2"/>
    <w:rsid w:val="4D9B2E74"/>
    <w:rsid w:val="4DB43E99"/>
    <w:rsid w:val="4DC333A7"/>
    <w:rsid w:val="4DC56AE0"/>
    <w:rsid w:val="4E0E7AA2"/>
    <w:rsid w:val="4E177623"/>
    <w:rsid w:val="4E275F37"/>
    <w:rsid w:val="4E2E2F9A"/>
    <w:rsid w:val="4E2F2707"/>
    <w:rsid w:val="4E3A5144"/>
    <w:rsid w:val="4E3E294A"/>
    <w:rsid w:val="4E540A1E"/>
    <w:rsid w:val="4E5D7C4F"/>
    <w:rsid w:val="4E6B4968"/>
    <w:rsid w:val="4E746CA4"/>
    <w:rsid w:val="4ECE137E"/>
    <w:rsid w:val="4ED559E6"/>
    <w:rsid w:val="4EE6274C"/>
    <w:rsid w:val="4F0771E0"/>
    <w:rsid w:val="4F1E452A"/>
    <w:rsid w:val="4F3F1118"/>
    <w:rsid w:val="4F43714D"/>
    <w:rsid w:val="4F6939F7"/>
    <w:rsid w:val="4F71072F"/>
    <w:rsid w:val="4F712CF8"/>
    <w:rsid w:val="4F7B15DC"/>
    <w:rsid w:val="4F7F2836"/>
    <w:rsid w:val="4F9051E2"/>
    <w:rsid w:val="4FB13853"/>
    <w:rsid w:val="4FB87663"/>
    <w:rsid w:val="4FC926E8"/>
    <w:rsid w:val="4FE0747D"/>
    <w:rsid w:val="4FE349DF"/>
    <w:rsid w:val="4FF94E4D"/>
    <w:rsid w:val="4FFA2EB9"/>
    <w:rsid w:val="50393349"/>
    <w:rsid w:val="505C4C73"/>
    <w:rsid w:val="50611CAB"/>
    <w:rsid w:val="506D4116"/>
    <w:rsid w:val="50976144"/>
    <w:rsid w:val="50A638E3"/>
    <w:rsid w:val="50D24CCC"/>
    <w:rsid w:val="50E4133A"/>
    <w:rsid w:val="51087240"/>
    <w:rsid w:val="510C6D30"/>
    <w:rsid w:val="51220AD9"/>
    <w:rsid w:val="512B59D0"/>
    <w:rsid w:val="51501D56"/>
    <w:rsid w:val="51791D8F"/>
    <w:rsid w:val="51847DFE"/>
    <w:rsid w:val="51900A8A"/>
    <w:rsid w:val="51943FF3"/>
    <w:rsid w:val="51A02B5C"/>
    <w:rsid w:val="51B74CF4"/>
    <w:rsid w:val="51CF3FB8"/>
    <w:rsid w:val="51E24773"/>
    <w:rsid w:val="51EA0E62"/>
    <w:rsid w:val="51F36142"/>
    <w:rsid w:val="521F1DBE"/>
    <w:rsid w:val="522B768A"/>
    <w:rsid w:val="528467AB"/>
    <w:rsid w:val="528D5C4E"/>
    <w:rsid w:val="5290573F"/>
    <w:rsid w:val="529D04E2"/>
    <w:rsid w:val="52B0369A"/>
    <w:rsid w:val="52B551A5"/>
    <w:rsid w:val="52BF33F6"/>
    <w:rsid w:val="52E146E1"/>
    <w:rsid w:val="52E92859"/>
    <w:rsid w:val="530E42C3"/>
    <w:rsid w:val="53110949"/>
    <w:rsid w:val="5319114B"/>
    <w:rsid w:val="531D3476"/>
    <w:rsid w:val="5325057D"/>
    <w:rsid w:val="532607A4"/>
    <w:rsid w:val="534B3DB4"/>
    <w:rsid w:val="5385101B"/>
    <w:rsid w:val="539C6DA7"/>
    <w:rsid w:val="53D02B49"/>
    <w:rsid w:val="53E44857"/>
    <w:rsid w:val="53FC26FD"/>
    <w:rsid w:val="541A1DB7"/>
    <w:rsid w:val="542075F8"/>
    <w:rsid w:val="54A4596D"/>
    <w:rsid w:val="54A64276"/>
    <w:rsid w:val="54A9282A"/>
    <w:rsid w:val="54CE480A"/>
    <w:rsid w:val="550E082B"/>
    <w:rsid w:val="553C395C"/>
    <w:rsid w:val="55410E45"/>
    <w:rsid w:val="55460E4D"/>
    <w:rsid w:val="5588629B"/>
    <w:rsid w:val="558F483C"/>
    <w:rsid w:val="55924DCB"/>
    <w:rsid w:val="55B5025F"/>
    <w:rsid w:val="55D2123A"/>
    <w:rsid w:val="55E61367"/>
    <w:rsid w:val="55E7744F"/>
    <w:rsid w:val="5619398A"/>
    <w:rsid w:val="56272031"/>
    <w:rsid w:val="562F4E08"/>
    <w:rsid w:val="563D0F57"/>
    <w:rsid w:val="566F5396"/>
    <w:rsid w:val="56AD23E8"/>
    <w:rsid w:val="56C43C09"/>
    <w:rsid w:val="56CC5785"/>
    <w:rsid w:val="56CE31FA"/>
    <w:rsid w:val="56D02120"/>
    <w:rsid w:val="56D11F26"/>
    <w:rsid w:val="56D6179C"/>
    <w:rsid w:val="56E57FBA"/>
    <w:rsid w:val="56F95CAE"/>
    <w:rsid w:val="56FA7F4A"/>
    <w:rsid w:val="57087DE2"/>
    <w:rsid w:val="571050A0"/>
    <w:rsid w:val="57193C9E"/>
    <w:rsid w:val="574328B8"/>
    <w:rsid w:val="574B5D2B"/>
    <w:rsid w:val="57531456"/>
    <w:rsid w:val="575E6635"/>
    <w:rsid w:val="578A21AD"/>
    <w:rsid w:val="579E08FE"/>
    <w:rsid w:val="57A27AB5"/>
    <w:rsid w:val="57D041FE"/>
    <w:rsid w:val="57DA5F78"/>
    <w:rsid w:val="581A4046"/>
    <w:rsid w:val="58277C1A"/>
    <w:rsid w:val="58660BB7"/>
    <w:rsid w:val="5873695E"/>
    <w:rsid w:val="58842C26"/>
    <w:rsid w:val="588906A7"/>
    <w:rsid w:val="58905785"/>
    <w:rsid w:val="58935F89"/>
    <w:rsid w:val="589F66DB"/>
    <w:rsid w:val="58AF4DB9"/>
    <w:rsid w:val="58B0365A"/>
    <w:rsid w:val="58C9232C"/>
    <w:rsid w:val="58CE3B83"/>
    <w:rsid w:val="58E674F7"/>
    <w:rsid w:val="58EC0261"/>
    <w:rsid w:val="58F06369"/>
    <w:rsid w:val="590D5D3B"/>
    <w:rsid w:val="591B5838"/>
    <w:rsid w:val="591E278F"/>
    <w:rsid w:val="59350E36"/>
    <w:rsid w:val="598A738C"/>
    <w:rsid w:val="598B4CAB"/>
    <w:rsid w:val="59966122"/>
    <w:rsid w:val="59970CC0"/>
    <w:rsid w:val="59B460C5"/>
    <w:rsid w:val="59D331E4"/>
    <w:rsid w:val="59D84EA5"/>
    <w:rsid w:val="59FA6543"/>
    <w:rsid w:val="5A0D4EB1"/>
    <w:rsid w:val="5A1868A6"/>
    <w:rsid w:val="5A275F3C"/>
    <w:rsid w:val="5A3E403B"/>
    <w:rsid w:val="5A4D70EA"/>
    <w:rsid w:val="5A5E00C9"/>
    <w:rsid w:val="5A7B7F0D"/>
    <w:rsid w:val="5A814E38"/>
    <w:rsid w:val="5A8A2B44"/>
    <w:rsid w:val="5A9C51F3"/>
    <w:rsid w:val="5A9D3596"/>
    <w:rsid w:val="5AAC11F7"/>
    <w:rsid w:val="5AB3021C"/>
    <w:rsid w:val="5AC73CC7"/>
    <w:rsid w:val="5AFC42C9"/>
    <w:rsid w:val="5B2C6D17"/>
    <w:rsid w:val="5B67583F"/>
    <w:rsid w:val="5B8C15C5"/>
    <w:rsid w:val="5B962018"/>
    <w:rsid w:val="5BB036AB"/>
    <w:rsid w:val="5BB10BFF"/>
    <w:rsid w:val="5BE03293"/>
    <w:rsid w:val="5C006E6A"/>
    <w:rsid w:val="5C012CA1"/>
    <w:rsid w:val="5C085F16"/>
    <w:rsid w:val="5C3211EB"/>
    <w:rsid w:val="5C545A2F"/>
    <w:rsid w:val="5C677510"/>
    <w:rsid w:val="5C710509"/>
    <w:rsid w:val="5CC76201"/>
    <w:rsid w:val="5CD82F37"/>
    <w:rsid w:val="5CE45E23"/>
    <w:rsid w:val="5CFD7E74"/>
    <w:rsid w:val="5CFF1E3E"/>
    <w:rsid w:val="5D1F1A5B"/>
    <w:rsid w:val="5D266DF6"/>
    <w:rsid w:val="5D715E01"/>
    <w:rsid w:val="5D730DC7"/>
    <w:rsid w:val="5D825BC9"/>
    <w:rsid w:val="5D8E1ED2"/>
    <w:rsid w:val="5D935695"/>
    <w:rsid w:val="5D9652C8"/>
    <w:rsid w:val="5D9E7DB7"/>
    <w:rsid w:val="5DB3612F"/>
    <w:rsid w:val="5DDF3137"/>
    <w:rsid w:val="5DFB2229"/>
    <w:rsid w:val="5DFD09F6"/>
    <w:rsid w:val="5E116663"/>
    <w:rsid w:val="5E231CB1"/>
    <w:rsid w:val="5E323B4E"/>
    <w:rsid w:val="5E4D28EA"/>
    <w:rsid w:val="5E5E0A9A"/>
    <w:rsid w:val="5E653F23"/>
    <w:rsid w:val="5E656F04"/>
    <w:rsid w:val="5E7D37D5"/>
    <w:rsid w:val="5E826883"/>
    <w:rsid w:val="5E837628"/>
    <w:rsid w:val="5E9D260D"/>
    <w:rsid w:val="5EC72562"/>
    <w:rsid w:val="5ED4702E"/>
    <w:rsid w:val="5ED6605E"/>
    <w:rsid w:val="5EEC410A"/>
    <w:rsid w:val="5EEE5AA4"/>
    <w:rsid w:val="5F487CE6"/>
    <w:rsid w:val="5F4E71AE"/>
    <w:rsid w:val="5F61339C"/>
    <w:rsid w:val="5F7F6AAF"/>
    <w:rsid w:val="5F837746"/>
    <w:rsid w:val="5FA8206C"/>
    <w:rsid w:val="5FB32A6C"/>
    <w:rsid w:val="5FB40CBE"/>
    <w:rsid w:val="5FBC1F2C"/>
    <w:rsid w:val="5FDA449D"/>
    <w:rsid w:val="5FE92731"/>
    <w:rsid w:val="5FF3693D"/>
    <w:rsid w:val="5FFA23B7"/>
    <w:rsid w:val="6009253F"/>
    <w:rsid w:val="601122AF"/>
    <w:rsid w:val="60355065"/>
    <w:rsid w:val="603C3369"/>
    <w:rsid w:val="60430294"/>
    <w:rsid w:val="604638E0"/>
    <w:rsid w:val="60490857"/>
    <w:rsid w:val="604D3DC8"/>
    <w:rsid w:val="607D21CE"/>
    <w:rsid w:val="608070B0"/>
    <w:rsid w:val="608100B0"/>
    <w:rsid w:val="608B3C69"/>
    <w:rsid w:val="60935719"/>
    <w:rsid w:val="60FD254A"/>
    <w:rsid w:val="61023CAB"/>
    <w:rsid w:val="61225447"/>
    <w:rsid w:val="6123285C"/>
    <w:rsid w:val="61283612"/>
    <w:rsid w:val="613F280A"/>
    <w:rsid w:val="614E3A75"/>
    <w:rsid w:val="61712B05"/>
    <w:rsid w:val="618358A5"/>
    <w:rsid w:val="618B3671"/>
    <w:rsid w:val="618E4624"/>
    <w:rsid w:val="61B65BEE"/>
    <w:rsid w:val="61C27976"/>
    <w:rsid w:val="61CB07EF"/>
    <w:rsid w:val="61DE1C7F"/>
    <w:rsid w:val="61FA02D4"/>
    <w:rsid w:val="62026EBF"/>
    <w:rsid w:val="62053A53"/>
    <w:rsid w:val="620E1100"/>
    <w:rsid w:val="62347E94"/>
    <w:rsid w:val="6237679A"/>
    <w:rsid w:val="624520A2"/>
    <w:rsid w:val="62551104"/>
    <w:rsid w:val="62755D04"/>
    <w:rsid w:val="6291112D"/>
    <w:rsid w:val="62A0351E"/>
    <w:rsid w:val="62A96AD4"/>
    <w:rsid w:val="633A7DB7"/>
    <w:rsid w:val="6369376B"/>
    <w:rsid w:val="636C2F8F"/>
    <w:rsid w:val="63753ED8"/>
    <w:rsid w:val="637626A5"/>
    <w:rsid w:val="63882556"/>
    <w:rsid w:val="63B8098A"/>
    <w:rsid w:val="63BB0258"/>
    <w:rsid w:val="63D1465D"/>
    <w:rsid w:val="63E85F34"/>
    <w:rsid w:val="64010859"/>
    <w:rsid w:val="64114CE5"/>
    <w:rsid w:val="643C587F"/>
    <w:rsid w:val="64542ED6"/>
    <w:rsid w:val="6456548C"/>
    <w:rsid w:val="647D0418"/>
    <w:rsid w:val="64854F04"/>
    <w:rsid w:val="64C9520C"/>
    <w:rsid w:val="64DF6D0B"/>
    <w:rsid w:val="64E57B6C"/>
    <w:rsid w:val="64E75689"/>
    <w:rsid w:val="64EE463E"/>
    <w:rsid w:val="64EE58B2"/>
    <w:rsid w:val="64F02A19"/>
    <w:rsid w:val="65075D34"/>
    <w:rsid w:val="651D3BD3"/>
    <w:rsid w:val="652341F0"/>
    <w:rsid w:val="6527783C"/>
    <w:rsid w:val="655D5AE4"/>
    <w:rsid w:val="656A5A44"/>
    <w:rsid w:val="65927AF3"/>
    <w:rsid w:val="6598698C"/>
    <w:rsid w:val="65A63F41"/>
    <w:rsid w:val="65AB66C0"/>
    <w:rsid w:val="65BE0399"/>
    <w:rsid w:val="65DC3D8F"/>
    <w:rsid w:val="65E73470"/>
    <w:rsid w:val="65E762A0"/>
    <w:rsid w:val="65F32EED"/>
    <w:rsid w:val="65FE7C93"/>
    <w:rsid w:val="660D0D64"/>
    <w:rsid w:val="662776F8"/>
    <w:rsid w:val="662D3A2A"/>
    <w:rsid w:val="66B025DB"/>
    <w:rsid w:val="66B25E80"/>
    <w:rsid w:val="66F40C22"/>
    <w:rsid w:val="670001DC"/>
    <w:rsid w:val="67070290"/>
    <w:rsid w:val="67185FD7"/>
    <w:rsid w:val="671C6C73"/>
    <w:rsid w:val="67325951"/>
    <w:rsid w:val="6741363B"/>
    <w:rsid w:val="674A6784"/>
    <w:rsid w:val="675A1CC3"/>
    <w:rsid w:val="678E081A"/>
    <w:rsid w:val="679C3894"/>
    <w:rsid w:val="67C518C7"/>
    <w:rsid w:val="682A3A58"/>
    <w:rsid w:val="682D1978"/>
    <w:rsid w:val="68671EE8"/>
    <w:rsid w:val="686D3F94"/>
    <w:rsid w:val="6880131A"/>
    <w:rsid w:val="6888706B"/>
    <w:rsid w:val="68B718A5"/>
    <w:rsid w:val="68BD7141"/>
    <w:rsid w:val="68DC61A1"/>
    <w:rsid w:val="69167007"/>
    <w:rsid w:val="693A0C9D"/>
    <w:rsid w:val="69825667"/>
    <w:rsid w:val="69B134AD"/>
    <w:rsid w:val="69B207C5"/>
    <w:rsid w:val="69CD2FDB"/>
    <w:rsid w:val="69D215D7"/>
    <w:rsid w:val="69EC2BDB"/>
    <w:rsid w:val="69FF1ECB"/>
    <w:rsid w:val="6A484E25"/>
    <w:rsid w:val="6A503DBB"/>
    <w:rsid w:val="6A613E65"/>
    <w:rsid w:val="6A677027"/>
    <w:rsid w:val="6A843C05"/>
    <w:rsid w:val="6A905249"/>
    <w:rsid w:val="6AA16E1A"/>
    <w:rsid w:val="6AB861F0"/>
    <w:rsid w:val="6ABD7B87"/>
    <w:rsid w:val="6ABE5F31"/>
    <w:rsid w:val="6AC63F9C"/>
    <w:rsid w:val="6ACD1A6B"/>
    <w:rsid w:val="6AD71D05"/>
    <w:rsid w:val="6AD730FA"/>
    <w:rsid w:val="6AF071CF"/>
    <w:rsid w:val="6AFB0D8B"/>
    <w:rsid w:val="6AFB1DF7"/>
    <w:rsid w:val="6AFE47F5"/>
    <w:rsid w:val="6B0A6C8C"/>
    <w:rsid w:val="6B1A49A6"/>
    <w:rsid w:val="6B2B37E4"/>
    <w:rsid w:val="6B306A44"/>
    <w:rsid w:val="6B381006"/>
    <w:rsid w:val="6B443270"/>
    <w:rsid w:val="6B4A4E3E"/>
    <w:rsid w:val="6B6B0223"/>
    <w:rsid w:val="6B6BF80D"/>
    <w:rsid w:val="6B7A594F"/>
    <w:rsid w:val="6B7E446A"/>
    <w:rsid w:val="6B8010D1"/>
    <w:rsid w:val="6B961880"/>
    <w:rsid w:val="6BB77E6E"/>
    <w:rsid w:val="6BBA6837"/>
    <w:rsid w:val="6BC53E22"/>
    <w:rsid w:val="6BF7161C"/>
    <w:rsid w:val="6BFF1513"/>
    <w:rsid w:val="6C066D46"/>
    <w:rsid w:val="6C0F191B"/>
    <w:rsid w:val="6C2216A6"/>
    <w:rsid w:val="6C5331B5"/>
    <w:rsid w:val="6C740858"/>
    <w:rsid w:val="6C8771DD"/>
    <w:rsid w:val="6C9E36D2"/>
    <w:rsid w:val="6CD25569"/>
    <w:rsid w:val="6CD975CD"/>
    <w:rsid w:val="6CED572D"/>
    <w:rsid w:val="6CFF51FB"/>
    <w:rsid w:val="6D0B1F10"/>
    <w:rsid w:val="6D0E21A3"/>
    <w:rsid w:val="6D395008"/>
    <w:rsid w:val="6D4F7BEA"/>
    <w:rsid w:val="6D5B41DA"/>
    <w:rsid w:val="6D612E6F"/>
    <w:rsid w:val="6D78198A"/>
    <w:rsid w:val="6D851EEC"/>
    <w:rsid w:val="6D9E2579"/>
    <w:rsid w:val="6E0A5502"/>
    <w:rsid w:val="6E1B6DB2"/>
    <w:rsid w:val="6E2D2133"/>
    <w:rsid w:val="6E355449"/>
    <w:rsid w:val="6E3C1BF4"/>
    <w:rsid w:val="6E3E1895"/>
    <w:rsid w:val="6E437B98"/>
    <w:rsid w:val="6E645FA5"/>
    <w:rsid w:val="6E6C6049"/>
    <w:rsid w:val="6E6D1F20"/>
    <w:rsid w:val="6E78372F"/>
    <w:rsid w:val="6EB0547A"/>
    <w:rsid w:val="6EB06C02"/>
    <w:rsid w:val="6EB87D86"/>
    <w:rsid w:val="6EBF142E"/>
    <w:rsid w:val="6EC40C8D"/>
    <w:rsid w:val="6F142830"/>
    <w:rsid w:val="6F1A40F6"/>
    <w:rsid w:val="6F3C65DA"/>
    <w:rsid w:val="6F5B1156"/>
    <w:rsid w:val="6F612A53"/>
    <w:rsid w:val="6F6A1EB6"/>
    <w:rsid w:val="6F9704AE"/>
    <w:rsid w:val="6F980FE9"/>
    <w:rsid w:val="6FC06B5A"/>
    <w:rsid w:val="6FDC74A3"/>
    <w:rsid w:val="6FFF657D"/>
    <w:rsid w:val="70012AA4"/>
    <w:rsid w:val="70142E10"/>
    <w:rsid w:val="70187047"/>
    <w:rsid w:val="701B139D"/>
    <w:rsid w:val="70276838"/>
    <w:rsid w:val="704F4D2E"/>
    <w:rsid w:val="70527B34"/>
    <w:rsid w:val="705D0EFE"/>
    <w:rsid w:val="70AB2C3B"/>
    <w:rsid w:val="70AE0FF7"/>
    <w:rsid w:val="70BC767D"/>
    <w:rsid w:val="70BE3B2C"/>
    <w:rsid w:val="70D02F01"/>
    <w:rsid w:val="70E5750C"/>
    <w:rsid w:val="70EE25C9"/>
    <w:rsid w:val="70F748AD"/>
    <w:rsid w:val="71037A83"/>
    <w:rsid w:val="71206ABE"/>
    <w:rsid w:val="712D4474"/>
    <w:rsid w:val="713A1B73"/>
    <w:rsid w:val="713E79F6"/>
    <w:rsid w:val="7192134F"/>
    <w:rsid w:val="719F3B6F"/>
    <w:rsid w:val="71A42633"/>
    <w:rsid w:val="71B8418C"/>
    <w:rsid w:val="71B93995"/>
    <w:rsid w:val="71C37D85"/>
    <w:rsid w:val="71C8130B"/>
    <w:rsid w:val="71D40B31"/>
    <w:rsid w:val="71D62EC1"/>
    <w:rsid w:val="71F31B1A"/>
    <w:rsid w:val="71FD341C"/>
    <w:rsid w:val="720E5C88"/>
    <w:rsid w:val="721C2E38"/>
    <w:rsid w:val="721D00DF"/>
    <w:rsid w:val="72370BB0"/>
    <w:rsid w:val="723A3CD9"/>
    <w:rsid w:val="724759C2"/>
    <w:rsid w:val="7269625A"/>
    <w:rsid w:val="7284642B"/>
    <w:rsid w:val="72874010"/>
    <w:rsid w:val="7291115E"/>
    <w:rsid w:val="72A1781E"/>
    <w:rsid w:val="72A3647C"/>
    <w:rsid w:val="72B04F40"/>
    <w:rsid w:val="72E11C9B"/>
    <w:rsid w:val="73063D39"/>
    <w:rsid w:val="732C3FA0"/>
    <w:rsid w:val="7334614B"/>
    <w:rsid w:val="73571862"/>
    <w:rsid w:val="7362364D"/>
    <w:rsid w:val="73641868"/>
    <w:rsid w:val="737D338C"/>
    <w:rsid w:val="73911CB3"/>
    <w:rsid w:val="739C0F05"/>
    <w:rsid w:val="73CE2675"/>
    <w:rsid w:val="73CE7948"/>
    <w:rsid w:val="73D178FF"/>
    <w:rsid w:val="73DB55DA"/>
    <w:rsid w:val="73EA4857"/>
    <w:rsid w:val="73EC5D95"/>
    <w:rsid w:val="73FF2CA7"/>
    <w:rsid w:val="74091139"/>
    <w:rsid w:val="741B2C62"/>
    <w:rsid w:val="743F05DA"/>
    <w:rsid w:val="74533B7B"/>
    <w:rsid w:val="74545C83"/>
    <w:rsid w:val="746A3BEA"/>
    <w:rsid w:val="749D0068"/>
    <w:rsid w:val="74C74B98"/>
    <w:rsid w:val="74DB62DF"/>
    <w:rsid w:val="74E60B87"/>
    <w:rsid w:val="74ED1FB0"/>
    <w:rsid w:val="75082E7D"/>
    <w:rsid w:val="75097CEE"/>
    <w:rsid w:val="75310853"/>
    <w:rsid w:val="75312B99"/>
    <w:rsid w:val="753A2DF9"/>
    <w:rsid w:val="75705230"/>
    <w:rsid w:val="75876FB7"/>
    <w:rsid w:val="759727BC"/>
    <w:rsid w:val="759C35D9"/>
    <w:rsid w:val="75A03434"/>
    <w:rsid w:val="75A4312B"/>
    <w:rsid w:val="75C33DB3"/>
    <w:rsid w:val="75CD5B16"/>
    <w:rsid w:val="75CF423B"/>
    <w:rsid w:val="75DC3B59"/>
    <w:rsid w:val="75FE6944"/>
    <w:rsid w:val="76024F2C"/>
    <w:rsid w:val="76177D10"/>
    <w:rsid w:val="7646607E"/>
    <w:rsid w:val="764B2C0D"/>
    <w:rsid w:val="76656DEC"/>
    <w:rsid w:val="767C6877"/>
    <w:rsid w:val="76897D88"/>
    <w:rsid w:val="769147A8"/>
    <w:rsid w:val="76B17536"/>
    <w:rsid w:val="76F71CB1"/>
    <w:rsid w:val="77015829"/>
    <w:rsid w:val="7724266D"/>
    <w:rsid w:val="77251093"/>
    <w:rsid w:val="77273F22"/>
    <w:rsid w:val="77297B1F"/>
    <w:rsid w:val="776A2672"/>
    <w:rsid w:val="776C475B"/>
    <w:rsid w:val="777032C5"/>
    <w:rsid w:val="77AC54F3"/>
    <w:rsid w:val="77AF0586"/>
    <w:rsid w:val="77B20E47"/>
    <w:rsid w:val="77CE19C7"/>
    <w:rsid w:val="77DA77B0"/>
    <w:rsid w:val="77EA16F7"/>
    <w:rsid w:val="77EF1213"/>
    <w:rsid w:val="784574B2"/>
    <w:rsid w:val="785026B7"/>
    <w:rsid w:val="785714DE"/>
    <w:rsid w:val="78583F37"/>
    <w:rsid w:val="786D1EFA"/>
    <w:rsid w:val="787E0AFE"/>
    <w:rsid w:val="78886D34"/>
    <w:rsid w:val="788F00C3"/>
    <w:rsid w:val="7896007C"/>
    <w:rsid w:val="78A337C1"/>
    <w:rsid w:val="78B74F24"/>
    <w:rsid w:val="78C95383"/>
    <w:rsid w:val="78CF4963"/>
    <w:rsid w:val="78E10973"/>
    <w:rsid w:val="78FA6B39"/>
    <w:rsid w:val="78FD60C4"/>
    <w:rsid w:val="791A0819"/>
    <w:rsid w:val="79652BD2"/>
    <w:rsid w:val="797C1D3C"/>
    <w:rsid w:val="798D57C0"/>
    <w:rsid w:val="799417CA"/>
    <w:rsid w:val="79E87CBF"/>
    <w:rsid w:val="79FD0C67"/>
    <w:rsid w:val="7A1E6373"/>
    <w:rsid w:val="7A344A7E"/>
    <w:rsid w:val="7A4326DF"/>
    <w:rsid w:val="7A460311"/>
    <w:rsid w:val="7A4C3D98"/>
    <w:rsid w:val="7A4F2FAA"/>
    <w:rsid w:val="7A513882"/>
    <w:rsid w:val="7A5C25AA"/>
    <w:rsid w:val="7A602569"/>
    <w:rsid w:val="7A710D46"/>
    <w:rsid w:val="7A7D5C75"/>
    <w:rsid w:val="7A8C2990"/>
    <w:rsid w:val="7A933843"/>
    <w:rsid w:val="7ADA3346"/>
    <w:rsid w:val="7AE72B47"/>
    <w:rsid w:val="7AF411BE"/>
    <w:rsid w:val="7B2A2798"/>
    <w:rsid w:val="7B2B74A3"/>
    <w:rsid w:val="7B5A06CB"/>
    <w:rsid w:val="7B66505D"/>
    <w:rsid w:val="7B89704B"/>
    <w:rsid w:val="7B8C1587"/>
    <w:rsid w:val="7BAD6982"/>
    <w:rsid w:val="7BBA5457"/>
    <w:rsid w:val="7BD60F93"/>
    <w:rsid w:val="7C042B76"/>
    <w:rsid w:val="7C097166"/>
    <w:rsid w:val="7C557E9B"/>
    <w:rsid w:val="7C7F11FA"/>
    <w:rsid w:val="7CB023B6"/>
    <w:rsid w:val="7CBA4FE2"/>
    <w:rsid w:val="7CE460D6"/>
    <w:rsid w:val="7CEC0C0F"/>
    <w:rsid w:val="7CF620BB"/>
    <w:rsid w:val="7D030F07"/>
    <w:rsid w:val="7D2C4132"/>
    <w:rsid w:val="7D3200EA"/>
    <w:rsid w:val="7D387BA9"/>
    <w:rsid w:val="7D3B394C"/>
    <w:rsid w:val="7D752C5B"/>
    <w:rsid w:val="7DA24956"/>
    <w:rsid w:val="7DB7309F"/>
    <w:rsid w:val="7DDC1D83"/>
    <w:rsid w:val="7DDF6155"/>
    <w:rsid w:val="7E061C69"/>
    <w:rsid w:val="7E5D4186"/>
    <w:rsid w:val="7E5E656D"/>
    <w:rsid w:val="7E681A14"/>
    <w:rsid w:val="7EC27582"/>
    <w:rsid w:val="7EC96766"/>
    <w:rsid w:val="7ED376E8"/>
    <w:rsid w:val="7ED94A0E"/>
    <w:rsid w:val="7EF1191E"/>
    <w:rsid w:val="7F02413A"/>
    <w:rsid w:val="7F0967C8"/>
    <w:rsid w:val="7F203938"/>
    <w:rsid w:val="7F26078D"/>
    <w:rsid w:val="7F3543A8"/>
    <w:rsid w:val="7F4F2965"/>
    <w:rsid w:val="7F500744"/>
    <w:rsid w:val="7F511C2E"/>
    <w:rsid w:val="7F6557D5"/>
    <w:rsid w:val="7F8202AE"/>
    <w:rsid w:val="7F965547"/>
    <w:rsid w:val="7FA44454"/>
    <w:rsid w:val="7FC90EEB"/>
    <w:rsid w:val="7FDB7B30"/>
    <w:rsid w:val="7FE8759B"/>
    <w:rsid w:val="7FF579F1"/>
    <w:rsid w:val="ECB310DE"/>
    <w:rsid w:val="FDED3C1F"/>
    <w:rsid w:val="FFBDD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spacing w:line="360" w:lineRule="auto"/>
      <w:ind w:firstLine="200" w:firstLineChars="200"/>
      <w:jc w:val="both"/>
      <w:textAlignment w:val="baseline"/>
    </w:pPr>
    <w:rPr>
      <w:rFonts w:ascii="Verdana" w:hAnsi="Verdana" w:eastAsia="宋体" w:cs="Times New Roman"/>
      <w:kern w:val="2"/>
      <w:sz w:val="24"/>
      <w:szCs w:val="24"/>
      <w:lang w:val="en-US" w:eastAsia="zh-CN" w:bidi="ar-SA"/>
    </w:rPr>
  </w:style>
  <w:style w:type="paragraph" w:styleId="3">
    <w:name w:val="heading 1"/>
    <w:basedOn w:val="1"/>
    <w:next w:val="1"/>
    <w:link w:val="40"/>
    <w:autoRedefine/>
    <w:qFormat/>
    <w:uiPriority w:val="0"/>
    <w:pPr>
      <w:numPr>
        <w:ilvl w:val="0"/>
        <w:numId w:val="1"/>
      </w:numPr>
      <w:tabs>
        <w:tab w:val="left" w:pos="1692"/>
        <w:tab w:val="clear" w:pos="5052"/>
      </w:tabs>
      <w:spacing w:after="150" w:afterLines="150" w:line="240" w:lineRule="auto"/>
      <w:ind w:left="240" w:leftChars="100" w:right="240" w:rightChars="100" w:firstLine="0" w:firstLineChars="0"/>
      <w:jc w:val="left"/>
      <w:outlineLvl w:val="0"/>
    </w:pPr>
    <w:rPr>
      <w:b/>
      <w:bCs/>
      <w:spacing w:val="40"/>
      <w:kern w:val="52"/>
      <w:sz w:val="36"/>
      <w:szCs w:val="48"/>
      <w14:shadow w14:blurRad="50800" w14:dist="38100" w14:dir="2700000" w14:sx="100000" w14:sy="100000" w14:kx="0" w14:ky="0" w14:algn="tl">
        <w14:srgbClr w14:val="000000">
          <w14:alpha w14:val="60000"/>
        </w14:srgbClr>
      </w14:shadow>
    </w:rPr>
  </w:style>
  <w:style w:type="paragraph" w:styleId="4">
    <w:name w:val="heading 2"/>
    <w:basedOn w:val="1"/>
    <w:next w:val="1"/>
    <w:link w:val="71"/>
    <w:autoRedefine/>
    <w:qFormat/>
    <w:uiPriority w:val="0"/>
    <w:pPr>
      <w:numPr>
        <w:ilvl w:val="1"/>
        <w:numId w:val="1"/>
      </w:numPr>
      <w:tabs>
        <w:tab w:val="left" w:pos="1116"/>
        <w:tab w:val="clear" w:pos="576"/>
      </w:tabs>
      <w:spacing w:before="100" w:beforeLines="100" w:after="50" w:afterLines="50"/>
      <w:ind w:left="1117" w:firstLine="0" w:firstLineChars="0"/>
      <w:outlineLvl w:val="1"/>
    </w:pPr>
    <w:rPr>
      <w:rFonts w:ascii="Arial" w:hAnsi="Arial" w:eastAsia="宋体"/>
      <w:b/>
      <w:bCs/>
      <w:kern w:val="44"/>
      <w:sz w:val="32"/>
      <w:szCs w:val="44"/>
      <w14:shadow w14:blurRad="50800" w14:dist="38100" w14:dir="2700000" w14:sx="100000" w14:sy="100000" w14:kx="0" w14:ky="0" w14:algn="tl">
        <w14:srgbClr w14:val="000000">
          <w14:alpha w14:val="60000"/>
        </w14:srgbClr>
      </w14:shadow>
    </w:rPr>
  </w:style>
  <w:style w:type="paragraph" w:styleId="5">
    <w:name w:val="heading 3"/>
    <w:basedOn w:val="1"/>
    <w:next w:val="1"/>
    <w:link w:val="72"/>
    <w:autoRedefine/>
    <w:qFormat/>
    <w:uiPriority w:val="0"/>
    <w:pPr>
      <w:numPr>
        <w:ilvl w:val="2"/>
        <w:numId w:val="1"/>
      </w:numPr>
      <w:tabs>
        <w:tab w:val="clear" w:pos="5824"/>
      </w:tabs>
      <w:spacing w:beforeLines="50" w:afterLines="50"/>
      <w:ind w:left="993" w:right="240" w:rightChars="100" w:firstLine="0" w:firstLineChars="0"/>
      <w:jc w:val="left"/>
      <w:outlineLvl w:val="2"/>
    </w:pPr>
    <w:rPr>
      <w:rFonts w:asciiTheme="minorEastAsia" w:hAnsiTheme="minorEastAsia" w:eastAsiaTheme="minorEastAsia"/>
      <w:b/>
      <w:bCs/>
      <w:sz w:val="32"/>
      <w:szCs w:val="32"/>
    </w:rPr>
  </w:style>
  <w:style w:type="paragraph" w:styleId="6">
    <w:name w:val="heading 4"/>
    <w:basedOn w:val="1"/>
    <w:next w:val="1"/>
    <w:link w:val="73"/>
    <w:autoRedefine/>
    <w:qFormat/>
    <w:uiPriority w:val="0"/>
    <w:pPr>
      <w:numPr>
        <w:ilvl w:val="3"/>
        <w:numId w:val="1"/>
      </w:numPr>
      <w:spacing w:beforeLines="50" w:after="156"/>
      <w:ind w:firstLine="0" w:firstLineChars="0"/>
      <w:outlineLvl w:val="3"/>
    </w:pPr>
    <w:rPr>
      <w:rFonts w:ascii="Arial" w:hAnsi="Arial" w:eastAsia="华文中宋"/>
      <w:b/>
      <w:bCs/>
      <w:sz w:val="28"/>
      <w:szCs w:val="28"/>
    </w:rPr>
  </w:style>
  <w:style w:type="paragraph" w:styleId="7">
    <w:name w:val="heading 5"/>
    <w:basedOn w:val="1"/>
    <w:next w:val="1"/>
    <w:link w:val="74"/>
    <w:autoRedefine/>
    <w:qFormat/>
    <w:uiPriority w:val="0"/>
    <w:pPr>
      <w:numPr>
        <w:ilvl w:val="4"/>
        <w:numId w:val="1"/>
      </w:numPr>
      <w:spacing w:beforeLines="100"/>
      <w:ind w:firstLine="0" w:firstLineChars="0"/>
      <w:outlineLvl w:val="4"/>
    </w:pPr>
    <w:rPr>
      <w:b/>
      <w:kern w:val="44"/>
      <w:szCs w:val="21"/>
    </w:rPr>
  </w:style>
  <w:style w:type="paragraph" w:styleId="8">
    <w:name w:val="heading 6"/>
    <w:basedOn w:val="7"/>
    <w:next w:val="1"/>
    <w:link w:val="75"/>
    <w:autoRedefine/>
    <w:qFormat/>
    <w:uiPriority w:val="0"/>
    <w:pPr>
      <w:numPr>
        <w:ilvl w:val="0"/>
        <w:numId w:val="0"/>
      </w:numPr>
      <w:outlineLvl w:val="5"/>
    </w:pPr>
  </w:style>
  <w:style w:type="paragraph" w:styleId="9">
    <w:name w:val="heading 7"/>
    <w:basedOn w:val="8"/>
    <w:next w:val="1"/>
    <w:link w:val="76"/>
    <w:autoRedefine/>
    <w:qFormat/>
    <w:uiPriority w:val="0"/>
    <w:pPr>
      <w:outlineLvl w:val="6"/>
    </w:pPr>
  </w:style>
  <w:style w:type="paragraph" w:styleId="10">
    <w:name w:val="heading 8"/>
    <w:basedOn w:val="9"/>
    <w:next w:val="1"/>
    <w:link w:val="77"/>
    <w:autoRedefine/>
    <w:qFormat/>
    <w:uiPriority w:val="0"/>
    <w:pPr>
      <w:outlineLvl w:val="7"/>
    </w:pPr>
  </w:style>
  <w:style w:type="paragraph" w:styleId="11">
    <w:name w:val="heading 9"/>
    <w:basedOn w:val="10"/>
    <w:next w:val="1"/>
    <w:link w:val="78"/>
    <w:autoRedefine/>
    <w:qFormat/>
    <w:uiPriority w:val="0"/>
    <w:pPr>
      <w:outlineLvl w:val="8"/>
    </w:p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83"/>
    <w:autoRedefine/>
    <w:qFormat/>
    <w:uiPriority w:val="0"/>
    <w:pPr>
      <w:widowControl/>
      <w:adjustRightInd/>
      <w:spacing w:after="120" w:line="240" w:lineRule="auto"/>
      <w:ind w:firstLine="0" w:firstLineChars="0"/>
      <w:jc w:val="left"/>
      <w:textAlignment w:val="auto"/>
    </w:pPr>
    <w:rPr>
      <w:rFonts w:ascii="Times New Roman" w:hAnsi="Times New Roman"/>
      <w:kern w:val="0"/>
      <w:sz w:val="20"/>
      <w:szCs w:val="20"/>
    </w:rPr>
  </w:style>
  <w:style w:type="paragraph" w:styleId="12">
    <w:name w:val="toc 7"/>
    <w:basedOn w:val="1"/>
    <w:next w:val="1"/>
    <w:autoRedefine/>
    <w:semiHidden/>
    <w:qFormat/>
    <w:uiPriority w:val="0"/>
    <w:pPr>
      <w:ind w:left="1440"/>
      <w:jc w:val="left"/>
    </w:pPr>
    <w:rPr>
      <w:sz w:val="20"/>
      <w:szCs w:val="20"/>
    </w:rPr>
  </w:style>
  <w:style w:type="paragraph" w:styleId="13">
    <w:name w:val="Document Map"/>
    <w:basedOn w:val="1"/>
    <w:link w:val="80"/>
    <w:autoRedefine/>
    <w:semiHidden/>
    <w:qFormat/>
    <w:uiPriority w:val="0"/>
    <w:pPr>
      <w:shd w:val="clear" w:color="auto" w:fill="000080"/>
    </w:pPr>
  </w:style>
  <w:style w:type="paragraph" w:styleId="14">
    <w:name w:val="annotation text"/>
    <w:basedOn w:val="1"/>
    <w:link w:val="85"/>
    <w:autoRedefine/>
    <w:qFormat/>
    <w:uiPriority w:val="0"/>
    <w:pPr>
      <w:jc w:val="left"/>
    </w:pPr>
  </w:style>
  <w:style w:type="paragraph" w:styleId="15">
    <w:name w:val="Body Text Indent"/>
    <w:basedOn w:val="1"/>
    <w:link w:val="62"/>
    <w:autoRedefine/>
    <w:qFormat/>
    <w:uiPriority w:val="0"/>
    <w:pPr>
      <w:ind w:firstLine="480"/>
    </w:pPr>
  </w:style>
  <w:style w:type="paragraph" w:styleId="16">
    <w:name w:val="List Bullet 2"/>
    <w:basedOn w:val="1"/>
    <w:autoRedefine/>
    <w:qFormat/>
    <w:uiPriority w:val="0"/>
    <w:pPr>
      <w:numPr>
        <w:ilvl w:val="0"/>
        <w:numId w:val="2"/>
      </w:numPr>
      <w:ind w:firstLine="0" w:firstLineChars="0"/>
    </w:pPr>
  </w:style>
  <w:style w:type="paragraph" w:styleId="17">
    <w:name w:val="toc 5"/>
    <w:basedOn w:val="1"/>
    <w:next w:val="1"/>
    <w:autoRedefine/>
    <w:semiHidden/>
    <w:qFormat/>
    <w:uiPriority w:val="0"/>
    <w:pPr>
      <w:ind w:left="960"/>
      <w:jc w:val="left"/>
    </w:pPr>
    <w:rPr>
      <w:sz w:val="20"/>
      <w:szCs w:val="20"/>
    </w:rPr>
  </w:style>
  <w:style w:type="paragraph" w:styleId="18">
    <w:name w:val="toc 3"/>
    <w:basedOn w:val="1"/>
    <w:next w:val="1"/>
    <w:autoRedefine/>
    <w:qFormat/>
    <w:uiPriority w:val="39"/>
    <w:pPr>
      <w:ind w:left="480"/>
      <w:jc w:val="left"/>
    </w:pPr>
    <w:rPr>
      <w:sz w:val="20"/>
      <w:szCs w:val="20"/>
    </w:rPr>
  </w:style>
  <w:style w:type="paragraph" w:styleId="19">
    <w:name w:val="toc 8"/>
    <w:basedOn w:val="1"/>
    <w:next w:val="1"/>
    <w:autoRedefine/>
    <w:semiHidden/>
    <w:qFormat/>
    <w:uiPriority w:val="0"/>
    <w:pPr>
      <w:ind w:left="1680"/>
      <w:jc w:val="left"/>
    </w:pPr>
    <w:rPr>
      <w:sz w:val="20"/>
      <w:szCs w:val="20"/>
    </w:rPr>
  </w:style>
  <w:style w:type="paragraph" w:styleId="20">
    <w:name w:val="Date"/>
    <w:basedOn w:val="1"/>
    <w:next w:val="1"/>
    <w:link w:val="65"/>
    <w:autoRedefine/>
    <w:qFormat/>
    <w:uiPriority w:val="0"/>
    <w:pPr>
      <w:ind w:left="100" w:leftChars="2500"/>
    </w:pPr>
  </w:style>
  <w:style w:type="paragraph" w:styleId="21">
    <w:name w:val="Balloon Text"/>
    <w:basedOn w:val="1"/>
    <w:link w:val="82"/>
    <w:autoRedefine/>
    <w:semiHidden/>
    <w:qFormat/>
    <w:uiPriority w:val="0"/>
    <w:rPr>
      <w:sz w:val="18"/>
      <w:szCs w:val="18"/>
    </w:rPr>
  </w:style>
  <w:style w:type="paragraph" w:styleId="22">
    <w:name w:val="footer"/>
    <w:basedOn w:val="1"/>
    <w:link w:val="81"/>
    <w:autoRedefine/>
    <w:qFormat/>
    <w:uiPriority w:val="0"/>
    <w:pPr>
      <w:pBdr>
        <w:top w:val="single" w:color="FF0000" w:sz="24" w:space="1"/>
      </w:pBdr>
      <w:tabs>
        <w:tab w:val="center" w:pos="4153"/>
        <w:tab w:val="right" w:pos="8306"/>
      </w:tabs>
      <w:snapToGrid w:val="0"/>
      <w:spacing w:line="240" w:lineRule="auto"/>
      <w:ind w:firstLine="0" w:firstLineChars="0"/>
      <w:jc w:val="left"/>
    </w:pPr>
    <w:rPr>
      <w:b/>
      <w:sz w:val="15"/>
      <w:szCs w:val="15"/>
    </w:rPr>
  </w:style>
  <w:style w:type="paragraph" w:styleId="23">
    <w:name w:val="header"/>
    <w:basedOn w:val="1"/>
    <w:link w:val="79"/>
    <w:autoRedefine/>
    <w:qFormat/>
    <w:uiPriority w:val="0"/>
    <w:pPr>
      <w:tabs>
        <w:tab w:val="center" w:pos="4153"/>
        <w:tab w:val="right" w:pos="8306"/>
      </w:tabs>
      <w:wordWrap w:val="0"/>
      <w:snapToGrid w:val="0"/>
      <w:spacing w:line="240" w:lineRule="auto"/>
      <w:ind w:firstLine="0" w:firstLineChars="0"/>
    </w:pPr>
    <w:rPr>
      <w:color w:val="0000FF"/>
      <w:kern w:val="0"/>
      <w:sz w:val="18"/>
      <w:szCs w:val="18"/>
    </w:rPr>
  </w:style>
  <w:style w:type="paragraph" w:styleId="24">
    <w:name w:val="toc 1"/>
    <w:basedOn w:val="1"/>
    <w:next w:val="1"/>
    <w:autoRedefine/>
    <w:qFormat/>
    <w:uiPriority w:val="39"/>
    <w:pPr>
      <w:tabs>
        <w:tab w:val="left" w:pos="1680"/>
        <w:tab w:val="right" w:leader="dot" w:pos="10194"/>
      </w:tabs>
      <w:spacing w:before="120"/>
      <w:ind w:firstLine="482"/>
      <w:jc w:val="left"/>
    </w:pPr>
    <w:rPr>
      <w:b/>
      <w:bCs/>
      <w:iCs/>
    </w:rPr>
  </w:style>
  <w:style w:type="paragraph" w:styleId="25">
    <w:name w:val="toc 4"/>
    <w:basedOn w:val="1"/>
    <w:next w:val="1"/>
    <w:autoRedefine/>
    <w:semiHidden/>
    <w:qFormat/>
    <w:uiPriority w:val="0"/>
    <w:pPr>
      <w:ind w:left="720"/>
      <w:jc w:val="left"/>
    </w:pPr>
    <w:rPr>
      <w:sz w:val="20"/>
      <w:szCs w:val="20"/>
    </w:rPr>
  </w:style>
  <w:style w:type="paragraph" w:styleId="26">
    <w:name w:val="index heading"/>
    <w:basedOn w:val="1"/>
    <w:next w:val="27"/>
    <w:autoRedefine/>
    <w:semiHidden/>
    <w:qFormat/>
    <w:uiPriority w:val="0"/>
    <w:pPr>
      <w:keepNext/>
      <w:widowControl/>
      <w:spacing w:before="440" w:line="180" w:lineRule="atLeast"/>
      <w:ind w:firstLine="0" w:firstLineChars="0"/>
      <w:jc w:val="left"/>
    </w:pPr>
    <w:rPr>
      <w:rFonts w:ascii="Arial Black" w:hAnsi="Arial Black"/>
      <w:b/>
      <w:caps/>
      <w:kern w:val="0"/>
      <w:szCs w:val="20"/>
    </w:rPr>
  </w:style>
  <w:style w:type="paragraph" w:styleId="27">
    <w:name w:val="index 1"/>
    <w:basedOn w:val="1"/>
    <w:next w:val="1"/>
    <w:autoRedefine/>
    <w:semiHidden/>
    <w:qFormat/>
    <w:uiPriority w:val="0"/>
    <w:pPr>
      <w:ind w:firstLine="0"/>
    </w:pPr>
  </w:style>
  <w:style w:type="paragraph" w:styleId="28">
    <w:name w:val="footnote text"/>
    <w:basedOn w:val="1"/>
    <w:link w:val="87"/>
    <w:autoRedefine/>
    <w:qFormat/>
    <w:uiPriority w:val="0"/>
    <w:pPr>
      <w:snapToGrid w:val="0"/>
      <w:jc w:val="left"/>
    </w:pPr>
    <w:rPr>
      <w:sz w:val="18"/>
      <w:szCs w:val="18"/>
    </w:rPr>
  </w:style>
  <w:style w:type="paragraph" w:styleId="29">
    <w:name w:val="toc 6"/>
    <w:basedOn w:val="1"/>
    <w:next w:val="1"/>
    <w:autoRedefine/>
    <w:semiHidden/>
    <w:qFormat/>
    <w:uiPriority w:val="0"/>
    <w:pPr>
      <w:ind w:left="1200"/>
      <w:jc w:val="left"/>
    </w:pPr>
    <w:rPr>
      <w:sz w:val="20"/>
      <w:szCs w:val="20"/>
    </w:rPr>
  </w:style>
  <w:style w:type="paragraph" w:styleId="30">
    <w:name w:val="toc 2"/>
    <w:basedOn w:val="1"/>
    <w:next w:val="1"/>
    <w:autoRedefine/>
    <w:qFormat/>
    <w:uiPriority w:val="39"/>
    <w:pPr>
      <w:spacing w:before="120"/>
      <w:ind w:left="240"/>
      <w:jc w:val="left"/>
    </w:pPr>
    <w:rPr>
      <w:b/>
      <w:bCs/>
      <w:sz w:val="22"/>
      <w:szCs w:val="22"/>
    </w:rPr>
  </w:style>
  <w:style w:type="paragraph" w:styleId="31">
    <w:name w:val="toc 9"/>
    <w:basedOn w:val="1"/>
    <w:next w:val="1"/>
    <w:autoRedefine/>
    <w:semiHidden/>
    <w:qFormat/>
    <w:uiPriority w:val="0"/>
    <w:pPr>
      <w:ind w:left="1920"/>
      <w:jc w:val="left"/>
    </w:pPr>
    <w:rPr>
      <w:sz w:val="20"/>
      <w:szCs w:val="20"/>
    </w:rPr>
  </w:style>
  <w:style w:type="paragraph" w:styleId="32">
    <w:name w:val="Normal (Web)"/>
    <w:basedOn w:val="1"/>
    <w:autoRedefine/>
    <w:unhideWhenUsed/>
    <w:qFormat/>
    <w:uiPriority w:val="99"/>
    <w:pPr>
      <w:widowControl/>
      <w:adjustRightInd/>
      <w:spacing w:before="100" w:beforeAutospacing="1" w:after="100" w:afterAutospacing="1" w:line="432" w:lineRule="atLeast"/>
      <w:ind w:firstLine="0" w:firstLineChars="0"/>
      <w:jc w:val="left"/>
      <w:textAlignment w:val="auto"/>
    </w:pPr>
    <w:rPr>
      <w:rFonts w:ascii="宋体" w:hAnsi="宋体" w:cs="宋体"/>
      <w:kern w:val="0"/>
      <w:sz w:val="22"/>
      <w:szCs w:val="22"/>
    </w:rPr>
  </w:style>
  <w:style w:type="paragraph" w:styleId="33">
    <w:name w:val="annotation subject"/>
    <w:basedOn w:val="14"/>
    <w:next w:val="14"/>
    <w:link w:val="86"/>
    <w:autoRedefine/>
    <w:qFormat/>
    <w:uiPriority w:val="0"/>
    <w:rPr>
      <w:b/>
      <w:bCs/>
    </w:r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Hyperlink"/>
    <w:basedOn w:val="36"/>
    <w:autoRedefine/>
    <w:qFormat/>
    <w:uiPriority w:val="99"/>
    <w:rPr>
      <w:color w:val="0000FF"/>
      <w:u w:val="single"/>
    </w:rPr>
  </w:style>
  <w:style w:type="character" w:styleId="38">
    <w:name w:val="annotation reference"/>
    <w:basedOn w:val="36"/>
    <w:autoRedefine/>
    <w:qFormat/>
    <w:uiPriority w:val="0"/>
    <w:rPr>
      <w:sz w:val="21"/>
      <w:szCs w:val="21"/>
    </w:rPr>
  </w:style>
  <w:style w:type="character" w:styleId="39">
    <w:name w:val="footnote reference"/>
    <w:basedOn w:val="36"/>
    <w:autoRedefine/>
    <w:qFormat/>
    <w:uiPriority w:val="0"/>
    <w:rPr>
      <w:vertAlign w:val="superscript"/>
    </w:rPr>
  </w:style>
  <w:style w:type="character" w:customStyle="1" w:styleId="40">
    <w:name w:val="标题 1 Char"/>
    <w:link w:val="3"/>
    <w:autoRedefine/>
    <w:qFormat/>
    <w:uiPriority w:val="0"/>
    <w:rPr>
      <w:rFonts w:ascii="Verdana" w:hAnsi="Verdana" w:eastAsia="宋体"/>
      <w:b/>
      <w:bCs/>
      <w:spacing w:val="40"/>
      <w:kern w:val="52"/>
      <w:sz w:val="36"/>
      <w:szCs w:val="48"/>
      <w14:shadow w14:blurRad="50800" w14:dist="38100" w14:dir="2700000" w14:sx="100000" w14:sy="100000" w14:kx="0" w14:ky="0" w14:algn="tl">
        <w14:srgbClr w14:val="000000">
          <w14:alpha w14:val="60000"/>
        </w14:srgbClr>
      </w14:shadow>
    </w:rPr>
  </w:style>
  <w:style w:type="paragraph" w:customStyle="1" w:styleId="41">
    <w:name w:val="封面大标题"/>
    <w:basedOn w:val="1"/>
    <w:next w:val="1"/>
    <w:autoRedefine/>
    <w:qFormat/>
    <w:uiPriority w:val="0"/>
    <w:pPr>
      <w:ind w:firstLine="0" w:firstLineChars="0"/>
      <w:jc w:val="center"/>
    </w:pPr>
    <w:rPr>
      <w:rFonts w:eastAsia="华文中宋"/>
      <w:b/>
      <w:sz w:val="52"/>
      <w:szCs w:val="52"/>
      <w14:shadow w14:blurRad="50800" w14:dist="38100" w14:dir="2700000" w14:sx="100000" w14:sy="100000" w14:kx="0" w14:ky="0" w14:algn="tl">
        <w14:srgbClr w14:val="000000">
          <w14:alpha w14:val="60000"/>
        </w14:srgbClr>
      </w14:shadow>
    </w:rPr>
  </w:style>
  <w:style w:type="paragraph" w:customStyle="1" w:styleId="42">
    <w:name w:val="表格标题"/>
    <w:basedOn w:val="1"/>
    <w:autoRedefine/>
    <w:qFormat/>
    <w:uiPriority w:val="0"/>
    <w:pPr>
      <w:tabs>
        <w:tab w:val="left" w:pos="0"/>
      </w:tabs>
      <w:ind w:firstLine="0" w:firstLineChars="0"/>
      <w:jc w:val="center"/>
    </w:pPr>
    <w:rPr>
      <w:b/>
      <w:bCs/>
    </w:rPr>
  </w:style>
  <w:style w:type="paragraph" w:customStyle="1" w:styleId="43">
    <w:name w:val="表格内容"/>
    <w:basedOn w:val="1"/>
    <w:autoRedefine/>
    <w:qFormat/>
    <w:uiPriority w:val="0"/>
    <w:pPr>
      <w:tabs>
        <w:tab w:val="left" w:pos="480"/>
      </w:tabs>
      <w:ind w:firstLine="0" w:firstLineChars="0"/>
    </w:pPr>
  </w:style>
  <w:style w:type="paragraph" w:customStyle="1" w:styleId="44">
    <w:name w:val="小标题"/>
    <w:basedOn w:val="1"/>
    <w:link w:val="45"/>
    <w:autoRedefine/>
    <w:qFormat/>
    <w:uiPriority w:val="0"/>
    <w:pPr>
      <w:numPr>
        <w:ilvl w:val="0"/>
        <w:numId w:val="3"/>
      </w:numPr>
      <w:spacing w:beforeLines="100"/>
      <w:ind w:firstLine="0" w:firstLineChars="0"/>
    </w:pPr>
    <w:rPr>
      <w:b/>
    </w:rPr>
  </w:style>
  <w:style w:type="character" w:customStyle="1" w:styleId="45">
    <w:name w:val="小标题 Char"/>
    <w:link w:val="44"/>
    <w:autoRedefine/>
    <w:qFormat/>
    <w:uiPriority w:val="0"/>
    <w:rPr>
      <w:rFonts w:ascii="Verdana" w:hAnsi="Verdana"/>
      <w:b/>
      <w:kern w:val="2"/>
      <w:sz w:val="24"/>
      <w:szCs w:val="24"/>
    </w:rPr>
  </w:style>
  <w:style w:type="paragraph" w:customStyle="1" w:styleId="46">
    <w:name w:val="标题3[非大纲]"/>
    <w:basedOn w:val="1"/>
    <w:autoRedefine/>
    <w:qFormat/>
    <w:uiPriority w:val="0"/>
    <w:pPr>
      <w:spacing w:beforeLines="50" w:afterLines="50"/>
      <w:ind w:firstLine="0" w:firstLineChars="0"/>
    </w:pPr>
    <w:rPr>
      <w:rFonts w:ascii="黑体" w:eastAsia="黑体"/>
      <w:b/>
      <w:sz w:val="32"/>
      <w:szCs w:val="32"/>
    </w:rPr>
  </w:style>
  <w:style w:type="character" w:customStyle="1" w:styleId="47">
    <w:name w:val="图 Char"/>
    <w:link w:val="48"/>
    <w:autoRedefine/>
    <w:qFormat/>
    <w:uiPriority w:val="0"/>
    <w:rPr>
      <w:rFonts w:eastAsia="宋体"/>
      <w:b/>
      <w:kern w:val="2"/>
      <w:sz w:val="28"/>
      <w:szCs w:val="24"/>
      <w:lang w:val="en-US" w:eastAsia="zh-CN" w:bidi="ar-SA"/>
    </w:rPr>
  </w:style>
  <w:style w:type="paragraph" w:customStyle="1" w:styleId="48">
    <w:name w:val="图"/>
    <w:basedOn w:val="1"/>
    <w:link w:val="47"/>
    <w:autoRedefine/>
    <w:qFormat/>
    <w:uiPriority w:val="0"/>
    <w:pPr>
      <w:adjustRightInd/>
      <w:spacing w:beforeLines="50" w:afterLines="100"/>
      <w:ind w:firstLine="0" w:firstLineChars="0"/>
      <w:jc w:val="center"/>
      <w:textAlignment w:val="auto"/>
    </w:pPr>
    <w:rPr>
      <w:rFonts w:ascii="Times New Roman" w:hAnsi="Times New Roman"/>
      <w:b/>
      <w:sz w:val="28"/>
    </w:rPr>
  </w:style>
  <w:style w:type="paragraph" w:customStyle="1" w:styleId="49">
    <w:name w:val="标题1[无编号]"/>
    <w:basedOn w:val="3"/>
    <w:autoRedefine/>
    <w:qFormat/>
    <w:uiPriority w:val="0"/>
    <w:pPr>
      <w:numPr>
        <w:numId w:val="0"/>
      </w:numPr>
      <w:jc w:val="both"/>
    </w:pPr>
  </w:style>
  <w:style w:type="paragraph" w:customStyle="1" w:styleId="50">
    <w:name w:val="撰写注释"/>
    <w:basedOn w:val="1"/>
    <w:link w:val="51"/>
    <w:autoRedefine/>
    <w:qFormat/>
    <w:uiPriority w:val="0"/>
    <w:rPr>
      <w:i/>
      <w:color w:val="0000FF"/>
    </w:rPr>
  </w:style>
  <w:style w:type="character" w:customStyle="1" w:styleId="51">
    <w:name w:val="撰写注释 Char"/>
    <w:link w:val="50"/>
    <w:autoRedefine/>
    <w:qFormat/>
    <w:uiPriority w:val="0"/>
    <w:rPr>
      <w:rFonts w:ascii="Verdana" w:hAnsi="Verdana" w:eastAsia="宋体"/>
      <w:i/>
      <w:color w:val="0000FF"/>
      <w:kern w:val="2"/>
      <w:sz w:val="24"/>
      <w:szCs w:val="24"/>
      <w:lang w:val="en-US" w:eastAsia="zh-CN" w:bidi="ar-SA"/>
    </w:rPr>
  </w:style>
  <w:style w:type="paragraph" w:customStyle="1" w:styleId="52">
    <w:name w:val="表格内容（大）"/>
    <w:basedOn w:val="43"/>
    <w:autoRedefine/>
    <w:qFormat/>
    <w:uiPriority w:val="0"/>
  </w:style>
  <w:style w:type="paragraph" w:customStyle="1" w:styleId="53">
    <w:name w:val="封面文档名称"/>
    <w:autoRedefine/>
    <w:qFormat/>
    <w:uiPriority w:val="0"/>
    <w:pPr>
      <w:spacing w:before="312" w:after="312"/>
      <w:ind w:left="3960" w:leftChars="1650"/>
      <w:jc w:val="center"/>
    </w:pPr>
    <w:rPr>
      <w:rFonts w:ascii="黑体" w:hAnsi="Arial" w:eastAsia="华文中宋" w:cs="Times New Roman"/>
      <w:b/>
      <w:sz w:val="52"/>
      <w:szCs w:val="52"/>
      <w:lang w:val="en-US" w:eastAsia="zh-CN" w:bidi="ar-SA"/>
      <w14:shadow w14:blurRad="50800" w14:dist="38100" w14:dir="2700000" w14:sx="100000" w14:sy="100000" w14:kx="0" w14:ky="0" w14:algn="tl">
        <w14:srgbClr w14:val="000000">
          <w14:alpha w14:val="60000"/>
        </w14:srgbClr>
      </w14:shadow>
    </w:rPr>
  </w:style>
  <w:style w:type="paragraph" w:customStyle="1" w:styleId="54">
    <w:name w:val="重点"/>
    <w:basedOn w:val="1"/>
    <w:link w:val="55"/>
    <w:autoRedefine/>
    <w:qFormat/>
    <w:uiPriority w:val="0"/>
    <w:pPr>
      <w:ind w:firstLine="480"/>
    </w:pPr>
    <w:rPr>
      <w:b/>
      <w:u w:val="single"/>
    </w:rPr>
  </w:style>
  <w:style w:type="character" w:customStyle="1" w:styleId="55">
    <w:name w:val="重点 Char"/>
    <w:link w:val="54"/>
    <w:autoRedefine/>
    <w:qFormat/>
    <w:uiPriority w:val="0"/>
    <w:rPr>
      <w:rFonts w:ascii="Verdana" w:hAnsi="Verdana" w:eastAsia="宋体"/>
      <w:b/>
      <w:kern w:val="2"/>
      <w:sz w:val="24"/>
      <w:szCs w:val="24"/>
      <w:u w:val="single"/>
      <w:lang w:val="en-US" w:eastAsia="zh-CN" w:bidi="ar-SA"/>
    </w:rPr>
  </w:style>
  <w:style w:type="paragraph" w:customStyle="1" w:styleId="56">
    <w:name w:val="新的一章"/>
    <w:basedOn w:val="1"/>
    <w:autoRedefine/>
    <w:qFormat/>
    <w:uiPriority w:val="0"/>
    <w:pPr>
      <w:pageBreakBefore/>
      <w:spacing w:beforeLines="300" w:line="240" w:lineRule="auto"/>
      <w:ind w:firstLine="0" w:firstLineChars="0"/>
    </w:pPr>
    <w:rPr>
      <w:shd w:val="clear" w:color="auto" w:fill="000000"/>
    </w:rPr>
  </w:style>
  <w:style w:type="paragraph" w:customStyle="1" w:styleId="57">
    <w:name w:val="“目录”"/>
    <w:basedOn w:val="1"/>
    <w:autoRedefine/>
    <w:qFormat/>
    <w:uiPriority w:val="0"/>
    <w:pPr>
      <w:ind w:firstLine="0" w:firstLineChars="0"/>
    </w:pPr>
    <w:rPr>
      <w:rFonts w:ascii="华文中宋" w:hAnsi="华文中宋" w:eastAsia="华文中宋"/>
      <w:b/>
      <w:sz w:val="52"/>
      <w:szCs w:val="52"/>
      <w14:shadow w14:blurRad="50800" w14:dist="38100" w14:dir="2700000" w14:sx="100000" w14:sy="100000" w14:kx="0" w14:ky="0" w14:algn="tl">
        <w14:srgbClr w14:val="000000">
          <w14:alpha w14:val="60000"/>
        </w14:srgbClr>
      </w14:shadow>
    </w:rPr>
  </w:style>
  <w:style w:type="paragraph" w:customStyle="1" w:styleId="58">
    <w:name w:val="表格内容（五号）"/>
    <w:basedOn w:val="43"/>
    <w:autoRedefine/>
    <w:qFormat/>
    <w:uiPriority w:val="0"/>
    <w:pPr>
      <w:tabs>
        <w:tab w:val="left" w:pos="0"/>
        <w:tab w:val="clear" w:pos="480"/>
      </w:tabs>
    </w:pPr>
    <w:rPr>
      <w:kern w:val="0"/>
      <w:sz w:val="21"/>
      <w:szCs w:val="21"/>
    </w:rPr>
  </w:style>
  <w:style w:type="paragraph" w:customStyle="1" w:styleId="59">
    <w:name w:val="Char"/>
    <w:basedOn w:val="1"/>
    <w:autoRedefine/>
    <w:qFormat/>
    <w:uiPriority w:val="0"/>
    <w:pPr>
      <w:widowControl/>
      <w:adjustRightInd/>
      <w:spacing w:after="160" w:line="240" w:lineRule="exact"/>
      <w:ind w:firstLine="0" w:firstLineChars="0"/>
      <w:jc w:val="left"/>
      <w:textAlignment w:val="auto"/>
    </w:pPr>
    <w:rPr>
      <w:kern w:val="0"/>
      <w:sz w:val="20"/>
      <w:szCs w:val="20"/>
      <w:lang w:eastAsia="en-US"/>
    </w:rPr>
  </w:style>
  <w:style w:type="paragraph" w:customStyle="1" w:styleId="60">
    <w:name w:val="表格标题（小）"/>
    <w:basedOn w:val="42"/>
    <w:autoRedefine/>
    <w:qFormat/>
    <w:uiPriority w:val="0"/>
    <w:rPr>
      <w:kern w:val="0"/>
      <w:sz w:val="21"/>
      <w:szCs w:val="21"/>
    </w:rPr>
  </w:style>
  <w:style w:type="paragraph" w:customStyle="1" w:styleId="61">
    <w:name w:val="表格标题（大）"/>
    <w:basedOn w:val="1"/>
    <w:autoRedefine/>
    <w:qFormat/>
    <w:uiPriority w:val="0"/>
    <w:pPr>
      <w:tabs>
        <w:tab w:val="left" w:pos="0"/>
      </w:tabs>
      <w:ind w:firstLine="0" w:firstLineChars="0"/>
      <w:jc w:val="center"/>
    </w:pPr>
    <w:rPr>
      <w:b/>
      <w:bCs/>
    </w:rPr>
  </w:style>
  <w:style w:type="character" w:customStyle="1" w:styleId="62">
    <w:name w:val="正文文本缩进 Char"/>
    <w:link w:val="15"/>
    <w:autoRedefine/>
    <w:qFormat/>
    <w:uiPriority w:val="0"/>
    <w:rPr>
      <w:rFonts w:ascii="Verdana" w:hAnsi="Verdana" w:eastAsia="宋体"/>
      <w:kern w:val="2"/>
      <w:sz w:val="24"/>
      <w:szCs w:val="24"/>
      <w:lang w:val="en-US" w:eastAsia="zh-CN" w:bidi="ar-SA"/>
    </w:rPr>
  </w:style>
  <w:style w:type="paragraph" w:customStyle="1" w:styleId="63">
    <w:name w:val="Char1"/>
    <w:basedOn w:val="1"/>
    <w:autoRedefine/>
    <w:qFormat/>
    <w:uiPriority w:val="0"/>
    <w:pPr>
      <w:widowControl/>
      <w:adjustRightInd/>
      <w:spacing w:after="160" w:line="240" w:lineRule="exact"/>
      <w:ind w:firstLine="0" w:firstLineChars="0"/>
      <w:jc w:val="left"/>
      <w:textAlignment w:val="auto"/>
    </w:pPr>
    <w:rPr>
      <w:kern w:val="0"/>
      <w:sz w:val="20"/>
      <w:szCs w:val="20"/>
      <w:lang w:eastAsia="en-US"/>
    </w:rPr>
  </w:style>
  <w:style w:type="paragraph" w:customStyle="1" w:styleId="64">
    <w:name w:val="P1"/>
    <w:basedOn w:val="1"/>
    <w:autoRedefine/>
    <w:qFormat/>
    <w:uiPriority w:val="0"/>
    <w:pPr>
      <w:adjustRightInd/>
      <w:spacing w:line="288" w:lineRule="auto"/>
      <w:ind w:firstLine="425" w:firstLineChars="0"/>
      <w:textAlignment w:val="auto"/>
    </w:pPr>
    <w:rPr>
      <w:rFonts w:ascii="Times New Roman" w:hAnsi="Times New Roman"/>
      <w:sz w:val="21"/>
    </w:rPr>
  </w:style>
  <w:style w:type="character" w:customStyle="1" w:styleId="65">
    <w:name w:val="日期 Char"/>
    <w:link w:val="20"/>
    <w:autoRedefine/>
    <w:qFormat/>
    <w:uiPriority w:val="0"/>
    <w:rPr>
      <w:rFonts w:ascii="Verdana" w:hAnsi="Verdana"/>
      <w:kern w:val="2"/>
      <w:sz w:val="24"/>
      <w:szCs w:val="24"/>
    </w:rPr>
  </w:style>
  <w:style w:type="paragraph" w:styleId="66">
    <w:name w:val="List Paragraph"/>
    <w:basedOn w:val="1"/>
    <w:autoRedefine/>
    <w:qFormat/>
    <w:uiPriority w:val="34"/>
    <w:pPr>
      <w:widowControl/>
      <w:adjustRightInd/>
      <w:spacing w:line="240" w:lineRule="auto"/>
      <w:ind w:firstLine="420"/>
      <w:jc w:val="left"/>
      <w:textAlignment w:val="auto"/>
    </w:pPr>
    <w:rPr>
      <w:rFonts w:ascii="Times New Roman" w:hAnsi="Times New Roman"/>
      <w:kern w:val="0"/>
      <w:sz w:val="21"/>
      <w:szCs w:val="20"/>
    </w:rPr>
  </w:style>
  <w:style w:type="paragraph" w:customStyle="1" w:styleId="67">
    <w:name w:val="HTML Top of Form"/>
    <w:basedOn w:val="1"/>
    <w:next w:val="1"/>
    <w:link w:val="68"/>
    <w:autoRedefine/>
    <w:unhideWhenUsed/>
    <w:qFormat/>
    <w:uiPriority w:val="99"/>
    <w:pPr>
      <w:widowControl/>
      <w:pBdr>
        <w:bottom w:val="single" w:color="auto" w:sz="6" w:space="1"/>
      </w:pBdr>
      <w:adjustRightInd/>
      <w:spacing w:line="240" w:lineRule="auto"/>
      <w:ind w:firstLine="0" w:firstLineChars="0"/>
      <w:jc w:val="center"/>
      <w:textAlignment w:val="auto"/>
    </w:pPr>
    <w:rPr>
      <w:rFonts w:ascii="Arial" w:hAnsi="Arial"/>
      <w:vanish/>
      <w:kern w:val="0"/>
      <w:sz w:val="16"/>
      <w:szCs w:val="16"/>
    </w:rPr>
  </w:style>
  <w:style w:type="character" w:customStyle="1" w:styleId="68">
    <w:name w:val="z-窗体顶端 Char"/>
    <w:link w:val="67"/>
    <w:autoRedefine/>
    <w:qFormat/>
    <w:uiPriority w:val="99"/>
    <w:rPr>
      <w:rFonts w:ascii="Arial" w:hAnsi="Arial" w:cs="Arial"/>
      <w:vanish/>
      <w:sz w:val="16"/>
      <w:szCs w:val="16"/>
    </w:rPr>
  </w:style>
  <w:style w:type="paragraph" w:customStyle="1" w:styleId="69">
    <w:name w:val="HTML Bottom of Form"/>
    <w:basedOn w:val="1"/>
    <w:next w:val="1"/>
    <w:link w:val="70"/>
    <w:autoRedefine/>
    <w:unhideWhenUsed/>
    <w:qFormat/>
    <w:uiPriority w:val="99"/>
    <w:pPr>
      <w:widowControl/>
      <w:pBdr>
        <w:top w:val="single" w:color="auto" w:sz="6" w:space="1"/>
      </w:pBdr>
      <w:adjustRightInd/>
      <w:spacing w:line="240" w:lineRule="auto"/>
      <w:ind w:firstLine="0" w:firstLineChars="0"/>
      <w:jc w:val="center"/>
      <w:textAlignment w:val="auto"/>
    </w:pPr>
    <w:rPr>
      <w:rFonts w:ascii="Arial" w:hAnsi="Arial"/>
      <w:vanish/>
      <w:kern w:val="0"/>
      <w:sz w:val="16"/>
      <w:szCs w:val="16"/>
    </w:rPr>
  </w:style>
  <w:style w:type="character" w:customStyle="1" w:styleId="70">
    <w:name w:val="z-窗体底端 Char"/>
    <w:link w:val="69"/>
    <w:autoRedefine/>
    <w:qFormat/>
    <w:uiPriority w:val="99"/>
    <w:rPr>
      <w:rFonts w:ascii="Arial" w:hAnsi="Arial" w:cs="Arial"/>
      <w:vanish/>
      <w:sz w:val="16"/>
      <w:szCs w:val="16"/>
    </w:rPr>
  </w:style>
  <w:style w:type="character" w:customStyle="1" w:styleId="71">
    <w:name w:val="标题 2 Char"/>
    <w:link w:val="4"/>
    <w:autoRedefine/>
    <w:qFormat/>
    <w:uiPriority w:val="0"/>
    <w:rPr>
      <w:rFonts w:ascii="Arial" w:hAnsi="Arial" w:eastAsia="宋体"/>
      <w:b/>
      <w:bCs/>
      <w:kern w:val="44"/>
      <w:sz w:val="32"/>
      <w:szCs w:val="44"/>
      <w14:shadow w14:blurRad="50800" w14:dist="38100" w14:dir="2700000" w14:sx="100000" w14:sy="100000" w14:kx="0" w14:ky="0" w14:algn="tl">
        <w14:srgbClr w14:val="000000">
          <w14:alpha w14:val="60000"/>
        </w14:srgbClr>
      </w14:shadow>
    </w:rPr>
  </w:style>
  <w:style w:type="character" w:customStyle="1" w:styleId="72">
    <w:name w:val="标题 3 Char1"/>
    <w:link w:val="5"/>
    <w:autoRedefine/>
    <w:qFormat/>
    <w:uiPriority w:val="0"/>
    <w:rPr>
      <w:rFonts w:asciiTheme="minorEastAsia" w:hAnsiTheme="minorEastAsia" w:eastAsiaTheme="minorEastAsia"/>
      <w:b/>
      <w:bCs/>
      <w:kern w:val="2"/>
      <w:sz w:val="32"/>
      <w:szCs w:val="32"/>
    </w:rPr>
  </w:style>
  <w:style w:type="character" w:customStyle="1" w:styleId="73">
    <w:name w:val="标题 4 Char"/>
    <w:link w:val="6"/>
    <w:autoRedefine/>
    <w:qFormat/>
    <w:uiPriority w:val="0"/>
    <w:rPr>
      <w:rFonts w:ascii="Arial" w:hAnsi="Arial" w:eastAsia="华文中宋"/>
      <w:b/>
      <w:bCs/>
      <w:kern w:val="2"/>
      <w:sz w:val="28"/>
      <w:szCs w:val="28"/>
    </w:rPr>
  </w:style>
  <w:style w:type="character" w:customStyle="1" w:styleId="74">
    <w:name w:val="标题 5 Char"/>
    <w:link w:val="7"/>
    <w:autoRedefine/>
    <w:qFormat/>
    <w:uiPriority w:val="0"/>
    <w:rPr>
      <w:rFonts w:ascii="Verdana" w:hAnsi="Verdana"/>
      <w:b/>
      <w:kern w:val="44"/>
      <w:sz w:val="24"/>
      <w:szCs w:val="21"/>
    </w:rPr>
  </w:style>
  <w:style w:type="character" w:customStyle="1" w:styleId="75">
    <w:name w:val="标题 6 Char"/>
    <w:link w:val="8"/>
    <w:autoRedefine/>
    <w:qFormat/>
    <w:uiPriority w:val="0"/>
    <w:rPr>
      <w:rFonts w:ascii="Verdana" w:hAnsi="Verdana" w:cs="Times New Roman"/>
      <w:b/>
      <w:kern w:val="44"/>
      <w:sz w:val="24"/>
      <w:szCs w:val="21"/>
    </w:rPr>
  </w:style>
  <w:style w:type="character" w:customStyle="1" w:styleId="76">
    <w:name w:val="标题 7 Char"/>
    <w:link w:val="9"/>
    <w:autoRedefine/>
    <w:qFormat/>
    <w:uiPriority w:val="0"/>
    <w:rPr>
      <w:rFonts w:ascii="Verdana" w:hAnsi="Verdana" w:cs="Times New Roman"/>
      <w:b/>
      <w:kern w:val="44"/>
      <w:sz w:val="24"/>
      <w:szCs w:val="21"/>
    </w:rPr>
  </w:style>
  <w:style w:type="character" w:customStyle="1" w:styleId="77">
    <w:name w:val="标题 8 Char"/>
    <w:link w:val="10"/>
    <w:autoRedefine/>
    <w:qFormat/>
    <w:uiPriority w:val="0"/>
    <w:rPr>
      <w:rFonts w:ascii="Verdana" w:hAnsi="Verdana" w:cs="Times New Roman"/>
      <w:b/>
      <w:kern w:val="44"/>
      <w:sz w:val="24"/>
      <w:szCs w:val="21"/>
    </w:rPr>
  </w:style>
  <w:style w:type="character" w:customStyle="1" w:styleId="78">
    <w:name w:val="标题 9 Char"/>
    <w:link w:val="11"/>
    <w:autoRedefine/>
    <w:qFormat/>
    <w:uiPriority w:val="0"/>
    <w:rPr>
      <w:rFonts w:ascii="Verdana" w:hAnsi="Verdana" w:cs="Times New Roman"/>
      <w:b/>
      <w:kern w:val="44"/>
      <w:sz w:val="24"/>
      <w:szCs w:val="21"/>
    </w:rPr>
  </w:style>
  <w:style w:type="character" w:customStyle="1" w:styleId="79">
    <w:name w:val="页眉 Char"/>
    <w:link w:val="23"/>
    <w:autoRedefine/>
    <w:qFormat/>
    <w:uiPriority w:val="0"/>
    <w:rPr>
      <w:rFonts w:ascii="Verdana" w:hAnsi="Verdana"/>
      <w:color w:val="0000FF"/>
      <w:sz w:val="18"/>
      <w:szCs w:val="18"/>
    </w:rPr>
  </w:style>
  <w:style w:type="character" w:customStyle="1" w:styleId="80">
    <w:name w:val="文档结构图 Char"/>
    <w:link w:val="13"/>
    <w:autoRedefine/>
    <w:semiHidden/>
    <w:qFormat/>
    <w:uiPriority w:val="0"/>
    <w:rPr>
      <w:rFonts w:ascii="Verdana" w:hAnsi="Verdana"/>
      <w:kern w:val="2"/>
      <w:sz w:val="24"/>
      <w:szCs w:val="24"/>
      <w:shd w:val="clear" w:color="auto" w:fill="000080"/>
    </w:rPr>
  </w:style>
  <w:style w:type="character" w:customStyle="1" w:styleId="81">
    <w:name w:val="页脚 Char"/>
    <w:link w:val="22"/>
    <w:autoRedefine/>
    <w:qFormat/>
    <w:uiPriority w:val="0"/>
    <w:rPr>
      <w:rFonts w:ascii="Verdana" w:hAnsi="Verdana"/>
      <w:b/>
      <w:kern w:val="2"/>
      <w:sz w:val="15"/>
      <w:szCs w:val="15"/>
    </w:rPr>
  </w:style>
  <w:style w:type="character" w:customStyle="1" w:styleId="82">
    <w:name w:val="批注框文本 Char"/>
    <w:link w:val="21"/>
    <w:autoRedefine/>
    <w:semiHidden/>
    <w:qFormat/>
    <w:uiPriority w:val="0"/>
    <w:rPr>
      <w:rFonts w:ascii="Verdana" w:hAnsi="Verdana"/>
      <w:kern w:val="2"/>
      <w:sz w:val="18"/>
      <w:szCs w:val="18"/>
    </w:rPr>
  </w:style>
  <w:style w:type="character" w:customStyle="1" w:styleId="83">
    <w:name w:val="正文文本 Char"/>
    <w:link w:val="2"/>
    <w:autoRedefine/>
    <w:qFormat/>
    <w:uiPriority w:val="0"/>
  </w:style>
  <w:style w:type="paragraph" w:customStyle="1" w:styleId="84">
    <w:name w:val="TOC Heading"/>
    <w:basedOn w:val="3"/>
    <w:next w:val="1"/>
    <w:autoRedefine/>
    <w:unhideWhenUsed/>
    <w:qFormat/>
    <w:uiPriority w:val="39"/>
    <w:pPr>
      <w:keepNext/>
      <w:keepLines/>
      <w:widowControl/>
      <w:numPr>
        <w:numId w:val="0"/>
      </w:numPr>
      <w:adjustRightInd/>
      <w:spacing w:before="480" w:afterLines="0" w:line="276" w:lineRule="auto"/>
      <w:ind w:right="0" w:rightChars="0"/>
      <w:textAlignment w:val="auto"/>
      <w:outlineLvl w:val="9"/>
    </w:pPr>
    <w:rPr>
      <w:rFonts w:asciiTheme="majorHAnsi" w:hAnsiTheme="majorHAnsi" w:eastAsiaTheme="majorEastAsia" w:cstheme="majorBidi"/>
      <w:color w:val="376092" w:themeColor="accent1" w:themeShade="BF"/>
      <w:spacing w:val="0"/>
      <w:kern w:val="0"/>
      <w:sz w:val="28"/>
      <w:szCs w:val="28"/>
    </w:rPr>
  </w:style>
  <w:style w:type="character" w:customStyle="1" w:styleId="85">
    <w:name w:val="批注文字 Char"/>
    <w:basedOn w:val="36"/>
    <w:link w:val="14"/>
    <w:autoRedefine/>
    <w:qFormat/>
    <w:uiPriority w:val="0"/>
    <w:rPr>
      <w:rFonts w:ascii="Verdana" w:hAnsi="Verdana"/>
      <w:kern w:val="2"/>
      <w:sz w:val="24"/>
      <w:szCs w:val="24"/>
    </w:rPr>
  </w:style>
  <w:style w:type="character" w:customStyle="1" w:styleId="86">
    <w:name w:val="批注主题 Char"/>
    <w:basedOn w:val="85"/>
    <w:link w:val="33"/>
    <w:autoRedefine/>
    <w:qFormat/>
    <w:uiPriority w:val="0"/>
    <w:rPr>
      <w:b/>
      <w:bCs/>
    </w:rPr>
  </w:style>
  <w:style w:type="character" w:customStyle="1" w:styleId="87">
    <w:name w:val="脚注文本 Char"/>
    <w:basedOn w:val="36"/>
    <w:link w:val="28"/>
    <w:autoRedefine/>
    <w:qFormat/>
    <w:uiPriority w:val="0"/>
    <w:rPr>
      <w:rFonts w:ascii="Verdana" w:hAnsi="Verdana"/>
      <w:kern w:val="2"/>
      <w:sz w:val="18"/>
      <w:szCs w:val="18"/>
    </w:rPr>
  </w:style>
  <w:style w:type="paragraph" w:customStyle="1" w:styleId="88">
    <w:name w:val="WPSOffice手动目录 1"/>
    <w:autoRedefine/>
    <w:qFormat/>
    <w:uiPriority w:val="0"/>
    <w:pPr>
      <w:ind w:leftChars="0"/>
    </w:pPr>
    <w:rPr>
      <w:rFonts w:ascii="Times New Roman" w:hAnsi="Times New Roman" w:eastAsia="宋体" w:cs="Times New Roman"/>
      <w:sz w:val="21"/>
      <w:szCs w:val="20"/>
    </w:rPr>
  </w:style>
  <w:style w:type="paragraph" w:customStyle="1" w:styleId="89">
    <w:name w:val="WPSOffice手动目录 2"/>
    <w:autoRedefine/>
    <w:qFormat/>
    <w:uiPriority w:val="0"/>
    <w:pPr>
      <w:ind w:leftChars="200"/>
    </w:pPr>
    <w:rPr>
      <w:rFonts w:ascii="Times New Roman" w:hAnsi="Times New Roman" w:eastAsia="宋体" w:cs="Times New Roman"/>
      <w:sz w:val="20"/>
      <w:szCs w:val="20"/>
    </w:rPr>
  </w:style>
  <w:style w:type="paragraph" w:customStyle="1" w:styleId="90">
    <w:name w:val="WPSOffice手动目录 3"/>
    <w:autoRedefine/>
    <w:qFormat/>
    <w:uiPriority w:val="0"/>
    <w:pPr>
      <w:ind w:leftChars="400"/>
    </w:pPr>
    <w:rPr>
      <w:rFonts w:ascii="Times New Roman" w:hAnsi="Times New Roman" w:eastAsia="宋体" w:cs="Times New Roman"/>
      <w:sz w:val="18"/>
      <w:szCs w:val="20"/>
    </w:rPr>
  </w:style>
  <w:style w:type="character" w:customStyle="1" w:styleId="91">
    <w:name w:val="font31"/>
    <w:basedOn w:val="36"/>
    <w:autoRedefine/>
    <w:qFormat/>
    <w:uiPriority w:val="0"/>
    <w:rPr>
      <w:rFonts w:hint="default" w:ascii="Arial" w:hAnsi="Arial" w:cs="Arial"/>
      <w:b/>
      <w:bCs/>
      <w:color w:val="000000"/>
      <w:sz w:val="20"/>
      <w:szCs w:val="20"/>
      <w:u w:val="none"/>
    </w:rPr>
  </w:style>
  <w:style w:type="character" w:customStyle="1" w:styleId="92">
    <w:name w:val="font41"/>
    <w:basedOn w:val="36"/>
    <w:autoRedefine/>
    <w:qFormat/>
    <w:uiPriority w:val="0"/>
    <w:rPr>
      <w:rFonts w:hint="eastAsia" w:ascii="宋体" w:hAnsi="宋体" w:eastAsia="宋体" w:cs="宋体"/>
      <w:b/>
      <w:bCs/>
      <w:color w:val="000000"/>
      <w:sz w:val="20"/>
      <w:szCs w:val="20"/>
      <w:u w:val="none"/>
    </w:rPr>
  </w:style>
  <w:style w:type="character" w:customStyle="1" w:styleId="93">
    <w:name w:val="font81"/>
    <w:basedOn w:val="36"/>
    <w:autoRedefine/>
    <w:qFormat/>
    <w:uiPriority w:val="0"/>
    <w:rPr>
      <w:rFonts w:hint="default" w:ascii="Arial" w:hAnsi="Arial" w:cs="Arial"/>
      <w:b/>
      <w:bCs/>
      <w:color w:val="000000"/>
      <w:sz w:val="20"/>
      <w:szCs w:val="20"/>
      <w:u w:val="none"/>
    </w:rPr>
  </w:style>
  <w:style w:type="character" w:customStyle="1" w:styleId="94">
    <w:name w:val="font01"/>
    <w:basedOn w:val="36"/>
    <w:autoRedefine/>
    <w:qFormat/>
    <w:uiPriority w:val="0"/>
    <w:rPr>
      <w:rFonts w:hint="eastAsia" w:ascii="微软雅黑" w:hAnsi="微软雅黑" w:eastAsia="微软雅黑" w:cs="微软雅黑"/>
      <w:b/>
      <w:bCs/>
      <w:color w:val="FF0000"/>
      <w:sz w:val="18"/>
      <w:szCs w:val="18"/>
      <w:u w:val="none"/>
    </w:rPr>
  </w:style>
  <w:style w:type="paragraph" w:customStyle="1" w:styleId="95">
    <w:name w:val="标准小四"/>
    <w:basedOn w:val="1"/>
    <w:autoRedefine/>
    <w:qFormat/>
    <w:uiPriority w:val="0"/>
    <w:pPr>
      <w:spacing w:line="360" w:lineRule="auto"/>
      <w:ind w:firstLine="480" w:firstLineChars="200"/>
    </w:pPr>
    <w:rPr>
      <w:rFonts w:ascii="Arial" w:hAnsi="Arial"/>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chart" Target="charts/chart14.xml"/><Relationship Id="rId27" Type="http://schemas.openxmlformats.org/officeDocument/2006/relationships/chart" Target="charts/chart13.xml"/><Relationship Id="rId26" Type="http://schemas.openxmlformats.org/officeDocument/2006/relationships/chart" Target="charts/chart12.xml"/><Relationship Id="rId25" Type="http://schemas.openxmlformats.org/officeDocument/2006/relationships/chart" Target="charts/chart11.xml"/><Relationship Id="rId24" Type="http://schemas.openxmlformats.org/officeDocument/2006/relationships/chart" Target="charts/chart10.xml"/><Relationship Id="rId23" Type="http://schemas.openxmlformats.org/officeDocument/2006/relationships/image" Target="media/image5.png"/><Relationship Id="rId22" Type="http://schemas.openxmlformats.org/officeDocument/2006/relationships/chart" Target="charts/chart9.xml"/><Relationship Id="rId21" Type="http://schemas.openxmlformats.org/officeDocument/2006/relationships/chart" Target="charts/chart8.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image" Target="media/image4.png"/><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home\lilw\&#19979;&#36733;\F:\home\lilw\D:\wesley\common\templates\doc\Ex_proposal.dot" TargetMode="External"/></Relationships>
</file>

<file path=word/charts/_rels/chart1.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image" Target="../media/image8.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10.xml.rels><?xml version="1.0" encoding="UTF-8" standalone="yes"?>
<Relationships xmlns="http://schemas.openxmlformats.org/package/2006/relationships"><Relationship Id="rId5" Type="http://schemas.microsoft.com/office/2011/relationships/chartColorStyle" Target="colors12.xml"/><Relationship Id="rId4" Type="http://schemas.microsoft.com/office/2011/relationships/chartStyle" Target="style12.xml"/><Relationship Id="rId3" Type="http://schemas.openxmlformats.org/officeDocument/2006/relationships/image" Target="../media/image13.png"/><Relationship Id="rId2" Type="http://schemas.openxmlformats.org/officeDocument/2006/relationships/themeOverride" Target="../theme/themeOverride1.xml"/><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image" Target="../media/image10.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image" Target="../media/image7.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image" Target="../media/image6.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image" Target="../media/image10.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image" Target="../media/image11.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image" Target="../media/image12.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image" Target="../media/image9.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image" Target="../media/image9.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image" Target="../media/image9.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image" Target="../media/image9.png"/><Relationship Id="rId1" Type="http://schemas.openxmlformats.org/officeDocument/2006/relationships/oleObject" Target="file:///F:\lmx\&#20013;&#28895;\0-&#26376;&#25253;\2023&#24180;8.26-9&#26376;&#26376;&#25253;\&#26381;&#21153;&#21488;&#32479;&#35745;&#25253;&#34920;&#12304;2023&#24180;9&#26376;&#12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62787991622062"/>
          <c:y val="0.069119739784509"/>
          <c:w val="0.901140330463114"/>
          <c:h val="0.764870908721285"/>
        </c:manualLayout>
      </c:layout>
      <c:barChart>
        <c:barDir val="col"/>
        <c:grouping val="clustered"/>
        <c:varyColors val="0"/>
        <c:ser>
          <c:idx val="0"/>
          <c:order val="0"/>
          <c:tx>
            <c:strRef>
              <c:f>'[服务台统计报表【2023年9月】.xlsx]6月基础数据'!$C$8</c:f>
              <c:strCache>
                <c:ptCount val="1"/>
                <c:pt idx="0">
                  <c:v>服务台受理事件数量</c:v>
                </c:pt>
              </c:strCache>
            </c:strRef>
          </c:tx>
          <c:spPr>
            <a:solidFill>
              <a:schemeClr val="accent1">
                <a:lumMod val="75000"/>
              </a:schemeClr>
            </a:solidFill>
            <a:ln>
              <a:noFill/>
            </a:ln>
            <a:effectLst/>
          </c:spPr>
          <c:invertIfNegative val="0"/>
          <c:dPt>
            <c:idx val="0"/>
            <c:invertIfNegative val="0"/>
            <c:bubble3D val="0"/>
          </c:dPt>
          <c:dLbls>
            <c:spPr>
              <a:noFill/>
              <a:ln>
                <a:noFill/>
              </a:ln>
              <a:effectLst/>
            </c:spPr>
            <c:txPr>
              <a:bodyPr rot="0" spcFirstLastPara="0" vertOverflow="ellipsis" vert="horz" wrap="square" lIns="38100" tIns="19050" rIns="38100" bIns="19050" anchor="ctr" anchorCtr="1"/>
              <a:lstStyle/>
              <a:p>
                <a:pPr>
                  <a:defRPr lang="zh-CN" sz="900" b="0" i="0" u="none" strike="noStrike" kern="1200" cap="none" spc="0" normalizeH="0" baseline="0">
                    <a:solidFill>
                      <a:schemeClr val="tx1">
                        <a:lumMod val="95000"/>
                        <a:lumOff val="5000"/>
                      </a:schemeClr>
                    </a:solidFill>
                    <a:uFill>
                      <a:solidFill>
                        <a:schemeClr val="tx1">
                          <a:lumMod val="75000"/>
                          <a:lumOff val="25000"/>
                        </a:schemeClr>
                      </a:solidFill>
                    </a:u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'[服务台统计报表【2023年9月】.xlsx]6月基础数据'!$B$9:$B$13</c:f>
              <c:strCache>
                <c:ptCount val="5"/>
                <c:pt idx="0" c:formatCode="@">
                  <c:v>公司本部  </c:v>
                </c:pt>
                <c:pt idx="1" c:formatCode="@">
                  <c:v>广州卷烟厂  </c:v>
                </c:pt>
                <c:pt idx="2" c:formatCode="@">
                  <c:v>韶关卷烟厂  </c:v>
                </c:pt>
                <c:pt idx="3" c:formatCode="@">
                  <c:v>梅州卷烟厂  </c:v>
                </c:pt>
                <c:pt idx="4" c:formatCode="@">
                  <c:v>湛江卷烟厂  </c:v>
                </c:pt>
              </c:strCache>
            </c:strRef>
          </c:cat>
          <c:val>
            <c:numRef>
              <c:f>'[服务台统计报表【2023年9月】.xlsx]6月基础数据'!$C$9:$C$13</c:f>
              <c:numCache>
                <c:formatCode>General</c:formatCode>
                <c:ptCount val="5"/>
                <c:pt idx="0">
                  <c:v>1739</c:v>
                </c:pt>
                <c:pt idx="1">
                  <c:v>306</c:v>
                </c:pt>
                <c:pt idx="2">
                  <c:v>0</c:v>
                </c:pt>
                <c:pt idx="3">
                  <c:v>30</c:v>
                </c:pt>
                <c:pt idx="4">
                  <c:v>103</c:v>
                </c:pt>
              </c:numCache>
            </c:numRef>
          </c:val>
        </c:ser>
        <c:ser>
          <c:idx val="1"/>
          <c:order val="1"/>
          <c:tx>
            <c:strRef>
              <c:f>'[服务台统计报表【2023年9月】.xlsx]6月基础数据'!$D$8</c:f>
              <c:strCache>
                <c:ptCount val="1"/>
                <c:pt idx="0">
                  <c:v>未经服务台受理事件数量</c:v>
                </c:pt>
              </c:strCache>
            </c:strRef>
          </c:tx>
          <c:spPr>
            <a:solidFill>
              <a:schemeClr val="accent3">
                <a:lumMod val="75000"/>
              </a:schemeClr>
            </a:solidFill>
            <a:ln>
              <a:noFill/>
            </a:ln>
            <a:effectLst/>
          </c:spPr>
          <c:invertIfNegative val="0"/>
          <c:dLbls>
            <c:delete val="1"/>
          </c:dLbls>
          <c:cat>
            <c:strRef>
              <c:f>'[服务台统计报表【2023年9月】.xlsx]6月基础数据'!$B$9:$B$13</c:f>
              <c:strCache>
                <c:ptCount val="5"/>
                <c:pt idx="0" c:formatCode="@">
                  <c:v>公司本部  </c:v>
                </c:pt>
                <c:pt idx="1" c:formatCode="@">
                  <c:v>广州卷烟厂  </c:v>
                </c:pt>
                <c:pt idx="2" c:formatCode="@">
                  <c:v>韶关卷烟厂  </c:v>
                </c:pt>
                <c:pt idx="3" c:formatCode="@">
                  <c:v>梅州卷烟厂  </c:v>
                </c:pt>
                <c:pt idx="4" c:formatCode="@">
                  <c:v>湛江卷烟厂  </c:v>
                </c:pt>
              </c:strCache>
            </c:strRef>
          </c:cat>
          <c:val>
            <c:numRef>
              <c:f>'[服务台统计报表【2023年9月】.xlsx]6月基础数据'!$D$9:$D$13</c:f>
              <c:numCache>
                <c:formatCode>General</c:formatCode>
                <c:ptCount val="5"/>
                <c:pt idx="0">
                  <c:v>73</c:v>
                </c:pt>
                <c:pt idx="1">
                  <c:v>100</c:v>
                </c:pt>
                <c:pt idx="2">
                  <c:v>31</c:v>
                </c:pt>
                <c:pt idx="3">
                  <c:v>46</c:v>
                </c:pt>
                <c:pt idx="4">
                  <c:v>35</c:v>
                </c:pt>
              </c:numCache>
            </c:numRef>
          </c:val>
        </c:ser>
        <c:dLbls>
          <c:showLegendKey val="0"/>
          <c:showVal val="0"/>
          <c:showCatName val="0"/>
          <c:showSerName val="0"/>
          <c:showPercent val="0"/>
          <c:showBubbleSize val="0"/>
        </c:dLbls>
        <c:gapWidth val="219"/>
        <c:overlap val="-27"/>
        <c:axId val="289600270"/>
        <c:axId val="72108701"/>
      </c:barChart>
      <c:catAx>
        <c:axId val="2896002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108701"/>
        <c:crosses val="autoZero"/>
        <c:auto val="1"/>
        <c:lblAlgn val="ctr"/>
        <c:lblOffset val="100"/>
        <c:noMultiLvlLbl val="0"/>
      </c:catAx>
      <c:valAx>
        <c:axId val="7210870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96002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2">
        <a:alphaModFix amt="58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cap="none" spc="0" normalizeH="0" baseline="0">
                <a:solidFill>
                  <a:schemeClr val="bg1">
                    <a:lumMod val="50000"/>
                  </a:schemeClr>
                </a:solidFill>
                <a:latin typeface="微软雅黑" panose="020B0503020204020204" charset="-122"/>
                <a:ea typeface="微软雅黑" panose="020B0503020204020204" charset="-122"/>
                <a:cs typeface="+mj-cs"/>
              </a:defRPr>
            </a:pPr>
            <a:r>
              <a:rPr altLang="en-US"/>
              <a:t>变更工单状态</a:t>
            </a:r>
            <a:endParaRPr altLang="en-US"/>
          </a:p>
        </c:rich>
      </c:tx>
      <c:layout/>
      <c:overlay val="0"/>
      <c:spPr>
        <a:noFill/>
        <a:ln>
          <a:noFill/>
        </a:ln>
        <a:effectLst/>
      </c:spPr>
    </c:title>
    <c:autoTitleDeleted val="0"/>
    <c:plotArea>
      <c:layout/>
      <c:lineChart>
        <c:grouping val="standard"/>
        <c:varyColors val="0"/>
        <c:ser>
          <c:idx val="0"/>
          <c:order val="0"/>
          <c:tx>
            <c:strRef>
              <c:f>[服务台统计报表【2023年9月】.xlsx]变更统计!$D$5</c:f>
              <c:strCache>
                <c:ptCount val="1"/>
                <c:pt idx="0">
                  <c:v>待实施</c:v>
                </c:pt>
              </c:strCache>
            </c:strRef>
          </c:tx>
          <c:spPr>
            <a:ln w="38100"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[服务台统计报表【2023年9月】.xlsx]变更统计!$E$4:$H$4</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[服务台统计报表【2023年9月】.xlsx]变更统计!$E$5:$H$5</c:f>
              <c:numCache>
                <c:formatCode>General</c:formatCode>
                <c:ptCount val="4"/>
                <c:pt idx="0">
                  <c:v>8</c:v>
                </c:pt>
                <c:pt idx="1">
                  <c:v>15</c:v>
                </c:pt>
                <c:pt idx="2">
                  <c:v>10</c:v>
                </c:pt>
                <c:pt idx="3">
                  <c:v>33</c:v>
                </c:pt>
              </c:numCache>
            </c:numRef>
          </c:val>
          <c:smooth val="1"/>
        </c:ser>
        <c:ser>
          <c:idx val="1"/>
          <c:order val="1"/>
          <c:tx>
            <c:strRef>
              <c:f>[服务台统计报表【2023年9月】.xlsx]变更统计!$D$6</c:f>
              <c:strCache>
                <c:ptCount val="1"/>
                <c:pt idx="0">
                  <c:v>已关闭</c:v>
                </c:pt>
              </c:strCache>
            </c:strRef>
          </c:tx>
          <c:spPr>
            <a:ln w="38100" cap="rnd">
              <a:solidFill>
                <a:sysClr val="window" lastClr="FFFFFF">
                  <a:lumMod val="65000"/>
                </a:sysClr>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[服务台统计报表【2023年9月】.xlsx]变更统计!$E$4:$H$4</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[服务台统计报表【2023年9月】.xlsx]变更统计!$E$6:$H$6</c:f>
              <c:numCache>
                <c:formatCode>General</c:formatCode>
                <c:ptCount val="4"/>
                <c:pt idx="0">
                  <c:v>79</c:v>
                </c:pt>
                <c:pt idx="1">
                  <c:v>66</c:v>
                </c:pt>
                <c:pt idx="2">
                  <c:v>58</c:v>
                </c:pt>
                <c:pt idx="3">
                  <c:v>63</c:v>
                </c:pt>
              </c:numCache>
            </c:numRef>
          </c:val>
          <c:smooth val="1"/>
        </c:ser>
        <c:ser>
          <c:idx val="2"/>
          <c:order val="2"/>
          <c:tx>
            <c:strRef>
              <c:f>[服务台统计报表【2023年9月】.xlsx]变更统计!$D$7</c:f>
              <c:strCache>
                <c:ptCount val="1"/>
                <c:pt idx="0">
                  <c:v>总变更数</c:v>
                </c:pt>
              </c:strCache>
            </c:strRef>
          </c:tx>
          <c:spPr>
            <a:ln w="38100" cap="rnd">
              <a:gradFill>
                <a:gsLst>
                  <a:gs pos="0">
                    <a:srgbClr val="E30000"/>
                  </a:gs>
                  <a:gs pos="100000">
                    <a:srgbClr val="760303"/>
                  </a:gs>
                </a:gsLst>
              </a:gra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[服务台统计报表【2023年9月】.xlsx]变更统计!$E$4:$H$4</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[服务台统计报表【2023年9月】.xlsx]变更统计!$E$7:$H$7</c:f>
              <c:numCache>
                <c:formatCode>General</c:formatCode>
                <c:ptCount val="4"/>
                <c:pt idx="0">
                  <c:v>87</c:v>
                </c:pt>
                <c:pt idx="1">
                  <c:v>81</c:v>
                </c:pt>
                <c:pt idx="2">
                  <c:v>68</c:v>
                </c:pt>
                <c:pt idx="3">
                  <c:v>96</c:v>
                </c:pt>
              </c:numCache>
            </c:numRef>
          </c:val>
          <c:smooth val="1"/>
        </c:ser>
        <c:dLbls>
          <c:showLegendKey val="0"/>
          <c:showVal val="0"/>
          <c:showCatName val="0"/>
          <c:showSerName val="0"/>
          <c:showPercent val="0"/>
          <c:showBubbleSize val="0"/>
        </c:dLbls>
        <c:marker val="0"/>
        <c:smooth val="1"/>
        <c:axId val="21854336"/>
        <c:axId val="124191113"/>
      </c:lineChart>
      <c:dateAx>
        <c:axId val="218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1" i="0" u="none" strike="noStrike" kern="1200" cap="none" spc="0" normalizeH="0" baseline="0">
                <a:solidFill>
                  <a:schemeClr val="tx1">
                    <a:lumMod val="95000"/>
                    <a:lumOff val="5000"/>
                  </a:schemeClr>
                </a:solidFill>
                <a:uFill>
                  <a:solidFill>
                    <a:schemeClr val="bg1">
                      <a:lumMod val="65000"/>
                    </a:schemeClr>
                  </a:solidFill>
                </a:uFill>
                <a:latin typeface="微软雅黑" panose="020B0503020204020204" charset="-122"/>
                <a:ea typeface="微软雅黑" panose="020B0503020204020204" charset="-122"/>
                <a:cs typeface="+mn-cs"/>
              </a:defRPr>
            </a:pPr>
          </a:p>
        </c:txPr>
        <c:crossAx val="124191113"/>
        <c:crosses val="autoZero"/>
        <c:auto val="1"/>
        <c:lblOffset val="100"/>
        <c:baseTimeUnit val="months"/>
      </c:dateAx>
      <c:valAx>
        <c:axId val="12419111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crossAx val="21854336"/>
        <c:crosses val="autoZero"/>
        <c:crossBetween val="midCat"/>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800" b="0" i="0" u="none" strike="noStrike" kern="1200" baseline="0">
              <a:solidFill>
                <a:schemeClr val="bg1">
                  <a:lumMod val="65000"/>
                </a:schemeClr>
              </a:solidFill>
              <a:latin typeface="微软雅黑" panose="020B0503020204020204" charset="-122"/>
              <a:ea typeface="微软雅黑" panose="020B0503020204020204" charset="-122"/>
              <a:cs typeface="+mn-cs"/>
            </a:defRPr>
          </a:pPr>
        </a:p>
      </c:txPr>
    </c:legend>
    <c:plotVisOnly val="1"/>
    <c:dispBlanksAs val="gap"/>
    <c:showDLblsOverMax val="0"/>
  </c:chart>
  <c:spPr>
    <a:blipFill rotWithShape="1">
      <a:blip xmlns:r="http://schemas.openxmlformats.org/officeDocument/2006/relationships" r:embed="rId3">
        <a:alphaModFix amt="54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b="1">
                <a:latin typeface="微软雅黑" panose="020B0503020204020204" charset="-122"/>
                <a:ea typeface="微软雅黑" panose="020B0503020204020204" charset="-122"/>
              </a:rPr>
              <a:t>9</a:t>
            </a:r>
            <a:r>
              <a:rPr altLang="en-US" b="1">
                <a:latin typeface="微软雅黑" panose="020B0503020204020204" charset="-122"/>
                <a:ea typeface="微软雅黑" panose="020B0503020204020204" charset="-122"/>
              </a:rPr>
              <a:t>月</a:t>
            </a:r>
            <a:r>
              <a:rPr b="1">
                <a:latin typeface="微软雅黑" panose="020B0503020204020204" charset="-122"/>
                <a:ea typeface="微软雅黑" panose="020B0503020204020204" charset="-122"/>
              </a:rPr>
              <a:t>变更工单处理人分布情况</a:t>
            </a:r>
            <a:endParaRPr b="1">
              <a:latin typeface="微软雅黑" panose="020B0503020204020204" charset="-122"/>
              <a:ea typeface="微软雅黑" panose="020B0503020204020204" charset="-122"/>
            </a:endParaRPr>
          </a:p>
        </c:rich>
      </c:tx>
      <c:layout/>
      <c:overlay val="0"/>
      <c:spPr>
        <a:noFill/>
        <a:ln>
          <a:noFill/>
        </a:ln>
        <a:effectLst/>
      </c:spPr>
    </c:title>
    <c:autoTitleDeleted val="0"/>
    <c:plotArea>
      <c:layout/>
      <c:barChart>
        <c:barDir val="col"/>
        <c:grouping val="clustered"/>
        <c:varyColors val="0"/>
        <c:ser>
          <c:idx val="0"/>
          <c:order val="0"/>
          <c:tx>
            <c:strRef>
              <c:f>[服务台统计报表【2023年9月】.xlsx]变更统计!$E$67</c:f>
              <c:strCache>
                <c:ptCount val="1"/>
                <c:pt idx="0">
                  <c:v>总数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[服务台统计报表【2023年9月】.xlsx]变更统计!$D$68:$D$78</c:f>
              <c:strCache>
                <c:ptCount val="11"/>
                <c:pt idx="0">
                  <c:v>郭丹凤</c:v>
                </c:pt>
                <c:pt idx="1">
                  <c:v>郭丹凤,周旻</c:v>
                </c:pt>
                <c:pt idx="2">
                  <c:v>李丽文</c:v>
                </c:pt>
                <c:pt idx="3">
                  <c:v>徐喆</c:v>
                </c:pt>
                <c:pt idx="4">
                  <c:v>尹庆君</c:v>
                </c:pt>
                <c:pt idx="5">
                  <c:v>尹庆君,周旻</c:v>
                </c:pt>
                <c:pt idx="6">
                  <c:v>钟佳</c:v>
                </c:pt>
                <c:pt idx="7">
                  <c:v>钟佳,周旻</c:v>
                </c:pt>
                <c:pt idx="8">
                  <c:v>周旻</c:v>
                </c:pt>
                <c:pt idx="9">
                  <c:v>陈谱欣</c:v>
                </c:pt>
                <c:pt idx="10">
                  <c:v>王睿,周旻</c:v>
                </c:pt>
              </c:strCache>
            </c:strRef>
          </c:cat>
          <c:val>
            <c:numRef>
              <c:f>[服务台统计报表【2023年9月】.xlsx]变更统计!$E$68:$E$78</c:f>
              <c:numCache>
                <c:formatCode>General</c:formatCode>
                <c:ptCount val="11"/>
                <c:pt idx="0">
                  <c:v>2</c:v>
                </c:pt>
                <c:pt idx="1">
                  <c:v>6</c:v>
                </c:pt>
                <c:pt idx="2">
                  <c:v>1</c:v>
                </c:pt>
                <c:pt idx="3">
                  <c:v>69</c:v>
                </c:pt>
                <c:pt idx="4">
                  <c:v>5</c:v>
                </c:pt>
                <c:pt idx="5">
                  <c:v>3</c:v>
                </c:pt>
                <c:pt idx="6">
                  <c:v>1</c:v>
                </c:pt>
                <c:pt idx="7">
                  <c:v>1</c:v>
                </c:pt>
                <c:pt idx="8">
                  <c:v>2</c:v>
                </c:pt>
                <c:pt idx="9">
                  <c:v>1</c:v>
                </c:pt>
                <c:pt idx="10">
                  <c:v>1</c:v>
                </c:pt>
              </c:numCache>
            </c:numRef>
          </c:val>
        </c:ser>
        <c:dLbls>
          <c:showLegendKey val="0"/>
          <c:showVal val="1"/>
          <c:showCatName val="0"/>
          <c:showSerName val="0"/>
          <c:showPercent val="0"/>
          <c:showBubbleSize val="0"/>
        </c:dLbls>
        <c:gapWidth val="219"/>
        <c:overlap val="-27"/>
        <c:axId val="290390320"/>
        <c:axId val="449494926"/>
      </c:barChart>
      <c:catAx>
        <c:axId val="2903903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p>
        </c:txPr>
        <c:crossAx val="449494926"/>
        <c:crosses val="autoZero"/>
        <c:auto val="1"/>
        <c:lblAlgn val="ctr"/>
        <c:lblOffset val="100"/>
        <c:noMultiLvlLbl val="0"/>
      </c:catAx>
      <c:valAx>
        <c:axId val="44949492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390320"/>
        <c:crosses val="autoZero"/>
        <c:crossBetween val="between"/>
      </c:valAx>
      <c:spPr>
        <a:noFill/>
        <a:ln>
          <a:noFill/>
        </a:ln>
        <a:effectLst/>
      </c:spPr>
    </c:plotArea>
    <c:plotVisOnly val="1"/>
    <c:dispBlanksAs val="gap"/>
    <c:showDLblsOverMax val="0"/>
  </c:chart>
  <c:spPr>
    <a:blipFill rotWithShape="1">
      <a:blip xmlns:r="http://schemas.openxmlformats.org/officeDocument/2006/relationships" r:embed="rId2">
        <a:alphaModFix amt="63000"/>
      </a:blip>
      <a:stretch>
        <a:fillRect/>
      </a:stretch>
    </a:blip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ltLang="zh-CN"/>
              <a:t>9</a:t>
            </a:r>
            <a:r>
              <a:t>月变更工单业务运维分布及待实施情况</a:t>
            </a:r>
          </a:p>
          <a:p>
            <a:pPr defTabSz="914400">
              <a:defRPr lang="zh-CN"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p>
        </c:rich>
      </c:tx>
      <c:layout>
        <c:manualLayout>
          <c:xMode val="edge"/>
          <c:yMode val="edge"/>
          <c:x val="0.172854878877066"/>
          <c:y val="0.0302236550473504"/>
        </c:manualLayout>
      </c:layout>
      <c:overlay val="0"/>
      <c:spPr>
        <a:noFill/>
        <a:ln>
          <a:noFill/>
        </a:ln>
        <a:effectLst/>
      </c:spPr>
    </c:title>
    <c:autoTitleDeleted val="0"/>
    <c:plotArea>
      <c:layout>
        <c:manualLayout>
          <c:layoutTarget val="inner"/>
          <c:xMode val="edge"/>
          <c:yMode val="edge"/>
          <c:x val="0.264406779661017"/>
          <c:y val="0.154362416107383"/>
          <c:w val="0.722011449096419"/>
          <c:h val="0.640303779583186"/>
        </c:manualLayout>
      </c:layout>
      <c:barChart>
        <c:barDir val="bar"/>
        <c:grouping val="stacked"/>
        <c:varyColors val="0"/>
        <c:ser>
          <c:idx val="0"/>
          <c:order val="0"/>
          <c:tx>
            <c:strRef>
              <c:f>[服务台统计报表【2023年9月】.xlsx]变更统计!$E$33</c:f>
              <c:strCache>
                <c:ptCount val="1"/>
                <c:pt idx="0">
                  <c:v>总数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[服务台统计报表【2023年9月】.xlsx]变更统计!$D$34:$D$43</c:f>
              <c:strCache>
                <c:ptCount val="10"/>
                <c:pt idx="0">
                  <c:v>桌面系统运维服务</c:v>
                </c:pt>
                <c:pt idx="1">
                  <c:v>ERP</c:v>
                </c:pt>
                <c:pt idx="2">
                  <c:v>IT运维管理平台</c:v>
                </c:pt>
                <c:pt idx="3">
                  <c:v>MES系统</c:v>
                </c:pt>
                <c:pt idx="4">
                  <c:v>办公协同</c:v>
                </c:pt>
                <c:pt idx="5">
                  <c:v>其他</c:v>
                </c:pt>
                <c:pt idx="6">
                  <c:v>生产指挥系统</c:v>
                </c:pt>
                <c:pt idx="7">
                  <c:v>烟叶管理信息系统</c:v>
                </c:pt>
                <c:pt idx="8">
                  <c:v>资产管理系统</c:v>
                </c:pt>
                <c:pt idx="9">
                  <c:v>综合项目管理平台</c:v>
                </c:pt>
              </c:strCache>
            </c:strRef>
          </c:cat>
          <c:val>
            <c:numRef>
              <c:f>[服务台统计报表【2023年9月】.xlsx]变更统计!$E$34:$E$43</c:f>
              <c:numCache>
                <c:formatCode>General</c:formatCode>
                <c:ptCount val="10"/>
                <c:pt idx="0">
                  <c:v>2</c:v>
                </c:pt>
                <c:pt idx="1">
                  <c:v>13</c:v>
                </c:pt>
                <c:pt idx="2">
                  <c:v>1</c:v>
                </c:pt>
                <c:pt idx="3">
                  <c:v>2</c:v>
                </c:pt>
                <c:pt idx="4">
                  <c:v>67</c:v>
                </c:pt>
                <c:pt idx="5">
                  <c:v>5</c:v>
                </c:pt>
                <c:pt idx="6">
                  <c:v>1</c:v>
                </c:pt>
                <c:pt idx="7">
                  <c:v>1</c:v>
                </c:pt>
                <c:pt idx="8">
                  <c:v>2</c:v>
                </c:pt>
                <c:pt idx="9">
                  <c:v>2</c:v>
                </c:pt>
              </c:numCache>
            </c:numRef>
          </c:val>
        </c:ser>
        <c:ser>
          <c:idx val="1"/>
          <c:order val="1"/>
          <c:tx>
            <c:strRef>
              <c:f>[服务台统计报表【2023年9月】.xlsx]变更统计!$F$33</c:f>
              <c:strCache>
                <c:ptCount val="1"/>
                <c:pt idx="0">
                  <c:v>9月待实施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8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[服务台统计报表【2023年9月】.xlsx]变更统计!$D$34:$D$43</c:f>
              <c:strCache>
                <c:ptCount val="10"/>
                <c:pt idx="0">
                  <c:v>桌面系统运维服务</c:v>
                </c:pt>
                <c:pt idx="1">
                  <c:v>ERP</c:v>
                </c:pt>
                <c:pt idx="2">
                  <c:v>IT运维管理平台</c:v>
                </c:pt>
                <c:pt idx="3">
                  <c:v>MES系统</c:v>
                </c:pt>
                <c:pt idx="4">
                  <c:v>办公协同</c:v>
                </c:pt>
                <c:pt idx="5">
                  <c:v>其他</c:v>
                </c:pt>
                <c:pt idx="6">
                  <c:v>生产指挥系统</c:v>
                </c:pt>
                <c:pt idx="7">
                  <c:v>烟叶管理信息系统</c:v>
                </c:pt>
                <c:pt idx="8">
                  <c:v>资产管理系统</c:v>
                </c:pt>
                <c:pt idx="9">
                  <c:v>综合项目管理平台</c:v>
                </c:pt>
              </c:strCache>
            </c:strRef>
          </c:cat>
          <c:val>
            <c:numRef>
              <c:f>[服务台统计报表【2023年9月】.xlsx]变更统计!$F$34:$F$43</c:f>
              <c:numCache>
                <c:formatCode>General</c:formatCode>
                <c:ptCount val="10"/>
                <c:pt idx="0">
                  <c:v>1</c:v>
                </c:pt>
                <c:pt idx="1">
                  <c:v>4</c:v>
                </c:pt>
                <c:pt idx="2">
                  <c:v>1</c:v>
                </c:pt>
                <c:pt idx="4">
                  <c:v>23</c:v>
                </c:pt>
                <c:pt idx="5">
                  <c:v>3</c:v>
                </c:pt>
                <c:pt idx="9">
                  <c:v>1</c:v>
                </c:pt>
              </c:numCache>
            </c:numRef>
          </c:val>
        </c:ser>
        <c:dLbls>
          <c:showLegendKey val="0"/>
          <c:showVal val="1"/>
          <c:showCatName val="0"/>
          <c:showSerName val="0"/>
          <c:showPercent val="0"/>
          <c:showBubbleSize val="0"/>
        </c:dLbls>
        <c:gapWidth val="150"/>
        <c:overlap val="100"/>
        <c:axId val="25479101"/>
        <c:axId val="718434438"/>
      </c:barChart>
      <c:catAx>
        <c:axId val="25479101"/>
        <c:scaling>
          <c:orientation val="minMax"/>
        </c:scaling>
        <c:delete val="0"/>
        <c:axPos val="l"/>
        <c:majorTickMark val="none"/>
        <c:minorTickMark val="none"/>
        <c:tickLblPos val="nextTo"/>
        <c:spPr>
          <a:noFill/>
          <a:ln w="12700" cap="flat" cmpd="sng" algn="ctr">
            <a:solidFill>
              <a:schemeClr val="lt1">
                <a:lumMod val="95000"/>
                <a:alpha val="54000"/>
              </a:schemeClr>
            </a:solidFill>
            <a:round/>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718434438"/>
        <c:crosses val="autoZero"/>
        <c:auto val="1"/>
        <c:lblAlgn val="ctr"/>
        <c:lblOffset val="100"/>
        <c:noMultiLvlLbl val="0"/>
      </c:catAx>
      <c:valAx>
        <c:axId val="71843443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crossAx val="2547910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lt1">
                  <a:lumMod val="85000"/>
                </a:schemeClr>
              </a:solidFill>
              <a:latin typeface="+mn-lt"/>
              <a:ea typeface="+mn-ea"/>
              <a:cs typeface="+mn-cs"/>
            </a:defRPr>
          </a:pP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a:ln>
      <a:noFill/>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任务跟踪状态</a:t>
            </a:r>
            <a:endParaRPr b="1"/>
          </a:p>
        </c:rich>
      </c:tx>
      <c:layout/>
      <c:overlay val="0"/>
      <c:spPr>
        <a:noFill/>
        <a:ln>
          <a:noFill/>
        </a:ln>
        <a:effectLst/>
      </c:spPr>
    </c:title>
    <c:autoTitleDeleted val="0"/>
    <c:plotArea>
      <c:layout/>
      <c:lineChart>
        <c:grouping val="standard"/>
        <c:varyColors val="0"/>
        <c:ser>
          <c:idx val="0"/>
          <c:order val="0"/>
          <c:tx>
            <c:strRef>
              <c:f>'[服务台统计报表【2023年9月】.xlsx]任务跟踪 '!$C$3</c:f>
              <c:strCache>
                <c:ptCount val="1"/>
                <c:pt idx="0">
                  <c:v>待处理</c:v>
                </c:pt>
              </c:strCache>
            </c:strRef>
          </c:tx>
          <c:spPr>
            <a:ln w="28575" cap="rnd">
              <a:solidFill>
                <a:srgbClr val="C00000"/>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'[服务台统计报表【2023年9月】.xlsx]任务跟踪 '!$D$2:$F$2</c:f>
              <c:numCache>
                <c:formatCode>yyyy"年"m"月"</c:formatCode>
                <c:ptCount val="3"/>
                <c:pt idx="0" c:formatCode="yyyy&quot;年&quot;m&quot;月&quot;">
                  <c:v>45108</c:v>
                </c:pt>
                <c:pt idx="1" c:formatCode="yyyy&quot;年&quot;m&quot;月&quot;">
                  <c:v>45139</c:v>
                </c:pt>
                <c:pt idx="2" c:formatCode="yyyy&quot;年&quot;m&quot;月&quot;">
                  <c:v>45170</c:v>
                </c:pt>
              </c:numCache>
            </c:numRef>
          </c:cat>
          <c:val>
            <c:numRef>
              <c:f>'[服务台统计报表【2023年9月】.xlsx]任务跟踪 '!$D$3:$F$3</c:f>
              <c:numCache>
                <c:formatCode>General</c:formatCode>
                <c:ptCount val="3"/>
                <c:pt idx="0">
                  <c:v>42</c:v>
                </c:pt>
                <c:pt idx="1">
                  <c:v>71</c:v>
                </c:pt>
                <c:pt idx="2">
                  <c:v>80</c:v>
                </c:pt>
              </c:numCache>
            </c:numRef>
          </c:val>
          <c:smooth val="0"/>
        </c:ser>
        <c:ser>
          <c:idx val="2"/>
          <c:order val="1"/>
          <c:tx>
            <c:strRef>
              <c:f>'[服务台统计报表【2023年9月】.xlsx]任务跟踪 '!$C$5</c:f>
              <c:strCache>
                <c:ptCount val="1"/>
                <c:pt idx="0">
                  <c:v>已关闭</c:v>
                </c:pt>
              </c:strCache>
            </c:strRef>
          </c:tx>
          <c:spPr>
            <a:ln w="28575" cap="rnd">
              <a:solidFill>
                <a:schemeClr val="accent3"/>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'[服务台统计报表【2023年9月】.xlsx]任务跟踪 '!$D$2:$F$2</c:f>
              <c:numCache>
                <c:formatCode>yyyy"年"m"月"</c:formatCode>
                <c:ptCount val="3"/>
                <c:pt idx="0" c:formatCode="yyyy&quot;年&quot;m&quot;月&quot;">
                  <c:v>45108</c:v>
                </c:pt>
                <c:pt idx="1" c:formatCode="yyyy&quot;年&quot;m&quot;月&quot;">
                  <c:v>45139</c:v>
                </c:pt>
                <c:pt idx="2" c:formatCode="yyyy&quot;年&quot;m&quot;月&quot;">
                  <c:v>45170</c:v>
                </c:pt>
              </c:numCache>
            </c:numRef>
          </c:cat>
          <c:val>
            <c:numRef>
              <c:f>'[服务台统计报表【2023年9月】.xlsx]任务跟踪 '!$D$5:$F$5</c:f>
              <c:numCache>
                <c:formatCode>General</c:formatCode>
                <c:ptCount val="3"/>
                <c:pt idx="0">
                  <c:v>308</c:v>
                </c:pt>
                <c:pt idx="1">
                  <c:v>303</c:v>
                </c:pt>
                <c:pt idx="2">
                  <c:v>331</c:v>
                </c:pt>
              </c:numCache>
            </c:numRef>
          </c:val>
          <c:smooth val="0"/>
        </c:ser>
        <c:ser>
          <c:idx val="3"/>
          <c:order val="2"/>
          <c:tx>
            <c:strRef>
              <c:f>'[服务台统计报表【2023年9月】.xlsx]任务跟踪 '!$C$6</c:f>
              <c:strCache>
                <c:ptCount val="1"/>
                <c:pt idx="0">
                  <c:v>总数</c:v>
                </c:pt>
              </c:strCache>
            </c:strRef>
          </c:tx>
          <c:spPr>
            <a:ln w="28575" cap="rnd">
              <a:solidFill>
                <a:schemeClr val="accent4"/>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'[服务台统计报表【2023年9月】.xlsx]任务跟踪 '!$D$2:$F$2</c:f>
              <c:numCache>
                <c:formatCode>yyyy"年"m"月"</c:formatCode>
                <c:ptCount val="3"/>
                <c:pt idx="0" c:formatCode="yyyy&quot;年&quot;m&quot;月&quot;">
                  <c:v>45108</c:v>
                </c:pt>
                <c:pt idx="1" c:formatCode="yyyy&quot;年&quot;m&quot;月&quot;">
                  <c:v>45139</c:v>
                </c:pt>
                <c:pt idx="2" c:formatCode="yyyy&quot;年&quot;m&quot;月&quot;">
                  <c:v>45170</c:v>
                </c:pt>
              </c:numCache>
            </c:numRef>
          </c:cat>
          <c:val>
            <c:numRef>
              <c:f>'[服务台统计报表【2023年9月】.xlsx]任务跟踪 '!$D$6:$F$6</c:f>
              <c:numCache>
                <c:formatCode>General</c:formatCode>
                <c:ptCount val="3"/>
                <c:pt idx="0">
                  <c:v>350</c:v>
                </c:pt>
                <c:pt idx="1">
                  <c:v>374</c:v>
                </c:pt>
                <c:pt idx="2">
                  <c:v>411</c:v>
                </c:pt>
              </c:numCache>
            </c:numRef>
          </c:val>
          <c:smooth val="0"/>
        </c:ser>
        <c:dLbls>
          <c:showLegendKey val="0"/>
          <c:showVal val="1"/>
          <c:showCatName val="0"/>
          <c:showSerName val="0"/>
          <c:showPercent val="0"/>
          <c:showBubbleSize val="0"/>
        </c:dLbls>
        <c:marker val="0"/>
        <c:smooth val="0"/>
        <c:axId val="117044230"/>
        <c:axId val="858191773"/>
      </c:lineChart>
      <c:dateAx>
        <c:axId val="11704423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8191773"/>
        <c:crosses val="autoZero"/>
        <c:auto val="1"/>
        <c:lblOffset val="100"/>
        <c:baseTimeUnit val="months"/>
      </c:dateAx>
      <c:valAx>
        <c:axId val="85819177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70442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2">
        <a:alphaModFix amt="50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b="1"/>
              <a:t>9</a:t>
            </a:r>
            <a:r>
              <a:rPr altLang="en-US" b="1"/>
              <a:t>月</a:t>
            </a:r>
            <a:r>
              <a:rPr b="1"/>
              <a:t>任务跟踪业务运维分布及待处理分布情况</a:t>
            </a:r>
            <a:endParaRPr b="1"/>
          </a:p>
        </c:rich>
      </c:tx>
      <c:layout>
        <c:manualLayout>
          <c:xMode val="edge"/>
          <c:yMode val="edge"/>
          <c:x val="0.134666666666667"/>
          <c:y val="0.0204081632653061"/>
        </c:manualLayout>
      </c:layout>
      <c:overlay val="0"/>
      <c:spPr>
        <a:noFill/>
        <a:ln>
          <a:noFill/>
        </a:ln>
        <a:effectLst/>
      </c:spPr>
    </c:title>
    <c:autoTitleDeleted val="0"/>
    <c:plotArea>
      <c:layout/>
      <c:barChart>
        <c:barDir val="bar"/>
        <c:grouping val="stacked"/>
        <c:varyColors val="0"/>
        <c:ser>
          <c:idx val="0"/>
          <c:order val="0"/>
          <c:tx>
            <c:strRef>
              <c:f>'[服务台统计报表【2023年9月】.xlsx]任务跟踪 '!$D$30</c:f>
              <c:strCache>
                <c:ptCount val="1"/>
                <c:pt idx="0">
                  <c:v>总数</c:v>
                </c:pt>
              </c:strCache>
            </c:strRef>
          </c:tx>
          <c:spPr>
            <a:solidFill>
              <a:schemeClr val="bg2">
                <a:lumMod val="50000"/>
              </a:schemeClr>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'[服务台统计报表【2023年9月】.xlsx]任务跟踪 '!$C$31:$C$40</c:f>
              <c:strCache>
                <c:ptCount val="10"/>
                <c:pt idx="0">
                  <c:v>服务器存储备份及配套</c:v>
                </c:pt>
                <c:pt idx="1">
                  <c:v>机房设施维护服务</c:v>
                </c:pt>
                <c:pt idx="2">
                  <c:v>会议服务</c:v>
                </c:pt>
                <c:pt idx="3">
                  <c:v>一号工程</c:v>
                </c:pt>
                <c:pt idx="4">
                  <c:v>ERP</c:v>
                </c:pt>
                <c:pt idx="5">
                  <c:v>网络及安全设施维护服务</c:v>
                </c:pt>
                <c:pt idx="6">
                  <c:v>IT运维管理平台</c:v>
                </c:pt>
                <c:pt idx="7">
                  <c:v>末端设备培训、巡检</c:v>
                </c:pt>
                <c:pt idx="8">
                  <c:v>安全产品巡检</c:v>
                </c:pt>
                <c:pt idx="9">
                  <c:v>弱电服务</c:v>
                </c:pt>
              </c:strCache>
            </c:strRef>
          </c:cat>
          <c:val>
            <c:numRef>
              <c:f>'[服务台统计报表【2023年9月】.xlsx]任务跟踪 '!$D$31:$D$40</c:f>
              <c:numCache>
                <c:formatCode>General</c:formatCode>
                <c:ptCount val="10"/>
                <c:pt idx="0">
                  <c:v>178</c:v>
                </c:pt>
                <c:pt idx="1">
                  <c:v>53</c:v>
                </c:pt>
                <c:pt idx="2">
                  <c:v>24</c:v>
                </c:pt>
                <c:pt idx="3">
                  <c:v>24</c:v>
                </c:pt>
                <c:pt idx="4">
                  <c:v>1</c:v>
                </c:pt>
                <c:pt idx="5">
                  <c:v>72</c:v>
                </c:pt>
                <c:pt idx="6">
                  <c:v>25</c:v>
                </c:pt>
                <c:pt idx="7">
                  <c:v>5</c:v>
                </c:pt>
                <c:pt idx="8">
                  <c:v>5</c:v>
                </c:pt>
                <c:pt idx="9">
                  <c:v>24</c:v>
                </c:pt>
              </c:numCache>
            </c:numRef>
          </c:val>
        </c:ser>
        <c:ser>
          <c:idx val="1"/>
          <c:order val="1"/>
          <c:tx>
            <c:strRef>
              <c:f>'[服务台统计报表【2023年9月】.xlsx]任务跟踪 '!$E$30</c:f>
              <c:strCache>
                <c:ptCount val="1"/>
                <c:pt idx="0">
                  <c:v>9月待处理</c:v>
                </c:pt>
              </c:strCache>
            </c:strRef>
          </c:tx>
          <c:spPr>
            <a:gradFill>
              <a:gsLst>
                <a:gs pos="0">
                  <a:srgbClr val="FE4444"/>
                </a:gs>
                <a:gs pos="100000">
                  <a:srgbClr val="832B2B"/>
                </a:gs>
              </a:gsLst>
              <a:lin scaled="0"/>
            </a:gra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'[服务台统计报表【2023年9月】.xlsx]任务跟踪 '!$C$31:$C$40</c:f>
              <c:strCache>
                <c:ptCount val="10"/>
                <c:pt idx="0">
                  <c:v>服务器存储备份及配套</c:v>
                </c:pt>
                <c:pt idx="1">
                  <c:v>机房设施维护服务</c:v>
                </c:pt>
                <c:pt idx="2">
                  <c:v>会议服务</c:v>
                </c:pt>
                <c:pt idx="3">
                  <c:v>一号工程</c:v>
                </c:pt>
                <c:pt idx="4">
                  <c:v>ERP</c:v>
                </c:pt>
                <c:pt idx="5">
                  <c:v>网络及安全设施维护服务</c:v>
                </c:pt>
                <c:pt idx="6">
                  <c:v>IT运维管理平台</c:v>
                </c:pt>
                <c:pt idx="7">
                  <c:v>末端设备培训、巡检</c:v>
                </c:pt>
                <c:pt idx="8">
                  <c:v>安全产品巡检</c:v>
                </c:pt>
                <c:pt idx="9">
                  <c:v>弱电服务</c:v>
                </c:pt>
              </c:strCache>
            </c:strRef>
          </c:cat>
          <c:val>
            <c:numRef>
              <c:f>'[服务台统计报表【2023年9月】.xlsx]任务跟踪 '!$E$31:$E$40</c:f>
              <c:numCache>
                <c:formatCode>General</c:formatCode>
                <c:ptCount val="10"/>
                <c:pt idx="0">
                  <c:v>48</c:v>
                </c:pt>
                <c:pt idx="1">
                  <c:v>1</c:v>
                </c:pt>
                <c:pt idx="3">
                  <c:v>21</c:v>
                </c:pt>
                <c:pt idx="4">
                  <c:v>1</c:v>
                </c:pt>
                <c:pt idx="5">
                  <c:v>3</c:v>
                </c:pt>
                <c:pt idx="6">
                  <c:v>1</c:v>
                </c:pt>
                <c:pt idx="8">
                  <c:v>5</c:v>
                </c:pt>
              </c:numCache>
            </c:numRef>
          </c:val>
        </c:ser>
        <c:dLbls>
          <c:showLegendKey val="0"/>
          <c:showVal val="1"/>
          <c:showCatName val="0"/>
          <c:showSerName val="0"/>
          <c:showPercent val="0"/>
          <c:showBubbleSize val="0"/>
        </c:dLbls>
        <c:gapWidth val="150"/>
        <c:overlap val="100"/>
        <c:axId val="193606328"/>
        <c:axId val="877874328"/>
      </c:barChart>
      <c:catAx>
        <c:axId val="1936063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7874328"/>
        <c:crosses val="autoZero"/>
        <c:auto val="1"/>
        <c:lblAlgn val="ctr"/>
        <c:lblOffset val="100"/>
        <c:noMultiLvlLbl val="0"/>
      </c:catAx>
      <c:valAx>
        <c:axId val="877874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36063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2">
        <a:alphaModFix amt="69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94312796209"/>
          <c:y val="0.1219754723235"/>
          <c:w val="0.823696682464455"/>
          <c:h val="0.709545906529665"/>
        </c:manualLayout>
      </c:layout>
      <c:lineChart>
        <c:grouping val="standard"/>
        <c:varyColors val="0"/>
        <c:ser>
          <c:idx val="0"/>
          <c:order val="0"/>
          <c:tx>
            <c:strRef>
              <c:f>'[服务台统计报表【2023年9月】.xlsx]6月对比 '!$A$8</c:f>
              <c:strCache>
                <c:ptCount val="1"/>
                <c:pt idx="0">
                  <c:v>公司本部</c:v>
                </c:pt>
              </c:strCache>
            </c:strRef>
          </c:tx>
          <c:spPr>
            <a:ln w="22225" cap="rnd">
              <a:solidFill>
                <a:schemeClr val="accent1"/>
              </a:solidFill>
              <a:round/>
            </a:ln>
            <a:effectLst/>
          </c:spPr>
          <c:marker>
            <c:symbol val="none"/>
          </c:marker>
          <c:dLbls>
            <c:dLbl>
              <c:idx val="0"/>
              <c:layout>
                <c:manualLayout>
                  <c:x val="-0.0766385105998739"/>
                  <c:y val="0.01158901296832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53800942374245"/>
                  <c:y val="-0.03168345000784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71630801853949"/>
                  <c:y val="-0.02540532264071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04620815057727"/>
                  <c:y val="-0.001933631711730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cap="none" spc="0" normalizeH="0" baseline="0">
                    <a:solidFill>
                      <a:schemeClr val="accent6">
                        <a:lumMod val="50000"/>
                      </a:schemeClr>
                    </a:solidFill>
                    <a:uFill>
                      <a:solidFill>
                        <a:schemeClr val="tx1">
                          <a:lumMod val="75000"/>
                          <a:lumOff val="25000"/>
                        </a:schemeClr>
                      </a:solidFill>
                    </a:u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round/>
                    </a:ln>
                    <a:effectLst/>
                  </c:spPr>
                </c15:leaderLines>
              </c:ext>
            </c:extLst>
          </c:dLbls>
          <c:cat>
            <c:numRef>
              <c:f>'[服务台统计报表【2023年9月】.xlsx]6月对比 '!$B$7:$E$7</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'[服务台统计报表【2023年9月】.xlsx]6月对比 '!$B$8:$E$8</c:f>
              <c:numCache>
                <c:formatCode>General</c:formatCode>
                <c:ptCount val="4"/>
                <c:pt idx="0">
                  <c:v>1568</c:v>
                </c:pt>
                <c:pt idx="1">
                  <c:v>1450</c:v>
                </c:pt>
                <c:pt idx="2">
                  <c:v>1225</c:v>
                </c:pt>
                <c:pt idx="3">
                  <c:v>1812</c:v>
                </c:pt>
              </c:numCache>
            </c:numRef>
          </c:val>
          <c:smooth val="0"/>
        </c:ser>
        <c:ser>
          <c:idx val="1"/>
          <c:order val="1"/>
          <c:tx>
            <c:strRef>
              <c:f>'[服务台统计报表【2023年9月】.xlsx]6月对比 '!$A$9</c:f>
              <c:strCache>
                <c:ptCount val="1"/>
                <c:pt idx="0">
                  <c:v>广州卷烟厂</c:v>
                </c:pt>
              </c:strCache>
            </c:strRef>
          </c:tx>
          <c:spPr>
            <a:ln w="22225" cap="rnd">
              <a:solidFill>
                <a:schemeClr val="accent2"/>
              </a:solidFill>
              <a:round/>
            </a:ln>
            <a:effectLst/>
          </c:spPr>
          <c:marker>
            <c:symbol val="none"/>
          </c:marker>
          <c:dLbls>
            <c:dLbl>
              <c:idx val="0"/>
              <c:layout>
                <c:manualLayout>
                  <c:x val="-0.063943205273"/>
                  <c:y val="-0.028310668174104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01675762573158"/>
                  <c:y val="-0.04123107601706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3424863979323"/>
                  <c:y val="-0.03572171632387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31633719703565"/>
                  <c:y val="-0.011682074318325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cap="none" spc="0" normalizeH="0" baseline="0">
                    <a:solidFill>
                      <a:schemeClr val="accent6">
                        <a:lumMod val="50000"/>
                      </a:schemeClr>
                    </a:solidFill>
                    <a:uFill>
                      <a:solidFill>
                        <a:schemeClr val="tx1">
                          <a:lumMod val="75000"/>
                          <a:lumOff val="25000"/>
                        </a:schemeClr>
                      </a:solidFill>
                    </a:u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round/>
                    </a:ln>
                    <a:effectLst/>
                  </c:spPr>
                </c15:leaderLines>
              </c:ext>
            </c:extLst>
          </c:dLbls>
          <c:cat>
            <c:numRef>
              <c:f>'[服务台统计报表【2023年9月】.xlsx]6月对比 '!$B$7:$E$7</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'[服务台统计报表【2023年9月】.xlsx]6月对比 '!$B$9:$E$9</c:f>
              <c:numCache>
                <c:formatCode>General</c:formatCode>
                <c:ptCount val="4"/>
                <c:pt idx="0">
                  <c:v>253</c:v>
                </c:pt>
                <c:pt idx="1">
                  <c:v>327</c:v>
                </c:pt>
                <c:pt idx="2">
                  <c:v>323</c:v>
                </c:pt>
                <c:pt idx="3">
                  <c:v>406</c:v>
                </c:pt>
              </c:numCache>
            </c:numRef>
          </c:val>
          <c:smooth val="0"/>
        </c:ser>
        <c:ser>
          <c:idx val="2"/>
          <c:order val="2"/>
          <c:tx>
            <c:strRef>
              <c:f>'[服务台统计报表【2023年9月】.xlsx]6月对比 '!$A$10</c:f>
              <c:strCache>
                <c:ptCount val="1"/>
                <c:pt idx="0">
                  <c:v>韶关卷烟厂</c:v>
                </c:pt>
              </c:strCache>
            </c:strRef>
          </c:tx>
          <c:spPr>
            <a:ln w="22225" cap="rnd">
              <a:solidFill>
                <a:schemeClr val="accent3"/>
              </a:solidFill>
              <a:round/>
            </a:ln>
            <a:effectLst/>
          </c:spPr>
          <c:marker>
            <c:symbol val="none"/>
          </c:marker>
          <c:dLbls>
            <c:dLbl>
              <c:idx val="0"/>
              <c:layout>
                <c:manualLayout>
                  <c:x val="-0.0558161582507897"/>
                  <c:y val="0.03165150675269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14231786172281"/>
                  <c:y val="0.03155099197649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13574459494955"/>
                  <c:y val="0.02373852358700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30614625265285"/>
                  <c:y val="0.02353791994466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round/>
                    </a:ln>
                    <a:effectLst/>
                  </c:spPr>
                </c15:leaderLines>
              </c:ext>
            </c:extLst>
          </c:dLbls>
          <c:cat>
            <c:numRef>
              <c:f>'[服务台统计报表【2023年9月】.xlsx]6月对比 '!$B$7:$E$7</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'[服务台统计报表【2023年9月】.xlsx]6月对比 '!$B$10:$E$10</c:f>
              <c:numCache>
                <c:formatCode>General</c:formatCode>
                <c:ptCount val="4"/>
                <c:pt idx="0">
                  <c:v>12</c:v>
                </c:pt>
                <c:pt idx="1">
                  <c:v>22</c:v>
                </c:pt>
                <c:pt idx="2">
                  <c:v>1</c:v>
                </c:pt>
                <c:pt idx="3">
                  <c:v>31</c:v>
                </c:pt>
              </c:numCache>
            </c:numRef>
          </c:val>
          <c:smooth val="0"/>
        </c:ser>
        <c:ser>
          <c:idx val="3"/>
          <c:order val="3"/>
          <c:tx>
            <c:strRef>
              <c:f>'[服务台统计报表【2023年9月】.xlsx]6月对比 '!$A$11</c:f>
              <c:strCache>
                <c:ptCount val="1"/>
                <c:pt idx="0">
                  <c:v>梅州卷烟厂</c:v>
                </c:pt>
              </c:strCache>
            </c:strRef>
          </c:tx>
          <c:spPr>
            <a:ln w="22225" cap="rnd">
              <a:solidFill>
                <a:schemeClr val="accent4"/>
              </a:solidFill>
              <a:round/>
            </a:ln>
            <a:effectLst/>
          </c:spPr>
          <c:marker>
            <c:symbol val="none"/>
          </c:marker>
          <c:dLbls>
            <c:dLbl>
              <c:idx val="0"/>
              <c:layout>
                <c:manualLayout>
                  <c:x val="-0.0585850759590721"/>
                  <c:y val="-0.013287968232219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53683493861498"/>
                  <c:y val="-0.0078791233152329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49024306041901"/>
                  <c:y val="-0.01609279898940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89408155237705"/>
                  <c:y val="-0.018696813149206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cap="none" spc="0" normalizeH="0" baseline="0">
                    <a:solidFill>
                      <a:schemeClr val="accent6">
                        <a:lumMod val="50000"/>
                      </a:schemeClr>
                    </a:solidFill>
                    <a:uFill>
                      <a:solidFill>
                        <a:schemeClr val="tx1">
                          <a:lumMod val="75000"/>
                          <a:lumOff val="25000"/>
                        </a:schemeClr>
                      </a:solidFill>
                    </a:u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round/>
                    </a:ln>
                    <a:effectLst/>
                  </c:spPr>
                </c15:leaderLines>
              </c:ext>
            </c:extLst>
          </c:dLbls>
          <c:cat>
            <c:numRef>
              <c:f>'[服务台统计报表【2023年9月】.xlsx]6月对比 '!$B$7:$E$7</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'[服务台统计报表【2023年9月】.xlsx]6月对比 '!$B$11:$E$11</c:f>
              <c:numCache>
                <c:formatCode>General</c:formatCode>
                <c:ptCount val="4"/>
                <c:pt idx="0">
                  <c:v>31</c:v>
                </c:pt>
                <c:pt idx="1">
                  <c:v>37</c:v>
                </c:pt>
                <c:pt idx="2">
                  <c:v>48</c:v>
                </c:pt>
                <c:pt idx="3">
                  <c:v>76</c:v>
                </c:pt>
              </c:numCache>
            </c:numRef>
          </c:val>
          <c:smooth val="0"/>
        </c:ser>
        <c:ser>
          <c:idx val="4"/>
          <c:order val="4"/>
          <c:tx>
            <c:strRef>
              <c:f>'[服务台统计报表【2023年9月】.xlsx]6月对比 '!$A$12</c:f>
              <c:strCache>
                <c:ptCount val="1"/>
                <c:pt idx="0">
                  <c:v>湛江卷烟厂</c:v>
                </c:pt>
              </c:strCache>
            </c:strRef>
          </c:tx>
          <c:spPr>
            <a:ln w="22225" cap="rnd">
              <a:solidFill>
                <a:srgbClr val="3FD19C"/>
              </a:solidFill>
              <a:round/>
            </a:ln>
            <a:effectLst/>
          </c:spPr>
          <c:marker>
            <c:symbol val="none"/>
          </c:marker>
          <c:dLbls>
            <c:dLbl>
              <c:idx val="0"/>
              <c:layout>
                <c:manualLayout>
                  <c:x val="-0.059994610083349"/>
                  <c:y val="-0.036524556803306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79771956881681"/>
                  <c:y val="-0.042937271752132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57127569550314"/>
                  <c:y val="-0.03672537340068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72079345246718"/>
                  <c:y val="-0.01218379637921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cap="none" spc="0" normalizeH="0" baseline="0">
                    <a:solidFill>
                      <a:schemeClr val="accent6">
                        <a:lumMod val="50000"/>
                      </a:schemeClr>
                    </a:solidFill>
                    <a:uFill>
                      <a:solidFill>
                        <a:schemeClr val="tx1">
                          <a:lumMod val="75000"/>
                          <a:lumOff val="25000"/>
                        </a:schemeClr>
                      </a:solidFill>
                    </a:u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round/>
                    </a:ln>
                    <a:effectLst/>
                  </c:spPr>
                </c15:leaderLines>
              </c:ext>
            </c:extLst>
          </c:dLbls>
          <c:cat>
            <c:numRef>
              <c:f>'[服务台统计报表【2023年9月】.xlsx]6月对比 '!$B$7:$E$7</c:f>
              <c:numCache>
                <c:formatCode>yyyy"年"m"月"</c:formatCode>
                <c:ptCount val="4"/>
                <c:pt idx="0" c:formatCode="yyyy&quot;年&quot;m&quot;月&quot;">
                  <c:v>45078</c:v>
                </c:pt>
                <c:pt idx="1" c:formatCode="yyyy&quot;年&quot;m&quot;月&quot;">
                  <c:v>45108</c:v>
                </c:pt>
                <c:pt idx="2" c:formatCode="yyyy&quot;年&quot;m&quot;月&quot;">
                  <c:v>45139</c:v>
                </c:pt>
                <c:pt idx="3" c:formatCode="yyyy&quot;年&quot;m&quot;月&quot;">
                  <c:v>45170</c:v>
                </c:pt>
              </c:numCache>
            </c:numRef>
          </c:cat>
          <c:val>
            <c:numRef>
              <c:f>'[服务台统计报表【2023年9月】.xlsx]6月对比 '!$B$12:$E$12</c:f>
              <c:numCache>
                <c:formatCode>General</c:formatCode>
                <c:ptCount val="4"/>
                <c:pt idx="0">
                  <c:v>111</c:v>
                </c:pt>
                <c:pt idx="1">
                  <c:v>123</c:v>
                </c:pt>
                <c:pt idx="2">
                  <c:v>124</c:v>
                </c:pt>
                <c:pt idx="3">
                  <c:v>138</c:v>
                </c:pt>
              </c:numCache>
            </c:numRef>
          </c:val>
          <c:smooth val="0"/>
        </c:ser>
        <c:dLbls>
          <c:showLegendKey val="0"/>
          <c:showVal val="1"/>
          <c:showCatName val="0"/>
          <c:showSerName val="0"/>
          <c:showPercent val="0"/>
          <c:showBubbleSize val="0"/>
        </c:dLbls>
        <c:marker val="0"/>
        <c:smooth val="0"/>
        <c:axId val="114198016"/>
        <c:axId val="114199552"/>
      </c:lineChart>
      <c:catAx>
        <c:axId val="114198016"/>
        <c:scaling>
          <c:orientation val="minMax"/>
        </c:scaling>
        <c:delete val="0"/>
        <c:axPos val="b"/>
        <c:numFmt formatCode="yyyy&quot;年&quot;mm&quot;月&quot;"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tx1">
                    <a:lumMod val="65000"/>
                    <a:lumOff val="3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crossAx val="114199552"/>
        <c:crosses val="autoZero"/>
        <c:auto val="0"/>
        <c:lblAlgn val="ctr"/>
        <c:lblOffset val="100"/>
        <c:noMultiLvlLbl val="0"/>
      </c:catAx>
      <c:valAx>
        <c:axId val="11419955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114198016"/>
        <c:crosses val="autoZero"/>
        <c:crossBetween val="between"/>
      </c:valAx>
      <c:spPr>
        <a:noFill/>
        <a:ln>
          <a:noFill/>
        </a:ln>
        <a:effectLst/>
      </c:spPr>
    </c:plotArea>
    <c:legend>
      <c:legendPos val="b"/>
      <c:layout>
        <c:manualLayout>
          <c:xMode val="edge"/>
          <c:yMode val="edge"/>
          <c:x val="0.154472748815166"/>
          <c:y val="0.90036617640185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2">
        <a:alphaModFix amt="72000"/>
      </a:blip>
      <a:stretch>
        <a:fillRect/>
      </a:stretch>
    </a:blip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baseline="0">
                <a:solidFill>
                  <a:schemeClr val="tx1">
                    <a:lumMod val="65000"/>
                    <a:lumOff val="35000"/>
                  </a:schemeClr>
                </a:solidFill>
                <a:latin typeface="+mn-lt"/>
                <a:ea typeface="+mn-ea"/>
                <a:cs typeface="+mn-cs"/>
              </a:defRPr>
            </a:pPr>
            <a:r>
              <a:t>服务台运维业务分布</a:t>
            </a:r>
          </a:p>
        </c:rich>
      </c:tx>
      <c:layout>
        <c:manualLayout>
          <c:xMode val="edge"/>
          <c:yMode val="edge"/>
          <c:x val="0.342991259307219"/>
          <c:y val="0.019563090968373"/>
        </c:manualLayout>
      </c:layout>
      <c:overlay val="0"/>
      <c:spPr>
        <a:noFill/>
        <a:ln>
          <a:noFill/>
        </a:ln>
        <a:effectLst/>
      </c:spPr>
    </c:title>
    <c:autoTitleDeleted val="0"/>
    <c:plotArea>
      <c:layout>
        <c:manualLayout>
          <c:layoutTarget val="inner"/>
          <c:xMode val="edge"/>
          <c:yMode val="edge"/>
          <c:x val="0.098629545699795"/>
          <c:y val="0.160443502364259"/>
          <c:w val="0.78148268047912"/>
          <c:h val="0.682700146747106"/>
        </c:manualLayout>
      </c:layout>
      <c:pieChart>
        <c:varyColors val="1"/>
        <c:ser>
          <c:idx val="0"/>
          <c:order val="0"/>
          <c:spPr>
            <a:scene3d>
              <a:camera prst="orthographicFront"/>
              <a:lightRig rig="threePt" dir="t"/>
            </a:scene3d>
            <a:sp3d contourW="9525"/>
          </c:spPr>
          <c:explosion val="0"/>
          <c:dPt>
            <c:idx val="0"/>
            <c:bubble3D val="0"/>
            <c:spPr>
              <a:gradFill rotWithShape="1">
                <a:gsLst>
                  <a:gs pos="0">
                    <a:schemeClr val="accent1">
                      <a:shade val="76667"/>
                      <a:shade val="51000"/>
                      <a:satMod val="130000"/>
                    </a:schemeClr>
                  </a:gs>
                  <a:gs pos="80000">
                    <a:schemeClr val="accent1">
                      <a:shade val="76667"/>
                      <a:shade val="93000"/>
                      <a:satMod val="130000"/>
                    </a:schemeClr>
                  </a:gs>
                  <a:gs pos="100000">
                    <a:schemeClr val="accent1">
                      <a:shade val="76667"/>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76667"/>
                      <a:shade val="51000"/>
                      <a:satMod val="130000"/>
                    </a:schemeClr>
                  </a:gs>
                  <a:gs pos="80000">
                    <a:schemeClr val="accent2">
                      <a:shade val="76667"/>
                      <a:shade val="93000"/>
                      <a:satMod val="130000"/>
                    </a:schemeClr>
                  </a:gs>
                  <a:gs pos="100000">
                    <a:schemeClr val="accent2">
                      <a:shade val="76667"/>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76667"/>
                      <a:shade val="51000"/>
                      <a:satMod val="130000"/>
                    </a:schemeClr>
                  </a:gs>
                  <a:gs pos="80000">
                    <a:schemeClr val="accent3">
                      <a:shade val="76667"/>
                      <a:shade val="93000"/>
                      <a:satMod val="130000"/>
                    </a:schemeClr>
                  </a:gs>
                  <a:gs pos="100000">
                    <a:schemeClr val="accent3">
                      <a:shade val="76667"/>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76667"/>
                      <a:shade val="51000"/>
                      <a:satMod val="130000"/>
                    </a:schemeClr>
                  </a:gs>
                  <a:gs pos="80000">
                    <a:schemeClr val="accent4">
                      <a:shade val="76667"/>
                      <a:shade val="93000"/>
                      <a:satMod val="130000"/>
                    </a:schemeClr>
                  </a:gs>
                  <a:gs pos="100000">
                    <a:schemeClr val="accent4">
                      <a:shade val="76667"/>
                      <a:shade val="94000"/>
                      <a:satMod val="135000"/>
                    </a:schemeClr>
                  </a:gs>
                </a:gsLst>
                <a:lin ang="16200000" scaled="0"/>
              </a:gradFill>
              <a:ln>
                <a:noFill/>
              </a:ln>
              <a:effectLst>
                <a:outerShdw blurRad="40000" dist="23000" dir="5400000" rotWithShape="0">
                  <a:srgbClr val="000000">
                    <a:alpha val="35000"/>
                  </a:srgbClr>
                </a:outerShdw>
              </a:effectLst>
            </c:spPr>
          </c:dPt>
          <c:dPt>
            <c:idx val="4"/>
            <c:bubble3D val="0"/>
            <c:spPr>
              <a:gradFill rotWithShape="1">
                <a:gsLst>
                  <a:gs pos="0">
                    <a:schemeClr val="accent5">
                      <a:shade val="76667"/>
                      <a:shade val="51000"/>
                      <a:satMod val="130000"/>
                    </a:schemeClr>
                  </a:gs>
                  <a:gs pos="80000">
                    <a:schemeClr val="accent5">
                      <a:shade val="76667"/>
                      <a:shade val="93000"/>
                      <a:satMod val="130000"/>
                    </a:schemeClr>
                  </a:gs>
                  <a:gs pos="100000">
                    <a:schemeClr val="accent5">
                      <a:shade val="76667"/>
                      <a:shade val="94000"/>
                      <a:satMod val="135000"/>
                    </a:schemeClr>
                  </a:gs>
                </a:gsLst>
                <a:lin ang="16200000" scaled="0"/>
              </a:gradFill>
              <a:ln>
                <a:noFill/>
              </a:ln>
              <a:effectLst>
                <a:outerShdw blurRad="40000" dist="23000" dir="5400000" rotWithShape="0">
                  <a:srgbClr val="000000">
                    <a:alpha val="35000"/>
                  </a:srgbClr>
                </a:outerShdw>
              </a:effectLst>
            </c:spPr>
          </c:dPt>
          <c:dPt>
            <c:idx val="5"/>
            <c:bubble3D val="0"/>
            <c:spPr>
              <a:gradFill rotWithShape="1">
                <a:gsLst>
                  <a:gs pos="0">
                    <a:schemeClr val="accent6">
                      <a:shade val="76667"/>
                      <a:shade val="51000"/>
                      <a:satMod val="130000"/>
                    </a:schemeClr>
                  </a:gs>
                  <a:gs pos="80000">
                    <a:schemeClr val="accent6">
                      <a:shade val="76667"/>
                      <a:shade val="93000"/>
                      <a:satMod val="130000"/>
                    </a:schemeClr>
                  </a:gs>
                  <a:gs pos="100000">
                    <a:schemeClr val="accent6">
                      <a:shade val="76667"/>
                      <a:shade val="94000"/>
                      <a:satMod val="135000"/>
                    </a:schemeClr>
                  </a:gs>
                </a:gsLst>
                <a:lin ang="16200000" scaled="0"/>
              </a:gradFill>
              <a:ln>
                <a:noFill/>
              </a:ln>
              <a:effectLst>
                <a:outerShdw blurRad="40000" dist="23000" dir="5400000" rotWithShape="0">
                  <a:srgbClr val="000000">
                    <a:alpha val="35000"/>
                  </a:srgbClr>
                </a:outerShdw>
              </a:effectLst>
            </c:spPr>
          </c:dPt>
          <c:dPt>
            <c:idx val="6"/>
            <c:bubble3D val="0"/>
            <c:spPr>
              <a:gradFill rotWithShape="1">
                <a:gsLst>
                  <a:gs pos="0">
                    <a:schemeClr val="accent1">
                      <a:tint val="76667"/>
                      <a:shade val="51000"/>
                      <a:satMod val="130000"/>
                    </a:schemeClr>
                  </a:gs>
                  <a:gs pos="80000">
                    <a:schemeClr val="accent1">
                      <a:tint val="76667"/>
                      <a:shade val="93000"/>
                      <a:satMod val="130000"/>
                    </a:schemeClr>
                  </a:gs>
                  <a:gs pos="100000">
                    <a:schemeClr val="accent1">
                      <a:tint val="76667"/>
                      <a:shade val="94000"/>
                      <a:satMod val="135000"/>
                    </a:schemeClr>
                  </a:gs>
                </a:gsLst>
                <a:lin ang="16200000" scaled="0"/>
              </a:gradFill>
              <a:ln>
                <a:noFill/>
              </a:ln>
              <a:effectLst>
                <a:outerShdw blurRad="40000" dist="23000" dir="5400000" rotWithShape="0">
                  <a:srgbClr val="000000">
                    <a:alpha val="35000"/>
                  </a:srgbClr>
                </a:outerShdw>
              </a:effectLst>
            </c:spPr>
          </c:dPt>
          <c:dPt>
            <c:idx val="7"/>
            <c:bubble3D val="0"/>
            <c:spPr>
              <a:gradFill rotWithShape="1">
                <a:gsLst>
                  <a:gs pos="0">
                    <a:schemeClr val="accent2">
                      <a:tint val="76667"/>
                      <a:shade val="51000"/>
                      <a:satMod val="130000"/>
                    </a:schemeClr>
                  </a:gs>
                  <a:gs pos="80000">
                    <a:schemeClr val="accent2">
                      <a:tint val="76667"/>
                      <a:shade val="93000"/>
                      <a:satMod val="130000"/>
                    </a:schemeClr>
                  </a:gs>
                  <a:gs pos="100000">
                    <a:schemeClr val="accent2">
                      <a:tint val="76667"/>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0853821449661366"/>
                  <c:y val="-0.300311982584759"/>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877745881341419"/>
                  <c:y val="0.111201695744334"/>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00800415182471272"/>
                  <c:y val="-0.024269821085307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00926019385757971"/>
                  <c:y val="-0.0425448702125129"/>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00532087646456159"/>
                  <c:y val="-0.0153019423962485"/>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0119296972093204"/>
                  <c:y val="-0.0926622875031998"/>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0488186150568228"/>
                  <c:y val="-0.065483180733697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0427322758174166"/>
                  <c:y val="0.0044024131746290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'[服务台统计报表【2023年9月】.xlsx]6月基础数据'!$B$27:$B$34</c:f>
              <c:strCache>
                <c:ptCount val="8"/>
                <c:pt idx="0">
                  <c:v>末端服务和技术服务</c:v>
                </c:pt>
                <c:pt idx="1">
                  <c:v>办公协同服务</c:v>
                </c:pt>
                <c:pt idx="2">
                  <c:v>综合项目管理平台</c:v>
                </c:pt>
                <c:pt idx="3">
                  <c:v>一号工程</c:v>
                </c:pt>
                <c:pt idx="4">
                  <c:v>ERP服务</c:v>
                </c:pt>
                <c:pt idx="5">
                  <c:v>资产管理系统</c:v>
                </c:pt>
                <c:pt idx="6">
                  <c:v>MES服务</c:v>
                </c:pt>
                <c:pt idx="7">
                  <c:v>主数据管理平台</c:v>
                </c:pt>
              </c:strCache>
            </c:strRef>
          </c:cat>
          <c:val>
            <c:numRef>
              <c:f>'[服务台统计报表【2023年9月】.xlsx]6月基础数据'!$C$27:$C$34</c:f>
              <c:numCache>
                <c:formatCode>General</c:formatCode>
                <c:ptCount val="8"/>
                <c:pt idx="0">
                  <c:v>1017</c:v>
                </c:pt>
                <c:pt idx="1">
                  <c:v>801</c:v>
                </c:pt>
                <c:pt idx="2">
                  <c:v>264</c:v>
                </c:pt>
                <c:pt idx="3">
                  <c:v>155</c:v>
                </c:pt>
                <c:pt idx="4">
                  <c:v>107</c:v>
                </c:pt>
                <c:pt idx="5">
                  <c:v>32</c:v>
                </c:pt>
                <c:pt idx="6">
                  <c:v>25</c:v>
                </c:pt>
                <c:pt idx="7">
                  <c:v>29</c:v>
                </c:pt>
              </c:numCache>
            </c:numRef>
          </c:val>
        </c:ser>
        <c:dLbls>
          <c:showLegendKey val="0"/>
          <c:showVal val="1"/>
          <c:showCatName val="0"/>
          <c:showSerName val="0"/>
          <c:showPercent val="0"/>
          <c:showBubbleSize val="0"/>
          <c:showLeaderLines val="1"/>
        </c:dLbls>
        <c:firstSliceAng val="114"/>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2">
        <a:alphaModFix amt="63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latin typeface="微软雅黑" panose="020B0503020204020204" charset="-122"/>
                <a:ea typeface="微软雅黑" panose="020B0503020204020204" charset="-122"/>
              </a:rPr>
              <a:t>服务台受理情况</a:t>
            </a:r>
            <a:endParaRPr b="1">
              <a:latin typeface="微软雅黑" panose="020B0503020204020204" charset="-122"/>
              <a:ea typeface="微软雅黑" panose="020B0503020204020204" charset="-122"/>
            </a:endParaRPr>
          </a:p>
        </c:rich>
      </c:tx>
      <c:layout/>
      <c:overlay val="0"/>
      <c:spPr>
        <a:noFill/>
        <a:ln>
          <a:noFill/>
        </a:ln>
        <a:effectLst/>
      </c:spPr>
    </c:title>
    <c:autoTitleDeleted val="0"/>
    <c:plotArea>
      <c:layout>
        <c:manualLayout>
          <c:layoutTarget val="inner"/>
          <c:xMode val="edge"/>
          <c:yMode val="edge"/>
          <c:x val="0.261608300907912"/>
          <c:y val="0.226550033216432"/>
          <c:w val="0.391309987029831"/>
          <c:h val="0.605944968869251"/>
        </c:manualLayout>
      </c:layout>
      <c:doughnutChart>
        <c:varyColors val="1"/>
        <c:ser>
          <c:idx val="0"/>
          <c:order val="0"/>
          <c:tx>
            <c:strRef>
              <c:f>'[服务台统计报表【2023年9月】.xlsx]6月对比 '!$B$26</c:f>
              <c:strCache>
                <c:ptCount val="1"/>
                <c:pt idx="0">
                  <c:v>本部及各区总事件工单数</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26775665968273"/>
                  <c:y val="-0.147620004016871"/>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78778808739898"/>
                  <c:y val="-0.00301265314320145"/>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4644567494762"/>
                  <c:y val="-0.0602530628640289"/>
                </c:manualLayout>
              </c:layou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22964681233164"/>
                  <c:y val="-0.132556738300864"/>
                </c:manualLayout>
              </c:layou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14447770128704"/>
                  <c:y val="-0.0994175537256477"/>
                </c:manualLayout>
              </c:layou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'[服务台统计报表【2023年9月】.xlsx]6月对比 '!$A$27:$A$31</c:f>
              <c:strCache>
                <c:ptCount val="5"/>
                <c:pt idx="0">
                  <c:v>公司本部</c:v>
                </c:pt>
                <c:pt idx="1">
                  <c:v>广州卷烟厂</c:v>
                </c:pt>
                <c:pt idx="2">
                  <c:v>韶关卷烟厂</c:v>
                </c:pt>
                <c:pt idx="3">
                  <c:v>梅州卷烟厂</c:v>
                </c:pt>
                <c:pt idx="4">
                  <c:v>湛江卷烟厂</c:v>
                </c:pt>
              </c:strCache>
            </c:strRef>
          </c:cat>
          <c:val>
            <c:numRef>
              <c:f>'[服务台统计报表【2023年9月】.xlsx]6月对比 '!$B$27:$B$31</c:f>
              <c:numCache>
                <c:formatCode>General</c:formatCode>
                <c:ptCount val="5"/>
                <c:pt idx="0">
                  <c:v>1812</c:v>
                </c:pt>
                <c:pt idx="1">
                  <c:v>406</c:v>
                </c:pt>
                <c:pt idx="2">
                  <c:v>31</c:v>
                </c:pt>
                <c:pt idx="3">
                  <c:v>76</c:v>
                </c:pt>
                <c:pt idx="4">
                  <c:v>138</c:v>
                </c:pt>
              </c:numCache>
            </c:numRef>
          </c:val>
        </c:ser>
        <c:dLbls>
          <c:showLegendKey val="0"/>
          <c:showVal val="1"/>
          <c:showCatName val="1"/>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blipFill rotWithShape="1">
      <a:blip xmlns:r="http://schemas.openxmlformats.org/officeDocument/2006/relationships" r:embed="rId2">
        <a:alphaModFix amt="72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sz="1600" b="1">
                <a:solidFill>
                  <a:schemeClr val="tx1">
                    <a:lumMod val="65000"/>
                    <a:lumOff val="35000"/>
                  </a:schemeClr>
                </a:solidFill>
                <a:latin typeface="微软雅黑" panose="020B0503020204020204" charset="-122"/>
                <a:ea typeface="微软雅黑" panose="020B0503020204020204" charset="-122"/>
              </a:rPr>
              <a:t>末端技术服务</a:t>
            </a:r>
            <a:endParaRPr altLang="en-US" sz="1600" b="1">
              <a:solidFill>
                <a:schemeClr val="tx1">
                  <a:lumMod val="65000"/>
                  <a:lumOff val="35000"/>
                </a:schemeClr>
              </a:solidFill>
              <a:latin typeface="微软雅黑" panose="020B0503020204020204" charset="-122"/>
              <a:ea typeface="微软雅黑" panose="020B0503020204020204" charset="-122"/>
            </a:endParaRPr>
          </a:p>
        </c:rich>
      </c:tx>
      <c:layout>
        <c:manualLayout>
          <c:xMode val="edge"/>
          <c:yMode val="edge"/>
          <c:x val="0.374540682414698"/>
          <c:y val="0.0196850393700787"/>
        </c:manualLayout>
      </c:layout>
      <c:overlay val="0"/>
      <c:spPr>
        <a:noFill/>
        <a:ln w="28575" cmpd="dbl">
          <a:noFill/>
          <a:prstDash val="solid"/>
        </a:ln>
        <a:effectLst/>
      </c:spPr>
    </c:title>
    <c:autoTitleDeleted val="0"/>
    <c:plotArea>
      <c:layout>
        <c:manualLayout>
          <c:layoutTarget val="inner"/>
          <c:xMode val="edge"/>
          <c:yMode val="edge"/>
          <c:x val="0.313694444444444"/>
          <c:y val="0.284861111111111"/>
          <c:w val="0.343444444444444"/>
          <c:h val="0.572407407407407"/>
        </c:manualLayout>
      </c:layout>
      <c:pieChart>
        <c:varyColors val="1"/>
        <c:ser>
          <c:idx val="0"/>
          <c:order val="0"/>
          <c:tx>
            <c:strRef>
              <c:f>'[服务台统计报表【2023年9月】.xlsx]6月业务统计'!$C$2</c:f>
              <c:strCache>
                <c:ptCount val="1"/>
                <c:pt idx="0">
                  <c:v>末端服务和技术服务</c:v>
                </c:pt>
              </c:strCache>
            </c:strRef>
          </c:tx>
          <c:spPr/>
          <c:explosion val="0"/>
          <c:dPt>
            <c:idx val="0"/>
            <c:bubble3D val="0"/>
            <c:explosion val="1"/>
            <c:spPr>
              <a:solidFill>
                <a:schemeClr val="accent5">
                  <a:lumMod val="75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tx1">
                  <a:lumMod val="65000"/>
                  <a:lumOff val="35000"/>
                </a:schemeClr>
              </a:solidFill>
              <a:ln w="19050">
                <a:solidFill>
                  <a:schemeClr val="lt1"/>
                </a:solidFill>
              </a:ln>
              <a:effectLst/>
            </c:spPr>
          </c:dPt>
          <c:dLbls>
            <c:dLbl>
              <c:idx val="0"/>
              <c:layout>
                <c:manualLayout>
                  <c:x val="-0.00600393700787408"/>
                  <c:y val="-0.2320920822397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0582751477916414"/>
                  <c:y val="-0.086822505750436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824146981627"/>
                      <c:h val="0.0951443569553806"/>
                    </c:manualLayout>
                  </c15:layout>
                </c:ext>
              </c:extLst>
            </c:dLbl>
            <c:dLbl>
              <c:idx val="2"/>
              <c:layout>
                <c:manualLayout>
                  <c:x val="0.00235028807829178"/>
                  <c:y val="-0.078796276877009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299212598425"/>
                      <c:h val="0.083989501312336"/>
                    </c:manualLayout>
                  </c15:layout>
                </c:ext>
              </c:extLst>
            </c:dLbl>
            <c:dLbl>
              <c:idx val="3"/>
              <c:layout>
                <c:manualLayout>
                  <c:x val="0.0726302588091619"/>
                  <c:y val="-0.0144035048173488"/>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8241469816273"/>
                      <c:h val="0.122265966754156"/>
                    </c:manualLayout>
                  </c15:layout>
                </c:ext>
              </c:extLst>
            </c:dLbl>
            <c:dLbl>
              <c:idx val="4"/>
              <c:layout>
                <c:manualLayout>
                  <c:x val="0.0685092729969136"/>
                  <c:y val="0.030497018837897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71259842519685"/>
                      <c:h val="0.0809273840769904"/>
                    </c:manualLayout>
                  </c15:layout>
                </c:ext>
              </c:extLst>
            </c:dLbl>
            <c:spPr>
              <a:noFill/>
              <a:ln>
                <a:noFill/>
              </a:ln>
              <a:effectLst/>
            </c:spPr>
            <c:txPr>
              <a:bodyPr rot="0" spcFirstLastPara="0" vertOverflow="ellipsis" vert="horz" wrap="square" lIns="36195" tIns="19050" rIns="38100" bIns="19050" anchor="ctr" anchorCtr="1">
                <a:spAutoFit/>
              </a:bodyPr>
              <a:lstStyle/>
              <a:p>
                <a:pPr>
                  <a:defRPr lang="zh-CN" sz="900" b="0" i="0" u="none" strike="noStrike" kern="1200" cap="none" spc="0" normalizeH="0" baseline="0">
                    <a:solidFill>
                      <a:schemeClr val="tx1">
                        <a:lumMod val="85000"/>
                        <a:lumOff val="15000"/>
                      </a:schemeClr>
                    </a:solidFill>
                    <a:uFill>
                      <a:solidFill>
                        <a:schemeClr val="tx1">
                          <a:lumMod val="75000"/>
                          <a:lumOff val="25000"/>
                        </a:schemeClr>
                      </a:solidFill>
                    </a:uFill>
                    <a:latin typeface="微软雅黑" panose="020B0503020204020204" charset="-122"/>
                    <a:ea typeface="微软雅黑" panose="020B0503020204020204" charset="-122"/>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'[服务台统计报表【2023年9月】.xlsx]6月业务统计'!$B$3:$B$7</c:f>
              <c:strCache>
                <c:ptCount val="5"/>
                <c:pt idx="0">
                  <c:v>公司本部</c:v>
                </c:pt>
                <c:pt idx="1">
                  <c:v>广州卷烟厂</c:v>
                </c:pt>
                <c:pt idx="2">
                  <c:v>韶关卷烟厂</c:v>
                </c:pt>
                <c:pt idx="3">
                  <c:v>梅州卷烟厂</c:v>
                </c:pt>
                <c:pt idx="4">
                  <c:v>湛江卷烟厂</c:v>
                </c:pt>
              </c:strCache>
            </c:strRef>
          </c:cat>
          <c:val>
            <c:numRef>
              <c:f>'[服务台统计报表【2023年9月】.xlsx]6月业务统计'!$C$3:$C$7</c:f>
              <c:numCache>
                <c:formatCode>General</c:formatCode>
                <c:ptCount val="5"/>
                <c:pt idx="0">
                  <c:v>652</c:v>
                </c:pt>
                <c:pt idx="1">
                  <c:v>260</c:v>
                </c:pt>
                <c:pt idx="2">
                  <c:v>0</c:v>
                </c:pt>
                <c:pt idx="3">
                  <c:v>2</c:v>
                </c:pt>
                <c:pt idx="4">
                  <c:v>103</c:v>
                </c:pt>
              </c:numCache>
            </c:numRef>
          </c:val>
        </c:ser>
        <c:dLbls>
          <c:showLegendKey val="0"/>
          <c:showVal val="1"/>
          <c:showCatName val="1"/>
          <c:showSerName val="0"/>
          <c:showPercent val="1"/>
          <c:showBubbleSize val="0"/>
          <c:showLeaderLines val="1"/>
        </c:dLbls>
        <c:firstSliceAng val="9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3"/>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4"/>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
    <c:plotVisOnly val="1"/>
    <c:dispBlanksAs val="gap"/>
    <c:showDLblsOverMax val="0"/>
  </c:chart>
  <c:spPr>
    <a:blipFill rotWithShape="1">
      <a:blip xmlns:r="http://schemas.openxmlformats.org/officeDocument/2006/relationships" r:embed="rId2">
        <a:alphaModFix amt="60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cap="none" baseline="0">
                <a:solidFill>
                  <a:schemeClr val="lt1">
                    <a:lumMod val="8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a:latin typeface="微软雅黑" panose="020B0503020204020204" charset="-122"/>
                <a:ea typeface="微软雅黑" panose="020B0503020204020204" charset="-122"/>
                <a:cs typeface="微软雅黑" panose="020B0503020204020204" charset="-122"/>
                <a:sym typeface="微软雅黑" panose="020B0503020204020204" charset="-122"/>
              </a:rPr>
              <a:t>末端服务和技术服务问题分类</a:t>
            </a:r>
            <a:endParaRPr>
              <a:latin typeface="微软雅黑" panose="020B0503020204020204" charset="-122"/>
              <a:ea typeface="微软雅黑" panose="020B0503020204020204" charset="-122"/>
              <a:cs typeface="微软雅黑" panose="020B0503020204020204" charset="-122"/>
              <a:sym typeface="微软雅黑" panose="020B0503020204020204" charset="-122"/>
            </a:endParaRPr>
          </a:p>
        </c:rich>
      </c:tx>
      <c:layout/>
      <c:overlay val="0"/>
      <c:spPr>
        <a:noFill/>
        <a:ln>
          <a:noFill/>
        </a:ln>
        <a:effectLst/>
      </c:spPr>
    </c:title>
    <c:autoTitleDeleted val="0"/>
    <c:plotArea>
      <c:layout>
        <c:manualLayout>
          <c:layoutTarget val="inner"/>
          <c:xMode val="edge"/>
          <c:yMode val="edge"/>
          <c:x val="0.349768615902398"/>
          <c:y val="0.222117488638276"/>
          <c:w val="0.632719814892722"/>
          <c:h val="0.680929136509005"/>
        </c:manualLayout>
      </c:layout>
      <c:barChart>
        <c:barDir val="bar"/>
        <c:grouping val="clustered"/>
        <c:varyColors val="0"/>
        <c:ser>
          <c:idx val="0"/>
          <c:order val="0"/>
          <c:tx>
            <c:strRef>
              <c:f>'[服务台统计报表【2023年9月】.xlsx]6月业务统计'!$C$35</c:f>
              <c:strCache>
                <c:ptCount val="1"/>
                <c:pt idx="0">
                  <c:v>末端技术服务问题分类</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lumMod val="7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a:solidFill>
                        <a:schemeClr val="lt1">
                          <a:lumMod val="50000"/>
                        </a:schemeClr>
                      </a:solidFill>
                      <a:round/>
                    </a:ln>
                    <a:effectLst/>
                  </c:spPr>
                </c15:leaderLines>
              </c:ext>
            </c:extLst>
          </c:dLbls>
          <c:cat>
            <c:strRef>
              <c:f>'[服务台统计报表【2023年9月】.xlsx]6月业务统计'!$B$36:$B$49</c:f>
              <c:strCache>
                <c:ptCount val="14"/>
                <c:pt idx="0">
                  <c:v>打印机/复印机搬迁安装等办公设备使用问题</c:v>
                </c:pt>
                <c:pt idx="1">
                  <c:v>打印机更换耗材/配件/碳粉等</c:v>
                </c:pt>
                <c:pt idx="2">
                  <c:v>无法上网/网络搬迁</c:v>
                </c:pt>
                <c:pt idx="3">
                  <c:v>电脑、显示器故障、安装/搬迁/回收/调试电脑系统等</c:v>
                </c:pt>
                <c:pt idx="4">
                  <c:v>办公软件/插件安装和使用</c:v>
                </c:pt>
                <c:pt idx="5">
                  <c:v>Ukey、权限及账号密码问题</c:v>
                </c:pt>
                <c:pt idx="6">
                  <c:v>VPN调试/无法通过VPN登陆协同、ERP等办公软件</c:v>
                </c:pt>
                <c:pt idx="7">
                  <c:v>办公软件等的使用培训、咨询、协助</c:v>
                </c:pt>
                <c:pt idx="8">
                  <c:v>上传系统文件数据维护、修改</c:v>
                </c:pt>
                <c:pt idx="9">
                  <c:v>软件、系统调试/故障</c:v>
                </c:pt>
                <c:pt idx="10">
                  <c:v>会议协助及水牌制作</c:v>
                </c:pt>
                <c:pt idx="11">
                  <c:v>数据库/服务器巡检</c:v>
                </c:pt>
                <c:pt idx="12">
                  <c:v>座机故障/新增/搬迁/换号等</c:v>
                </c:pt>
                <c:pt idx="13">
                  <c:v>服务器/数据库故障/空间不足等</c:v>
                </c:pt>
              </c:strCache>
            </c:strRef>
          </c:cat>
          <c:val>
            <c:numRef>
              <c:f>'[服务台统计报表【2023年9月】.xlsx]6月业务统计'!$C$36:$C$49</c:f>
              <c:numCache>
                <c:formatCode>General</c:formatCode>
                <c:ptCount val="14"/>
                <c:pt idx="0">
                  <c:v>103</c:v>
                </c:pt>
                <c:pt idx="1">
                  <c:v>21</c:v>
                </c:pt>
                <c:pt idx="2">
                  <c:v>52</c:v>
                </c:pt>
                <c:pt idx="3">
                  <c:v>127</c:v>
                </c:pt>
                <c:pt idx="4">
                  <c:v>50</c:v>
                </c:pt>
                <c:pt idx="5">
                  <c:v>145</c:v>
                </c:pt>
                <c:pt idx="6">
                  <c:v>15</c:v>
                </c:pt>
                <c:pt idx="7">
                  <c:v>453</c:v>
                </c:pt>
                <c:pt idx="8">
                  <c:v>580</c:v>
                </c:pt>
                <c:pt idx="9">
                  <c:v>186</c:v>
                </c:pt>
                <c:pt idx="10">
                  <c:v>226</c:v>
                </c:pt>
                <c:pt idx="11">
                  <c:v>25</c:v>
                </c:pt>
                <c:pt idx="12">
                  <c:v>10</c:v>
                </c:pt>
                <c:pt idx="13">
                  <c:v>4</c:v>
                </c:pt>
              </c:numCache>
            </c:numRef>
          </c:val>
        </c:ser>
        <c:dLbls>
          <c:showLegendKey val="0"/>
          <c:showVal val="1"/>
          <c:showCatName val="0"/>
          <c:showSerName val="0"/>
          <c:showPercent val="0"/>
          <c:showBubbleSize val="0"/>
        </c:dLbls>
        <c:gapWidth val="182"/>
        <c:overlap val="-50"/>
        <c:axId val="388942500"/>
        <c:axId val="191729153"/>
      </c:barChart>
      <c:catAx>
        <c:axId val="388942500"/>
        <c:scaling>
          <c:orientation val="maxMin"/>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lt1">
                    <a:lumMod val="75000"/>
                  </a:schemeClr>
                </a:solidFill>
                <a:latin typeface="+mn-lt"/>
                <a:ea typeface="+mn-ea"/>
                <a:cs typeface="+mn-cs"/>
              </a:defRPr>
            </a:pPr>
          </a:p>
        </c:txPr>
        <c:crossAx val="191729153"/>
        <c:crosses val="autoZero"/>
        <c:auto val="1"/>
        <c:lblAlgn val="ctr"/>
        <c:lblOffset val="100"/>
        <c:noMultiLvlLbl val="0"/>
      </c:catAx>
      <c:valAx>
        <c:axId val="191729153"/>
        <c:scaling>
          <c:orientation val="minMax"/>
        </c:scaling>
        <c:delete val="0"/>
        <c:axPos val="t"/>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lt1">
                    <a:lumMod val="75000"/>
                  </a:schemeClr>
                </a:solidFill>
                <a:latin typeface="+mn-lt"/>
                <a:ea typeface="+mn-ea"/>
                <a:cs typeface="+mn-cs"/>
              </a:defRPr>
            </a:pPr>
          </a:p>
        </c:txPr>
        <c:crossAx val="388942500"/>
        <c:crosses val="autoZero"/>
        <c:crossBetween val="between"/>
      </c:valAx>
      <c:spPr>
        <a:noFill/>
        <a:ln>
          <a:noFill/>
        </a:ln>
        <a:effectLst/>
      </c:spPr>
    </c:plotArea>
    <c:plotVisOnly val="1"/>
    <c:dispBlanksAs val="gap"/>
    <c:showDLblsOverMax val="0"/>
  </c:chart>
  <c:spPr>
    <a:gradFill>
      <a:gsLst>
        <a:gs pos="0">
          <a:schemeClr val="tx1">
            <a:lumMod val="95000"/>
            <a:lumOff val="5000"/>
          </a:schemeClr>
        </a:gs>
        <a:gs pos="75000">
          <a:schemeClr val="tx1">
            <a:lumMod val="85000"/>
            <a:lumOff val="15000"/>
          </a:schemeClr>
        </a:gs>
        <a:gs pos="35000">
          <a:schemeClr val="tx2">
            <a:lumMod val="75000"/>
          </a:schemeClr>
        </a:gs>
        <a:gs pos="100000">
          <a:schemeClr val="tx1">
            <a:lumMod val="65000"/>
            <a:lumOff val="35000"/>
          </a:schemeClr>
        </a:gs>
        <a:gs pos="100000">
          <a:schemeClr val="accent1"/>
        </a:gs>
      </a:gsLst>
      <a:path path="shape">
        <a:fillToRect l="50000" t="50000" r="50000" b="50000"/>
      </a:path>
      <a:tileRect/>
    </a:gra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sz="1600" b="1">
                <a:solidFill>
                  <a:schemeClr val="tx1">
                    <a:lumMod val="65000"/>
                    <a:lumOff val="35000"/>
                  </a:schemeClr>
                </a:solidFill>
                <a:latin typeface="微软雅黑" panose="020B0503020204020204" charset="-122"/>
                <a:ea typeface="微软雅黑" panose="020B0503020204020204" charset="-122"/>
              </a:rPr>
              <a:t>办公协同服务</a:t>
            </a:r>
            <a:endParaRPr altLang="en-US" sz="1600" b="1">
              <a:solidFill>
                <a:schemeClr val="tx1">
                  <a:lumMod val="65000"/>
                  <a:lumOff val="35000"/>
                </a:schemeClr>
              </a:solidFill>
              <a:latin typeface="微软雅黑" panose="020B0503020204020204" charset="-122"/>
              <a:ea typeface="微软雅黑" panose="020B0503020204020204" charset="-122"/>
            </a:endParaRPr>
          </a:p>
        </c:rich>
      </c:tx>
      <c:layout>
        <c:manualLayout>
          <c:xMode val="edge"/>
          <c:yMode val="edge"/>
          <c:x val="0.374540682414698"/>
          <c:y val="0.0196850393700787"/>
        </c:manualLayout>
      </c:layout>
      <c:overlay val="0"/>
      <c:spPr>
        <a:noFill/>
        <a:ln w="28575" cmpd="dbl">
          <a:noFill/>
          <a:prstDash val="solid"/>
        </a:ln>
        <a:effectLst/>
      </c:spPr>
    </c:title>
    <c:autoTitleDeleted val="0"/>
    <c:plotArea>
      <c:layout>
        <c:manualLayout>
          <c:layoutTarget val="inner"/>
          <c:xMode val="edge"/>
          <c:yMode val="edge"/>
          <c:x val="0.313694444444444"/>
          <c:y val="0.284861111111111"/>
          <c:w val="0.343444444444444"/>
          <c:h val="0.572407407407407"/>
        </c:manualLayout>
      </c:layout>
      <c:pieChart>
        <c:varyColors val="1"/>
        <c:ser>
          <c:idx val="0"/>
          <c:order val="0"/>
          <c:tx>
            <c:strRef>
              <c:f>'[服务台统计报表【2023年9月】.xlsx]6月业务统计'!$D$2</c:f>
              <c:strCache>
                <c:ptCount val="1"/>
                <c:pt idx="0">
                  <c:v>办公协同服务</c:v>
                </c:pt>
              </c:strCache>
            </c:strRef>
          </c:tx>
          <c:spPr/>
          <c:explosion val="0"/>
          <c:dPt>
            <c:idx val="0"/>
            <c:bubble3D val="0"/>
            <c:explosion val="1"/>
            <c:spPr>
              <a:solidFill>
                <a:schemeClr val="accent5">
                  <a:lumMod val="75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tx1">
                  <a:lumMod val="65000"/>
                  <a:lumOff val="35000"/>
                </a:schemeClr>
              </a:solidFill>
              <a:ln w="19050">
                <a:solidFill>
                  <a:schemeClr val="lt1"/>
                </a:solidFill>
              </a:ln>
              <a:effectLst/>
            </c:spPr>
          </c:dPt>
          <c:dLbls>
            <c:dLbl>
              <c:idx val="0"/>
              <c:layout>
                <c:manualLayout>
                  <c:x val="-0.00600393700787408"/>
                  <c:y val="-0.2320920822397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0582751477916414"/>
                  <c:y val="-0.086822505750436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824146981627"/>
                      <c:h val="0.0951443569553806"/>
                    </c:manualLayout>
                  </c15:layout>
                </c:ext>
              </c:extLst>
            </c:dLbl>
            <c:dLbl>
              <c:idx val="2"/>
              <c:layout>
                <c:manualLayout>
                  <c:x val="0.00235028807829178"/>
                  <c:y val="-0.078796276877009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299212598425"/>
                      <c:h val="0.083989501312336"/>
                    </c:manualLayout>
                  </c15:layout>
                </c:ext>
              </c:extLst>
            </c:dLbl>
            <c:dLbl>
              <c:idx val="3"/>
              <c:layout>
                <c:manualLayout>
                  <c:x val="0.0726302588091619"/>
                  <c:y val="-0.0144035048173488"/>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8241469816273"/>
                      <c:h val="0.122265966754156"/>
                    </c:manualLayout>
                  </c15:layout>
                </c:ext>
              </c:extLst>
            </c:dLbl>
            <c:dLbl>
              <c:idx val="4"/>
              <c:layout>
                <c:manualLayout>
                  <c:x val="0.0685092729969136"/>
                  <c:y val="0.030497018837897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5144356955381"/>
                      <c:h val="0.0765529308836395"/>
                    </c:manualLayout>
                  </c15:layout>
                </c:ext>
              </c:extLst>
            </c:dLbl>
            <c:spPr>
              <a:noFill/>
              <a:ln>
                <a:noFill/>
              </a:ln>
              <a:effectLst/>
            </c:spPr>
            <c:txPr>
              <a:bodyPr rot="0" spcFirstLastPara="0" vertOverflow="ellipsis" vert="horz" wrap="square" lIns="36195" tIns="19050" rIns="38100" bIns="19050" anchor="ctr" anchorCtr="1">
                <a:spAutoFit/>
              </a:bodyPr>
              <a:lstStyle/>
              <a:p>
                <a:pPr>
                  <a:defRPr lang="zh-CN" sz="900" b="0" i="0" u="none" strike="noStrike" kern="1200" cap="none" spc="0" normalizeH="0" baseline="0">
                    <a:solidFill>
                      <a:schemeClr val="tx1">
                        <a:lumMod val="85000"/>
                        <a:lumOff val="15000"/>
                      </a:schemeClr>
                    </a:solidFill>
                    <a:uFill>
                      <a:solidFill>
                        <a:schemeClr val="tx1">
                          <a:lumMod val="75000"/>
                          <a:lumOff val="25000"/>
                        </a:schemeClr>
                      </a:solidFill>
                    </a:uFill>
                    <a:latin typeface="微软雅黑" panose="020B0503020204020204" charset="-122"/>
                    <a:ea typeface="微软雅黑" panose="020B0503020204020204" charset="-122"/>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'[服务台统计报表【2023年9月】.xlsx]6月业务统计'!$B$3:$B$7</c:f>
              <c:strCache>
                <c:ptCount val="5"/>
                <c:pt idx="0">
                  <c:v>公司本部</c:v>
                </c:pt>
                <c:pt idx="1">
                  <c:v>广州卷烟厂</c:v>
                </c:pt>
                <c:pt idx="2">
                  <c:v>韶关卷烟厂</c:v>
                </c:pt>
                <c:pt idx="3">
                  <c:v>梅州卷烟厂</c:v>
                </c:pt>
                <c:pt idx="4">
                  <c:v>湛江卷烟厂</c:v>
                </c:pt>
              </c:strCache>
            </c:strRef>
          </c:cat>
          <c:val>
            <c:numRef>
              <c:f>'[服务台统计报表【2023年9月】.xlsx]6月业务统计'!$D$3:$D$7</c:f>
              <c:numCache>
                <c:formatCode>General</c:formatCode>
                <c:ptCount val="5"/>
                <c:pt idx="0">
                  <c:v>699</c:v>
                </c:pt>
                <c:pt idx="1">
                  <c:v>74</c:v>
                </c:pt>
                <c:pt idx="2">
                  <c:v>0</c:v>
                </c:pt>
                <c:pt idx="3">
                  <c:v>28</c:v>
                </c:pt>
                <c:pt idx="4">
                  <c:v>0</c:v>
                </c:pt>
              </c:numCache>
            </c:numRef>
          </c:val>
        </c:ser>
        <c:dLbls>
          <c:showLegendKey val="0"/>
          <c:showVal val="1"/>
          <c:showCatName val="1"/>
          <c:showSerName val="0"/>
          <c:showPercent val="1"/>
          <c:showBubbleSize val="0"/>
          <c:showLeaderLines val="1"/>
        </c:dLbls>
        <c:firstSliceAng val="9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3"/>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4"/>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
    <c:plotVisOnly val="1"/>
    <c:dispBlanksAs val="gap"/>
    <c:showDLblsOverMax val="0"/>
  </c:chart>
  <c:spPr>
    <a:blipFill rotWithShape="1">
      <a:blip xmlns:r="http://schemas.openxmlformats.org/officeDocument/2006/relationships" r:embed="rId2">
        <a:alphaModFix amt="60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en-US" sz="1600" b="1">
                <a:solidFill>
                  <a:schemeClr val="tx1">
                    <a:lumMod val="65000"/>
                    <a:lumOff val="35000"/>
                  </a:schemeClr>
                </a:solidFill>
                <a:latin typeface="微软雅黑" panose="020B0503020204020204" charset="-122"/>
                <a:ea typeface="微软雅黑" panose="020B0503020204020204" charset="-122"/>
              </a:rPr>
              <a:t>综合项目管理平台</a:t>
            </a:r>
            <a:endParaRPr altLang="en-US" sz="1600" b="1">
              <a:solidFill>
                <a:schemeClr val="tx1">
                  <a:lumMod val="65000"/>
                  <a:lumOff val="35000"/>
                </a:schemeClr>
              </a:solidFill>
              <a:latin typeface="微软雅黑" panose="020B0503020204020204" charset="-122"/>
              <a:ea typeface="微软雅黑" panose="020B0503020204020204" charset="-122"/>
            </a:endParaRPr>
          </a:p>
        </c:rich>
      </c:tx>
      <c:layout>
        <c:manualLayout>
          <c:xMode val="edge"/>
          <c:yMode val="edge"/>
          <c:x val="0.374540682414698"/>
          <c:y val="0.0196850393700787"/>
        </c:manualLayout>
      </c:layout>
      <c:overlay val="0"/>
      <c:spPr>
        <a:noFill/>
        <a:ln w="28575" cmpd="dbl">
          <a:noFill/>
          <a:prstDash val="solid"/>
        </a:ln>
        <a:effectLst/>
      </c:spPr>
    </c:title>
    <c:autoTitleDeleted val="0"/>
    <c:plotArea>
      <c:layout>
        <c:manualLayout>
          <c:layoutTarget val="inner"/>
          <c:xMode val="edge"/>
          <c:yMode val="edge"/>
          <c:x val="0.313694444444444"/>
          <c:y val="0.284861111111111"/>
          <c:w val="0.343444444444444"/>
          <c:h val="0.572407407407407"/>
        </c:manualLayout>
      </c:layout>
      <c:pieChart>
        <c:varyColors val="1"/>
        <c:ser>
          <c:idx val="0"/>
          <c:order val="0"/>
          <c:tx>
            <c:strRef>
              <c:f>'[服务台统计报表【2023年9月】.xlsx]6月业务统计'!$G$2</c:f>
              <c:strCache>
                <c:ptCount val="1"/>
                <c:pt idx="0">
                  <c:v>综合项目管理平台</c:v>
                </c:pt>
              </c:strCache>
            </c:strRef>
          </c:tx>
          <c:spPr/>
          <c:explosion val="0"/>
          <c:dPt>
            <c:idx val="0"/>
            <c:bubble3D val="0"/>
            <c:explosion val="1"/>
            <c:spPr>
              <a:solidFill>
                <a:schemeClr val="accent5">
                  <a:lumMod val="75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tx1">
                  <a:lumMod val="65000"/>
                  <a:lumOff val="35000"/>
                </a:schemeClr>
              </a:solidFill>
              <a:ln w="19050">
                <a:solidFill>
                  <a:schemeClr val="lt1"/>
                </a:solidFill>
              </a:ln>
              <a:effectLst/>
            </c:spPr>
          </c:dPt>
          <c:dLbls>
            <c:dLbl>
              <c:idx val="0"/>
              <c:layout>
                <c:manualLayout>
                  <c:x val="-0.00600393700787408"/>
                  <c:y val="-0.2320920822397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0582751477916414"/>
                  <c:y val="-0.086822505750436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824146981627"/>
                      <c:h val="0.0951443569553806"/>
                    </c:manualLayout>
                  </c15:layout>
                </c:ext>
              </c:extLst>
            </c:dLbl>
            <c:dLbl>
              <c:idx val="2"/>
              <c:layout>
                <c:manualLayout>
                  <c:x val="0.00235028807829178"/>
                  <c:y val="-0.078796276877009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299212598425"/>
                      <c:h val="0.083989501312336"/>
                    </c:manualLayout>
                  </c15:layout>
                </c:ext>
              </c:extLst>
            </c:dLbl>
            <c:dLbl>
              <c:idx val="3"/>
              <c:layout>
                <c:manualLayout>
                  <c:x val="0.0726302588091619"/>
                  <c:y val="-0.0144035048173488"/>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8241469816273"/>
                      <c:h val="0.122265966754156"/>
                    </c:manualLayout>
                  </c15:layout>
                </c:ext>
              </c:extLst>
            </c:dLbl>
            <c:dLbl>
              <c:idx val="4"/>
              <c:layout>
                <c:manualLayout>
                  <c:x val="0.0685092729969136"/>
                  <c:y val="0.030497018837897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5144356955381"/>
                      <c:h val="0.0765529308836395"/>
                    </c:manualLayout>
                  </c15:layout>
                </c:ext>
              </c:extLst>
            </c:dLbl>
            <c:spPr>
              <a:noFill/>
              <a:ln>
                <a:noFill/>
              </a:ln>
              <a:effectLst/>
            </c:spPr>
            <c:txPr>
              <a:bodyPr rot="0" spcFirstLastPara="0" vertOverflow="ellipsis" vert="horz" wrap="square" lIns="36195" tIns="19050" rIns="38100" bIns="19050" anchor="ctr" anchorCtr="1">
                <a:spAutoFit/>
              </a:bodyPr>
              <a:lstStyle/>
              <a:p>
                <a:pPr>
                  <a:defRPr lang="zh-CN" sz="900" b="0" i="0" u="none" strike="noStrike" kern="1200" cap="none" spc="0" normalizeH="0" baseline="0">
                    <a:solidFill>
                      <a:schemeClr val="tx1">
                        <a:lumMod val="85000"/>
                        <a:lumOff val="15000"/>
                      </a:schemeClr>
                    </a:solidFill>
                    <a:uFill>
                      <a:solidFill>
                        <a:schemeClr val="tx1">
                          <a:lumMod val="75000"/>
                          <a:lumOff val="25000"/>
                        </a:schemeClr>
                      </a:solidFill>
                    </a:uFill>
                    <a:latin typeface="微软雅黑" panose="020B0503020204020204" charset="-122"/>
                    <a:ea typeface="微软雅黑" panose="020B0503020204020204" charset="-122"/>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'[服务台统计报表【2023年9月】.xlsx]6月业务统计'!$B$3:$B$7</c:f>
              <c:strCache>
                <c:ptCount val="5"/>
                <c:pt idx="0">
                  <c:v>公司本部</c:v>
                </c:pt>
                <c:pt idx="1">
                  <c:v>广州卷烟厂</c:v>
                </c:pt>
                <c:pt idx="2">
                  <c:v>韶关卷烟厂</c:v>
                </c:pt>
                <c:pt idx="3">
                  <c:v>梅州卷烟厂</c:v>
                </c:pt>
                <c:pt idx="4">
                  <c:v>湛江卷烟厂</c:v>
                </c:pt>
              </c:strCache>
            </c:strRef>
          </c:cat>
          <c:val>
            <c:numRef>
              <c:f>'[服务台统计报表【2023年9月】.xlsx]6月业务统计'!$G$3:$G$7</c:f>
              <c:numCache>
                <c:formatCode>General</c:formatCode>
                <c:ptCount val="5"/>
                <c:pt idx="0">
                  <c:v>138</c:v>
                </c:pt>
                <c:pt idx="1">
                  <c:v>55</c:v>
                </c:pt>
                <c:pt idx="2">
                  <c:v>11</c:v>
                </c:pt>
                <c:pt idx="3">
                  <c:v>14</c:v>
                </c:pt>
                <c:pt idx="4">
                  <c:v>46</c:v>
                </c:pt>
              </c:numCache>
            </c:numRef>
          </c:val>
        </c:ser>
        <c:dLbls>
          <c:showLegendKey val="0"/>
          <c:showVal val="1"/>
          <c:showCatName val="1"/>
          <c:showSerName val="0"/>
          <c:showPercent val="1"/>
          <c:showBubbleSize val="0"/>
          <c:showLeaderLines val="1"/>
        </c:dLbls>
        <c:firstSliceAng val="9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3"/>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4"/>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
    <c:plotVisOnly val="1"/>
    <c:dispBlanksAs val="gap"/>
    <c:showDLblsOverMax val="0"/>
  </c:chart>
  <c:spPr>
    <a:blipFill rotWithShape="1">
      <a:blip xmlns:r="http://schemas.openxmlformats.org/officeDocument/2006/relationships" r:embed="rId2">
        <a:alphaModFix amt="60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600" b="1">
                <a:solidFill>
                  <a:schemeClr val="tx1">
                    <a:lumMod val="65000"/>
                    <a:lumOff val="35000"/>
                  </a:schemeClr>
                </a:solidFill>
                <a:latin typeface="微软雅黑" panose="020B0503020204020204" charset="-122"/>
                <a:ea typeface="微软雅黑" panose="020B0503020204020204" charset="-122"/>
              </a:rPr>
              <a:t>ERP</a:t>
            </a:r>
            <a:r>
              <a:rPr altLang="en-US" sz="1600" b="1">
                <a:solidFill>
                  <a:schemeClr val="tx1">
                    <a:lumMod val="65000"/>
                    <a:lumOff val="35000"/>
                  </a:schemeClr>
                </a:solidFill>
                <a:latin typeface="微软雅黑" panose="020B0503020204020204" charset="-122"/>
                <a:ea typeface="微软雅黑" panose="020B0503020204020204" charset="-122"/>
              </a:rPr>
              <a:t>服务</a:t>
            </a:r>
            <a:endParaRPr altLang="en-US" sz="1600" b="1">
              <a:solidFill>
                <a:schemeClr val="tx1">
                  <a:lumMod val="65000"/>
                  <a:lumOff val="35000"/>
                </a:schemeClr>
              </a:solidFill>
              <a:latin typeface="微软雅黑" panose="020B0503020204020204" charset="-122"/>
              <a:ea typeface="微软雅黑" panose="020B0503020204020204" charset="-122"/>
            </a:endParaRPr>
          </a:p>
        </c:rich>
      </c:tx>
      <c:layout>
        <c:manualLayout>
          <c:xMode val="edge"/>
          <c:yMode val="edge"/>
          <c:x val="0.374540682414698"/>
          <c:y val="0.0196850393700787"/>
        </c:manualLayout>
      </c:layout>
      <c:overlay val="0"/>
      <c:spPr>
        <a:noFill/>
        <a:ln w="28575" cmpd="dbl">
          <a:noFill/>
          <a:prstDash val="solid"/>
        </a:ln>
        <a:effectLst/>
      </c:spPr>
    </c:title>
    <c:autoTitleDeleted val="0"/>
    <c:plotArea>
      <c:layout>
        <c:manualLayout>
          <c:layoutTarget val="inner"/>
          <c:xMode val="edge"/>
          <c:yMode val="edge"/>
          <c:x val="0.313694444444444"/>
          <c:y val="0.284861111111111"/>
          <c:w val="0.343444444444444"/>
          <c:h val="0.572407407407407"/>
        </c:manualLayout>
      </c:layout>
      <c:pieChart>
        <c:varyColors val="1"/>
        <c:ser>
          <c:idx val="0"/>
          <c:order val="0"/>
          <c:tx>
            <c:strRef>
              <c:f>'[服务台统计报表【2023年9月】.xlsx]6月业务统计'!$F$2</c:f>
              <c:strCache>
                <c:ptCount val="1"/>
                <c:pt idx="0">
                  <c:v>ERP  服务</c:v>
                </c:pt>
              </c:strCache>
            </c:strRef>
          </c:tx>
          <c:spPr/>
          <c:explosion val="0"/>
          <c:dPt>
            <c:idx val="0"/>
            <c:bubble3D val="0"/>
            <c:explosion val="1"/>
            <c:spPr>
              <a:solidFill>
                <a:schemeClr val="accent5">
                  <a:lumMod val="75000"/>
                </a:schemeClr>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tx1">
                  <a:lumMod val="65000"/>
                  <a:lumOff val="35000"/>
                </a:schemeClr>
              </a:solidFill>
              <a:ln w="19050">
                <a:solidFill>
                  <a:schemeClr val="lt1"/>
                </a:solidFill>
              </a:ln>
              <a:effectLst/>
            </c:spPr>
          </c:dPt>
          <c:dLbls>
            <c:dLbl>
              <c:idx val="0"/>
              <c:layout>
                <c:manualLayout>
                  <c:x val="-0.00600393700787408"/>
                  <c:y val="-0.2320920822397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00582751477916414"/>
                  <c:y val="-0.086822505750436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824146981627"/>
                      <c:h val="0.0951443569553806"/>
                    </c:manualLayout>
                  </c15:layout>
                </c:ext>
              </c:extLst>
            </c:dLbl>
            <c:dLbl>
              <c:idx val="2"/>
              <c:layout>
                <c:manualLayout>
                  <c:x val="0.00235028807829178"/>
                  <c:y val="-0.078796276877009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56299212598425"/>
                      <c:h val="0.083989501312336"/>
                    </c:manualLayout>
                  </c15:layout>
                </c:ext>
              </c:extLst>
            </c:dLbl>
            <c:dLbl>
              <c:idx val="3"/>
              <c:layout>
                <c:manualLayout>
                  <c:x val="0.0726302588091619"/>
                  <c:y val="-0.0144035048173488"/>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8241469816273"/>
                      <c:h val="0.122265966754156"/>
                    </c:manualLayout>
                  </c15:layout>
                </c:ext>
              </c:extLst>
            </c:dLbl>
            <c:dLbl>
              <c:idx val="4"/>
              <c:layout>
                <c:manualLayout>
                  <c:x val="0.0685092729969136"/>
                  <c:y val="0.030497018837897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5144356955381"/>
                      <c:h val="0.0765529308836395"/>
                    </c:manualLayout>
                  </c15:layout>
                </c:ext>
              </c:extLst>
            </c:dLbl>
            <c:spPr>
              <a:noFill/>
              <a:ln>
                <a:noFill/>
              </a:ln>
              <a:effectLst/>
            </c:spPr>
            <c:txPr>
              <a:bodyPr rot="0" spcFirstLastPara="0" vertOverflow="ellipsis" vert="horz" wrap="square" lIns="36195" tIns="19050" rIns="38100" bIns="19050" anchor="ctr" anchorCtr="1">
                <a:spAutoFit/>
              </a:bodyPr>
              <a:lstStyle/>
              <a:p>
                <a:pPr>
                  <a:defRPr lang="zh-CN" sz="900" b="0" i="0" u="none" strike="noStrike" kern="1200" cap="none" spc="0" normalizeH="0" baseline="0">
                    <a:solidFill>
                      <a:schemeClr val="tx1">
                        <a:lumMod val="85000"/>
                        <a:lumOff val="15000"/>
                      </a:schemeClr>
                    </a:solidFill>
                    <a:uFill>
                      <a:solidFill>
                        <a:schemeClr val="tx1">
                          <a:lumMod val="75000"/>
                          <a:lumOff val="25000"/>
                        </a:schemeClr>
                      </a:solidFill>
                    </a:uFill>
                    <a:latin typeface="微软雅黑" panose="020B0503020204020204" charset="-122"/>
                    <a:ea typeface="微软雅黑" panose="020B0503020204020204" charset="-122"/>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'[服务台统计报表【2023年9月】.xlsx]6月业务统计'!$B$3:$B$7</c:f>
              <c:strCache>
                <c:ptCount val="5"/>
                <c:pt idx="0">
                  <c:v>公司本部</c:v>
                </c:pt>
                <c:pt idx="1">
                  <c:v>广州卷烟厂</c:v>
                </c:pt>
                <c:pt idx="2">
                  <c:v>韶关卷烟厂</c:v>
                </c:pt>
                <c:pt idx="3">
                  <c:v>梅州卷烟厂</c:v>
                </c:pt>
                <c:pt idx="4">
                  <c:v>湛江卷烟厂</c:v>
                </c:pt>
              </c:strCache>
            </c:strRef>
          </c:cat>
          <c:val>
            <c:numRef>
              <c:f>'[服务台统计报表【2023年9月】.xlsx]6月业务统计'!$F$3:$F$7</c:f>
              <c:numCache>
                <c:formatCode>General</c:formatCode>
                <c:ptCount val="5"/>
                <c:pt idx="0">
                  <c:v>63</c:v>
                </c:pt>
                <c:pt idx="1">
                  <c:v>28</c:v>
                </c:pt>
                <c:pt idx="2">
                  <c:v>1</c:v>
                </c:pt>
                <c:pt idx="3">
                  <c:v>4</c:v>
                </c:pt>
                <c:pt idx="4">
                  <c:v>11</c:v>
                </c:pt>
              </c:numCache>
            </c:numRef>
          </c:val>
        </c:ser>
        <c:dLbls>
          <c:showLegendKey val="0"/>
          <c:showVal val="1"/>
          <c:showCatName val="1"/>
          <c:showSerName val="0"/>
          <c:showPercent val="1"/>
          <c:showBubbleSize val="0"/>
          <c:showLeaderLines val="1"/>
        </c:dLbls>
        <c:firstSliceAng val="9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1"/>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2"/>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3"/>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egendEntry>
        <c:idx val="4"/>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cap="none" spc="0" normalizeH="0" baseline="0">
              <a:solidFill>
                <a:schemeClr val="tx1">
                  <a:lumMod val="85000"/>
                  <a:lumOff val="15000"/>
                </a:schemeClr>
              </a:solidFill>
              <a:uFill>
                <a:solidFill>
                  <a:schemeClr val="tx1">
                    <a:lumMod val="65000"/>
                    <a:lumOff val="35000"/>
                  </a:schemeClr>
                </a:solidFill>
              </a:uFill>
              <a:latin typeface="微软雅黑" panose="020B0503020204020204" charset="-122"/>
              <a:ea typeface="微软雅黑" panose="020B0503020204020204" charset="-122"/>
              <a:cs typeface="+mn-cs"/>
            </a:defRPr>
          </a:pPr>
        </a:p>
      </c:txPr>
    </c:legend>
    <c:plotVisOnly val="1"/>
    <c:dispBlanksAs val="gap"/>
    <c:showDLblsOverMax val="0"/>
  </c:chart>
  <c:spPr>
    <a:blipFill rotWithShape="1">
      <a:blip xmlns:r="http://schemas.openxmlformats.org/officeDocument/2006/relationships" r:embed="rId2">
        <a:alphaModFix amt="60000"/>
      </a:blip>
      <a:stretch>
        <a:fillRect/>
      </a:stretch>
    </a:blip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7.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8">
    <a:dk1>
      <a:sysClr val="windowText" lastClr="000000"/>
    </a:dk1>
    <a:lt1>
      <a:sysClr val="window" lastClr="FFFFFF"/>
    </a:lt1>
    <a:dk2>
      <a:srgbClr val="E44856"/>
    </a:dk2>
    <a:lt2>
      <a:srgbClr val="8D0F3E"/>
    </a:lt2>
    <a:accent1>
      <a:srgbClr val="055280"/>
    </a:accent1>
    <a:accent2>
      <a:srgbClr val="34B2E4"/>
    </a:accent2>
    <a:accent3>
      <a:srgbClr val="64D0D9"/>
    </a:accent3>
    <a:accent4>
      <a:srgbClr val="65DAAD"/>
    </a:accent4>
    <a:accent5>
      <a:srgbClr val="FFCD64"/>
    </a:accent5>
    <a:accent6>
      <a:srgbClr val="FE912A"/>
    </a:accent6>
    <a:hlink>
      <a:srgbClr val="5F5F5F"/>
    </a:hlink>
    <a:folHlink>
      <a:srgbClr val="919191"/>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Ex_proposal</Template>
  <Company>Hewlett-Packard Company</Company>
  <Pages>32</Pages>
  <Words>9263</Words>
  <Characters>10994</Characters>
  <Lines>60</Lines>
  <Paragraphs>17</Paragraphs>
  <TotalTime>30</TotalTime>
  <ScaleCrop>false</ScaleCrop>
  <LinksUpToDate>false</LinksUpToDate>
  <CharactersWithSpaces>11101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2021-05-31T23:10:00Z</dcterms:created>
  <dc:creator>李思伟</dc:creator>
  <cp:lastModifiedBy>紫熙</cp:lastModifiedBy>
  <cp:lastPrinted>2013-07-23T00:40:00Z</cp:lastPrinted>
  <dcterms:modified xsi:type="dcterms:W3CDTF">2024-04-03T03:25:27Z</dcterms:modified>
  <dc:title>客户名称</dc:title>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8811A8382633490FB39120D12DA1A324</vt:lpwstr>
  </property>
</Properties>
</file>