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color w:val="auto"/>
          <w:highlight w:val="none"/>
        </w:rPr>
      </w:pPr>
    </w:p>
    <w:p>
      <w:pPr>
        <w:pStyle w:val="11"/>
        <w:ind w:firstLine="0" w:firstLineChars="0"/>
        <w:rPr>
          <w:color w:val="auto"/>
          <w:highlight w:val="none"/>
        </w:rPr>
      </w:pPr>
      <w:r>
        <w:rPr>
          <w:color w:val="auto"/>
          <w:highlight w:val="none"/>
        </w:rPr>
        <w:drawing>
          <wp:inline distT="0" distB="0" distL="0" distR="0">
            <wp:extent cx="3124200" cy="490220"/>
            <wp:effectExtent l="0" t="0" r="0" b="5080"/>
            <wp:docPr id="152096867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968678"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205737" cy="503571"/>
                    </a:xfrm>
                    <a:prstGeom prst="rect">
                      <a:avLst/>
                    </a:prstGeom>
                    <a:noFill/>
                    <a:ln>
                      <a:noFill/>
                    </a:ln>
                  </pic:spPr>
                </pic:pic>
              </a:graphicData>
            </a:graphic>
          </wp:inline>
        </w:drawing>
      </w:r>
    </w:p>
    <w:p>
      <w:pPr>
        <w:rPr>
          <w:color w:val="auto"/>
          <w:highlight w:val="none"/>
        </w:rPr>
      </w:pPr>
    </w:p>
    <w:p>
      <w:pPr>
        <w:pStyle w:val="10"/>
        <w:rPr>
          <w:color w:val="auto"/>
          <w:highlight w:val="none"/>
        </w:rPr>
      </w:pPr>
    </w:p>
    <w:p>
      <w:pPr>
        <w:pStyle w:val="10"/>
        <w:ind w:firstLine="0" w:firstLineChars="0"/>
        <w:rPr>
          <w:color w:val="auto"/>
          <w:highlight w:val="none"/>
        </w:rPr>
      </w:pPr>
    </w:p>
    <w:p>
      <w:pPr>
        <w:pStyle w:val="11"/>
        <w:ind w:firstLine="420"/>
        <w:rPr>
          <w:color w:val="auto"/>
          <w:highlight w:val="none"/>
        </w:rPr>
      </w:pPr>
    </w:p>
    <w:p>
      <w:pPr>
        <w:pStyle w:val="11"/>
        <w:ind w:firstLine="420"/>
        <w:rPr>
          <w:color w:val="auto"/>
          <w:highlight w:val="none"/>
        </w:rPr>
      </w:pPr>
    </w:p>
    <w:p>
      <w:pPr>
        <w:rPr>
          <w:color w:val="auto"/>
          <w:highlight w:val="none"/>
        </w:rPr>
      </w:pPr>
    </w:p>
    <w:p>
      <w:pPr>
        <w:pStyle w:val="10"/>
        <w:rPr>
          <w:color w:val="auto"/>
          <w:highlight w:val="none"/>
        </w:rPr>
      </w:pPr>
    </w:p>
    <w:p>
      <w:pPr>
        <w:rPr>
          <w:color w:val="auto"/>
          <w:highlight w:val="none"/>
        </w:rPr>
      </w:pPr>
    </w:p>
    <w:p>
      <w:pPr>
        <w:pStyle w:val="10"/>
        <w:rPr>
          <w:color w:val="auto"/>
          <w:highlight w:val="none"/>
        </w:rPr>
      </w:pPr>
    </w:p>
    <w:p>
      <w:pPr>
        <w:adjustRightInd w:val="0"/>
        <w:snapToGrid w:val="0"/>
        <w:spacing w:line="360" w:lineRule="auto"/>
        <w:jc w:val="center"/>
        <w:rPr>
          <w:rFonts w:ascii="宋体" w:hAnsi="宋体"/>
          <w:b/>
          <w:bCs/>
          <w:color w:val="auto"/>
          <w:sz w:val="48"/>
          <w:szCs w:val="48"/>
          <w:highlight w:val="none"/>
        </w:rPr>
      </w:pPr>
      <w:r>
        <w:rPr>
          <w:rFonts w:hint="eastAsia" w:ascii="宋体" w:hAnsi="宋体"/>
          <w:b/>
          <w:bCs/>
          <w:color w:val="auto"/>
          <w:sz w:val="48"/>
          <w:szCs w:val="48"/>
          <w:highlight w:val="none"/>
        </w:rPr>
        <w:t>2022年工信部数据字典项目</w:t>
      </w:r>
    </w:p>
    <w:p>
      <w:pPr>
        <w:adjustRightInd w:val="0"/>
        <w:snapToGrid w:val="0"/>
        <w:spacing w:line="360" w:lineRule="auto"/>
        <w:jc w:val="center"/>
        <w:rPr>
          <w:rFonts w:ascii="宋体" w:hAnsi="宋体"/>
          <w:b/>
          <w:bCs/>
          <w:color w:val="auto"/>
          <w:sz w:val="48"/>
          <w:szCs w:val="48"/>
          <w:highlight w:val="none"/>
        </w:rPr>
      </w:pPr>
      <w:r>
        <w:rPr>
          <w:rFonts w:hint="eastAsia" w:ascii="宋体" w:hAnsi="宋体"/>
          <w:b/>
          <w:bCs/>
          <w:color w:val="auto"/>
          <w:sz w:val="48"/>
          <w:szCs w:val="48"/>
          <w:highlight w:val="none"/>
        </w:rPr>
        <w:t>TC220807A电力设备数据字典测试床的</w:t>
      </w:r>
    </w:p>
    <w:p>
      <w:pPr>
        <w:adjustRightInd w:val="0"/>
        <w:snapToGrid w:val="0"/>
        <w:spacing w:line="360" w:lineRule="auto"/>
        <w:jc w:val="center"/>
        <w:rPr>
          <w:rFonts w:ascii="宋体" w:hAnsi="宋体"/>
          <w:b/>
          <w:bCs/>
          <w:color w:val="auto"/>
          <w:sz w:val="48"/>
          <w:szCs w:val="48"/>
          <w:highlight w:val="none"/>
        </w:rPr>
      </w:pPr>
      <w:r>
        <w:rPr>
          <w:rFonts w:hint="eastAsia" w:ascii="宋体" w:hAnsi="宋体"/>
          <w:b/>
          <w:bCs/>
          <w:color w:val="auto"/>
          <w:sz w:val="48"/>
          <w:szCs w:val="48"/>
          <w:highlight w:val="none"/>
        </w:rPr>
        <w:t>算法训练和测试设备</w:t>
      </w:r>
    </w:p>
    <w:p>
      <w:pPr>
        <w:adjustRightInd w:val="0"/>
        <w:snapToGrid w:val="0"/>
        <w:spacing w:line="360" w:lineRule="auto"/>
        <w:jc w:val="center"/>
        <w:rPr>
          <w:rFonts w:ascii="宋体" w:hAnsi="宋体"/>
          <w:b/>
          <w:bCs/>
          <w:color w:val="auto"/>
          <w:sz w:val="48"/>
          <w:szCs w:val="48"/>
          <w:highlight w:val="none"/>
        </w:rPr>
      </w:pPr>
    </w:p>
    <w:p>
      <w:pPr>
        <w:adjustRightInd w:val="0"/>
        <w:snapToGrid w:val="0"/>
        <w:spacing w:line="360" w:lineRule="auto"/>
        <w:jc w:val="center"/>
        <w:rPr>
          <w:rFonts w:ascii="宋体" w:hAnsi="宋体"/>
          <w:b/>
          <w:bCs/>
          <w:color w:val="auto"/>
          <w:sz w:val="52"/>
          <w:szCs w:val="52"/>
          <w:highlight w:val="none"/>
        </w:rPr>
      </w:pPr>
    </w:p>
    <w:p>
      <w:pPr>
        <w:adjustRightInd w:val="0"/>
        <w:snapToGrid w:val="0"/>
        <w:spacing w:line="360" w:lineRule="auto"/>
        <w:jc w:val="center"/>
        <w:rPr>
          <w:rFonts w:ascii="宋体" w:hAnsi="宋体"/>
          <w:b/>
          <w:bCs/>
          <w:color w:val="auto"/>
          <w:sz w:val="52"/>
          <w:szCs w:val="52"/>
          <w:highlight w:val="none"/>
        </w:rPr>
      </w:pPr>
      <w:r>
        <w:rPr>
          <w:rFonts w:hint="eastAsia" w:ascii="宋体" w:hAnsi="宋体"/>
          <w:b/>
          <w:bCs/>
          <w:color w:val="auto"/>
          <w:sz w:val="52"/>
          <w:szCs w:val="52"/>
          <w:highlight w:val="none"/>
        </w:rPr>
        <w:t>公开询价采购文件</w:t>
      </w:r>
    </w:p>
    <w:p>
      <w:pPr>
        <w:pStyle w:val="11"/>
        <w:ind w:firstLine="420"/>
        <w:rPr>
          <w:color w:val="auto"/>
          <w:highlight w:val="none"/>
        </w:rPr>
      </w:pPr>
    </w:p>
    <w:p>
      <w:pPr>
        <w:rPr>
          <w:color w:val="auto"/>
          <w:highlight w:val="none"/>
        </w:rPr>
      </w:pPr>
    </w:p>
    <w:p>
      <w:pPr>
        <w:pStyle w:val="10"/>
        <w:rPr>
          <w:color w:val="auto"/>
          <w:highlight w:val="none"/>
        </w:rPr>
      </w:pPr>
    </w:p>
    <w:p>
      <w:pPr>
        <w:pStyle w:val="11"/>
        <w:ind w:firstLine="420"/>
        <w:rPr>
          <w:color w:val="auto"/>
          <w:highlight w:val="none"/>
        </w:rPr>
      </w:pPr>
    </w:p>
    <w:p>
      <w:pPr>
        <w:rPr>
          <w:color w:val="auto"/>
          <w:highlight w:val="none"/>
        </w:rPr>
      </w:pPr>
    </w:p>
    <w:p>
      <w:pPr>
        <w:pStyle w:val="10"/>
        <w:rPr>
          <w:color w:val="auto"/>
          <w:highlight w:val="none"/>
        </w:rPr>
      </w:pPr>
    </w:p>
    <w:p>
      <w:pPr>
        <w:pStyle w:val="10"/>
        <w:rPr>
          <w:color w:val="auto"/>
          <w:highlight w:val="none"/>
        </w:rPr>
      </w:pPr>
    </w:p>
    <w:p>
      <w:pPr>
        <w:rPr>
          <w:color w:val="auto"/>
          <w:highlight w:val="none"/>
        </w:rPr>
      </w:pPr>
    </w:p>
    <w:p>
      <w:pPr>
        <w:rPr>
          <w:color w:val="auto"/>
          <w:highlight w:val="none"/>
        </w:rPr>
      </w:pPr>
    </w:p>
    <w:p>
      <w:pPr>
        <w:pStyle w:val="10"/>
        <w:rPr>
          <w:color w:val="auto"/>
          <w:highlight w:val="none"/>
        </w:rPr>
      </w:pPr>
    </w:p>
    <w:p>
      <w:pPr>
        <w:pStyle w:val="10"/>
        <w:ind w:firstLine="0" w:firstLineChars="0"/>
        <w:rPr>
          <w:color w:val="auto"/>
          <w:highlight w:val="none"/>
        </w:rPr>
      </w:pPr>
    </w:p>
    <w:tbl>
      <w:tblPr>
        <w:tblStyle w:val="27"/>
        <w:tblW w:w="0" w:type="auto"/>
        <w:jc w:val="center"/>
        <w:tblLayout w:type="fixed"/>
        <w:tblCellMar>
          <w:top w:w="0" w:type="dxa"/>
          <w:left w:w="108" w:type="dxa"/>
          <w:bottom w:w="0" w:type="dxa"/>
          <w:right w:w="108" w:type="dxa"/>
        </w:tblCellMar>
      </w:tblPr>
      <w:tblGrid>
        <w:gridCol w:w="2304"/>
        <w:gridCol w:w="5479"/>
      </w:tblGrid>
      <w:tr>
        <w:tblPrEx>
          <w:tblCellMar>
            <w:top w:w="0" w:type="dxa"/>
            <w:left w:w="108" w:type="dxa"/>
            <w:bottom w:w="0" w:type="dxa"/>
            <w:right w:w="108" w:type="dxa"/>
          </w:tblCellMar>
        </w:tblPrEx>
        <w:trPr>
          <w:jc w:val="center"/>
        </w:trPr>
        <w:tc>
          <w:tcPr>
            <w:tcW w:w="2304" w:type="dxa"/>
            <w:vAlign w:val="center"/>
          </w:tcPr>
          <w:p>
            <w:pPr>
              <w:spacing w:line="360" w:lineRule="auto"/>
              <w:jc w:val="distribute"/>
              <w:rPr>
                <w:rFonts w:ascii="宋体" w:hAnsi="宋体"/>
                <w:color w:val="auto"/>
                <w:sz w:val="28"/>
                <w:szCs w:val="22"/>
                <w:highlight w:val="none"/>
              </w:rPr>
            </w:pPr>
            <w:r>
              <w:rPr>
                <w:rFonts w:ascii="宋体" w:hAnsi="宋体"/>
                <w:b/>
                <w:color w:val="auto"/>
                <w:sz w:val="30"/>
                <w:szCs w:val="22"/>
                <w:highlight w:val="none"/>
              </w:rPr>
              <w:t>采  购  人：</w:t>
            </w:r>
          </w:p>
        </w:tc>
        <w:tc>
          <w:tcPr>
            <w:tcW w:w="5479" w:type="dxa"/>
            <w:vAlign w:val="center"/>
          </w:tcPr>
          <w:p>
            <w:pPr>
              <w:spacing w:line="360" w:lineRule="auto"/>
              <w:jc w:val="distribute"/>
              <w:rPr>
                <w:rFonts w:ascii="宋体" w:hAnsi="宋体"/>
                <w:b/>
                <w:color w:val="auto"/>
                <w:sz w:val="30"/>
                <w:szCs w:val="22"/>
                <w:highlight w:val="none"/>
              </w:rPr>
            </w:pPr>
            <w:r>
              <w:rPr>
                <w:rFonts w:hint="eastAsia" w:ascii="宋体" w:hAnsi="宋体"/>
                <w:b/>
                <w:color w:val="auto"/>
                <w:sz w:val="30"/>
                <w:szCs w:val="22"/>
                <w:highlight w:val="none"/>
              </w:rPr>
              <w:t>国家电投集团数字科技有限公司</w:t>
            </w:r>
          </w:p>
        </w:tc>
      </w:tr>
    </w:tbl>
    <w:p>
      <w:pPr>
        <w:jc w:val="center"/>
        <w:rPr>
          <w:rFonts w:ascii="宋体" w:hAnsi="宋体"/>
          <w:b/>
          <w:color w:val="auto"/>
          <w:kern w:val="0"/>
          <w:sz w:val="28"/>
          <w:szCs w:val="20"/>
          <w:highlight w:val="none"/>
        </w:rPr>
      </w:pPr>
    </w:p>
    <w:p>
      <w:pPr>
        <w:jc w:val="center"/>
        <w:rPr>
          <w:rFonts w:ascii="宋体" w:hAnsi="宋体"/>
          <w:b/>
          <w:color w:val="auto"/>
          <w:sz w:val="28"/>
          <w:szCs w:val="20"/>
          <w:highlight w:val="none"/>
        </w:rPr>
      </w:pPr>
      <w:r>
        <w:rPr>
          <w:rFonts w:hint="eastAsia" w:ascii="宋体" w:hAnsi="宋体"/>
          <w:b/>
          <w:color w:val="auto"/>
          <w:sz w:val="28"/>
          <w:szCs w:val="20"/>
          <w:highlight w:val="none"/>
        </w:rPr>
        <w:t>20</w:t>
      </w:r>
      <w:r>
        <w:rPr>
          <w:rFonts w:hint="eastAsia" w:ascii="宋体" w:hAnsi="宋体"/>
          <w:b/>
          <w:color w:val="auto"/>
          <w:sz w:val="28"/>
          <w:szCs w:val="20"/>
          <w:highlight w:val="none"/>
          <w:u w:val="single"/>
        </w:rPr>
        <w:t>24</w:t>
      </w:r>
      <w:r>
        <w:rPr>
          <w:rFonts w:ascii="宋体" w:hAnsi="宋体"/>
          <w:b/>
          <w:color w:val="auto"/>
          <w:sz w:val="28"/>
          <w:szCs w:val="20"/>
          <w:highlight w:val="none"/>
        </w:rPr>
        <w:t>年</w:t>
      </w:r>
      <w:r>
        <w:rPr>
          <w:rFonts w:hint="eastAsia" w:ascii="宋体" w:hAnsi="宋体"/>
          <w:b/>
          <w:color w:val="auto"/>
          <w:sz w:val="28"/>
          <w:szCs w:val="20"/>
          <w:highlight w:val="none"/>
          <w:u w:val="single"/>
        </w:rPr>
        <w:t>3</w:t>
      </w:r>
      <w:r>
        <w:rPr>
          <w:rFonts w:ascii="宋体" w:hAnsi="宋体"/>
          <w:b/>
          <w:color w:val="auto"/>
          <w:sz w:val="28"/>
          <w:szCs w:val="20"/>
          <w:highlight w:val="none"/>
        </w:rPr>
        <w:t>月</w:t>
      </w:r>
    </w:p>
    <w:p>
      <w:pPr>
        <w:rPr>
          <w:color w:val="auto"/>
          <w:highlight w:val="none"/>
        </w:rPr>
      </w:pPr>
    </w:p>
    <w:p>
      <w:pPr>
        <w:pStyle w:val="10"/>
        <w:rPr>
          <w:color w:val="auto"/>
          <w:highlight w:val="none"/>
        </w:rPr>
      </w:pPr>
      <w:r>
        <w:rPr>
          <w:color w:val="auto"/>
          <w:highlight w:val="none"/>
        </w:rPr>
        <w:br w:type="page"/>
      </w:r>
    </w:p>
    <w:sdt>
      <w:sdtPr>
        <w:rPr>
          <w:rFonts w:ascii="Times New Roman" w:hAnsi="Times New Roman" w:eastAsia="宋体" w:cs="Times New Roman"/>
          <w:color w:val="auto"/>
          <w:kern w:val="2"/>
          <w:sz w:val="21"/>
          <w:szCs w:val="24"/>
          <w:highlight w:val="none"/>
          <w:lang w:val="zh-CN"/>
        </w:rPr>
        <w:id w:val="-1"/>
        <w:docPartObj>
          <w:docPartGallery w:val="Table of Contents"/>
          <w:docPartUnique/>
        </w:docPartObj>
      </w:sdtPr>
      <w:sdtEndPr>
        <w:rPr>
          <w:rFonts w:ascii="Times New Roman" w:hAnsi="Times New Roman" w:eastAsia="宋体" w:cs="Times New Roman"/>
          <w:b/>
          <w:bCs/>
          <w:color w:val="auto"/>
          <w:kern w:val="2"/>
          <w:sz w:val="21"/>
          <w:szCs w:val="24"/>
          <w:highlight w:val="none"/>
          <w:lang w:val="zh-CN"/>
        </w:rPr>
      </w:sdtEndPr>
      <w:sdtContent>
        <w:p>
          <w:pPr>
            <w:pStyle w:val="67"/>
            <w:jc w:val="center"/>
            <w:rPr>
              <w:rFonts w:ascii="Times New Roman" w:hAnsi="Times New Roman" w:eastAsia="宋体" w:cs="Times New Roman"/>
              <w:color w:val="auto"/>
              <w:kern w:val="2"/>
              <w:sz w:val="21"/>
              <w:szCs w:val="24"/>
              <w:highlight w:val="none"/>
              <w:lang w:val="zh-CN"/>
            </w:rPr>
          </w:pPr>
        </w:p>
        <w:p>
          <w:pPr>
            <w:pStyle w:val="67"/>
            <w:jc w:val="center"/>
            <w:rPr>
              <w:b/>
              <w:bCs/>
              <w:color w:val="auto"/>
              <w:highlight w:val="none"/>
            </w:rPr>
          </w:pPr>
          <w:r>
            <w:rPr>
              <w:b/>
              <w:bCs/>
              <w:color w:val="auto"/>
              <w:highlight w:val="none"/>
              <w:lang w:val="zh-CN"/>
            </w:rPr>
            <w:t>目录</w:t>
          </w:r>
        </w:p>
        <w:p>
          <w:pPr>
            <w:pStyle w:val="20"/>
            <w:tabs>
              <w:tab w:val="right" w:leader="dot" w:pos="8505"/>
            </w:tabs>
            <w:rPr>
              <w:color w:val="auto"/>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color w:val="auto"/>
              <w:highlight w:val="none"/>
            </w:rPr>
            <w:fldChar w:fldCharType="begin"/>
          </w:r>
          <w:r>
            <w:rPr>
              <w:color w:val="auto"/>
              <w:highlight w:val="none"/>
            </w:rPr>
            <w:instrText xml:space="preserve"> HYPERLINK \l _Toc2803 </w:instrText>
          </w:r>
          <w:r>
            <w:rPr>
              <w:color w:val="auto"/>
              <w:highlight w:val="none"/>
            </w:rPr>
            <w:fldChar w:fldCharType="separate"/>
          </w:r>
          <w:r>
            <w:rPr>
              <w:rFonts w:hint="eastAsia" w:ascii="宋体" w:hAnsi="宋体"/>
              <w:snapToGrid w:val="0"/>
              <w:color w:val="auto"/>
              <w:kern w:val="28"/>
              <w:szCs w:val="28"/>
              <w:highlight w:val="none"/>
            </w:rPr>
            <w:t>一、询价内容及要求</w:t>
          </w:r>
          <w:r>
            <w:rPr>
              <w:color w:val="auto"/>
              <w:highlight w:val="none"/>
            </w:rPr>
            <w:tab/>
          </w:r>
          <w:r>
            <w:rPr>
              <w:color w:val="auto"/>
              <w:highlight w:val="none"/>
            </w:rPr>
            <w:fldChar w:fldCharType="begin"/>
          </w:r>
          <w:r>
            <w:rPr>
              <w:color w:val="auto"/>
              <w:highlight w:val="none"/>
            </w:rPr>
            <w:instrText xml:space="preserve"> PAGEREF _Toc2803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20"/>
            <w:tabs>
              <w:tab w:val="right" w:leader="dot" w:pos="8505"/>
            </w:tabs>
            <w:rPr>
              <w:color w:val="auto"/>
              <w:highlight w:val="none"/>
            </w:rPr>
          </w:pPr>
          <w:r>
            <w:rPr>
              <w:color w:val="auto"/>
              <w:highlight w:val="none"/>
            </w:rPr>
            <w:fldChar w:fldCharType="begin"/>
          </w:r>
          <w:r>
            <w:rPr>
              <w:color w:val="auto"/>
              <w:highlight w:val="none"/>
            </w:rPr>
            <w:instrText xml:space="preserve"> HYPERLINK \l _Toc191 </w:instrText>
          </w:r>
          <w:r>
            <w:rPr>
              <w:color w:val="auto"/>
              <w:highlight w:val="none"/>
            </w:rPr>
            <w:fldChar w:fldCharType="separate"/>
          </w:r>
          <w:r>
            <w:rPr>
              <w:rFonts w:hint="eastAsia" w:ascii="宋体" w:hAnsi="宋体"/>
              <w:snapToGrid w:val="0"/>
              <w:color w:val="auto"/>
              <w:kern w:val="28"/>
              <w:szCs w:val="28"/>
              <w:highlight w:val="none"/>
            </w:rPr>
            <w:t>二、报价供应商资格要求</w:t>
          </w:r>
          <w:r>
            <w:rPr>
              <w:color w:val="auto"/>
              <w:highlight w:val="none"/>
            </w:rPr>
            <w:tab/>
          </w:r>
          <w:r>
            <w:rPr>
              <w:color w:val="auto"/>
              <w:highlight w:val="none"/>
            </w:rPr>
            <w:fldChar w:fldCharType="begin"/>
          </w:r>
          <w:r>
            <w:rPr>
              <w:color w:val="auto"/>
              <w:highlight w:val="none"/>
            </w:rPr>
            <w:instrText xml:space="preserve"> PAGEREF _Toc191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20"/>
            <w:tabs>
              <w:tab w:val="right" w:leader="dot" w:pos="8505"/>
            </w:tabs>
            <w:rPr>
              <w:color w:val="auto"/>
              <w:highlight w:val="none"/>
            </w:rPr>
          </w:pPr>
          <w:r>
            <w:rPr>
              <w:color w:val="auto"/>
              <w:highlight w:val="none"/>
            </w:rPr>
            <w:fldChar w:fldCharType="begin"/>
          </w:r>
          <w:r>
            <w:rPr>
              <w:color w:val="auto"/>
              <w:highlight w:val="none"/>
            </w:rPr>
            <w:instrText xml:space="preserve"> HYPERLINK \l _Toc27417 </w:instrText>
          </w:r>
          <w:r>
            <w:rPr>
              <w:color w:val="auto"/>
              <w:highlight w:val="none"/>
            </w:rPr>
            <w:fldChar w:fldCharType="separate"/>
          </w:r>
          <w:r>
            <w:rPr>
              <w:rFonts w:hint="eastAsia" w:ascii="宋体" w:hAnsi="宋体" w:cs="宋体"/>
              <w:snapToGrid w:val="0"/>
              <w:color w:val="auto"/>
              <w:kern w:val="28"/>
              <w:szCs w:val="28"/>
              <w:highlight w:val="none"/>
            </w:rPr>
            <w:t>三、报价截止时间</w:t>
          </w:r>
          <w:r>
            <w:rPr>
              <w:color w:val="auto"/>
              <w:highlight w:val="none"/>
            </w:rPr>
            <w:tab/>
          </w:r>
          <w:r>
            <w:rPr>
              <w:color w:val="auto"/>
              <w:highlight w:val="none"/>
            </w:rPr>
            <w:fldChar w:fldCharType="begin"/>
          </w:r>
          <w:r>
            <w:rPr>
              <w:color w:val="auto"/>
              <w:highlight w:val="none"/>
            </w:rPr>
            <w:instrText xml:space="preserve"> PAGEREF _Toc27417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20"/>
            <w:tabs>
              <w:tab w:val="right" w:leader="dot" w:pos="8505"/>
            </w:tabs>
            <w:rPr>
              <w:color w:val="auto"/>
              <w:highlight w:val="none"/>
            </w:rPr>
          </w:pPr>
          <w:r>
            <w:rPr>
              <w:color w:val="auto"/>
              <w:highlight w:val="none"/>
            </w:rPr>
            <w:fldChar w:fldCharType="begin"/>
          </w:r>
          <w:r>
            <w:rPr>
              <w:color w:val="auto"/>
              <w:highlight w:val="none"/>
            </w:rPr>
            <w:instrText xml:space="preserve"> HYPERLINK \l _Toc9917 </w:instrText>
          </w:r>
          <w:r>
            <w:rPr>
              <w:color w:val="auto"/>
              <w:highlight w:val="none"/>
            </w:rPr>
            <w:fldChar w:fldCharType="separate"/>
          </w:r>
          <w:r>
            <w:rPr>
              <w:rFonts w:hint="eastAsia" w:ascii="宋体" w:hAnsi="宋体" w:cs="宋体"/>
              <w:snapToGrid w:val="0"/>
              <w:color w:val="auto"/>
              <w:kern w:val="28"/>
              <w:szCs w:val="28"/>
              <w:highlight w:val="none"/>
            </w:rPr>
            <w:t>四、报价人须知</w:t>
          </w:r>
          <w:r>
            <w:rPr>
              <w:color w:val="auto"/>
              <w:highlight w:val="none"/>
            </w:rPr>
            <w:tab/>
          </w:r>
          <w:r>
            <w:rPr>
              <w:color w:val="auto"/>
              <w:highlight w:val="none"/>
            </w:rPr>
            <w:fldChar w:fldCharType="begin"/>
          </w:r>
          <w:r>
            <w:rPr>
              <w:color w:val="auto"/>
              <w:highlight w:val="none"/>
            </w:rPr>
            <w:instrText xml:space="preserve"> PAGEREF _Toc9917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20"/>
            <w:tabs>
              <w:tab w:val="right" w:leader="dot" w:pos="8505"/>
            </w:tabs>
            <w:rPr>
              <w:color w:val="auto"/>
              <w:highlight w:val="none"/>
            </w:rPr>
          </w:pPr>
          <w:r>
            <w:rPr>
              <w:color w:val="auto"/>
              <w:highlight w:val="none"/>
            </w:rPr>
            <w:fldChar w:fldCharType="begin"/>
          </w:r>
          <w:r>
            <w:rPr>
              <w:color w:val="auto"/>
              <w:highlight w:val="none"/>
            </w:rPr>
            <w:instrText xml:space="preserve"> HYPERLINK \l _Toc10726 </w:instrText>
          </w:r>
          <w:r>
            <w:rPr>
              <w:color w:val="auto"/>
              <w:highlight w:val="none"/>
            </w:rPr>
            <w:fldChar w:fldCharType="separate"/>
          </w:r>
          <w:r>
            <w:rPr>
              <w:rFonts w:hint="eastAsia" w:ascii="宋体" w:hAnsi="宋体" w:cs="宋体"/>
              <w:snapToGrid w:val="0"/>
              <w:color w:val="auto"/>
              <w:kern w:val="28"/>
              <w:szCs w:val="28"/>
              <w:highlight w:val="none"/>
            </w:rPr>
            <w:t>五、响应文件编制要求</w:t>
          </w:r>
          <w:r>
            <w:rPr>
              <w:color w:val="auto"/>
              <w:highlight w:val="none"/>
            </w:rPr>
            <w:tab/>
          </w:r>
          <w:r>
            <w:rPr>
              <w:color w:val="auto"/>
              <w:highlight w:val="none"/>
            </w:rPr>
            <w:fldChar w:fldCharType="begin"/>
          </w:r>
          <w:r>
            <w:rPr>
              <w:color w:val="auto"/>
              <w:highlight w:val="none"/>
            </w:rPr>
            <w:instrText xml:space="preserve"> PAGEREF _Toc10726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20"/>
            <w:tabs>
              <w:tab w:val="right" w:leader="dot" w:pos="8505"/>
            </w:tabs>
            <w:rPr>
              <w:color w:val="auto"/>
              <w:highlight w:val="none"/>
            </w:rPr>
          </w:pPr>
          <w:r>
            <w:rPr>
              <w:color w:val="auto"/>
              <w:highlight w:val="none"/>
            </w:rPr>
            <w:fldChar w:fldCharType="begin"/>
          </w:r>
          <w:r>
            <w:rPr>
              <w:color w:val="auto"/>
              <w:highlight w:val="none"/>
            </w:rPr>
            <w:instrText xml:space="preserve"> HYPERLINK \l _Toc19357 </w:instrText>
          </w:r>
          <w:r>
            <w:rPr>
              <w:color w:val="auto"/>
              <w:highlight w:val="none"/>
            </w:rPr>
            <w:fldChar w:fldCharType="separate"/>
          </w:r>
          <w:r>
            <w:rPr>
              <w:rFonts w:hint="eastAsia" w:ascii="宋体" w:hAnsi="宋体" w:cs="宋体"/>
              <w:snapToGrid w:val="0"/>
              <w:color w:val="auto"/>
              <w:kern w:val="28"/>
              <w:szCs w:val="28"/>
              <w:highlight w:val="none"/>
            </w:rPr>
            <w:t>六、中选人须承担的相关费用</w:t>
          </w:r>
          <w:r>
            <w:rPr>
              <w:color w:val="auto"/>
              <w:highlight w:val="none"/>
            </w:rPr>
            <w:tab/>
          </w:r>
          <w:r>
            <w:rPr>
              <w:color w:val="auto"/>
              <w:highlight w:val="none"/>
            </w:rPr>
            <w:fldChar w:fldCharType="begin"/>
          </w:r>
          <w:r>
            <w:rPr>
              <w:color w:val="auto"/>
              <w:highlight w:val="none"/>
            </w:rPr>
            <w:instrText xml:space="preserve"> PAGEREF _Toc19357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20"/>
            <w:tabs>
              <w:tab w:val="right" w:leader="dot" w:pos="8505"/>
            </w:tabs>
            <w:rPr>
              <w:color w:val="auto"/>
              <w:highlight w:val="none"/>
            </w:rPr>
          </w:pPr>
          <w:r>
            <w:rPr>
              <w:color w:val="auto"/>
              <w:highlight w:val="none"/>
            </w:rPr>
            <w:fldChar w:fldCharType="begin"/>
          </w:r>
          <w:r>
            <w:rPr>
              <w:color w:val="auto"/>
              <w:highlight w:val="none"/>
            </w:rPr>
            <w:instrText xml:space="preserve"> HYPERLINK \l _Toc15505 </w:instrText>
          </w:r>
          <w:r>
            <w:rPr>
              <w:color w:val="auto"/>
              <w:highlight w:val="none"/>
            </w:rPr>
            <w:fldChar w:fldCharType="separate"/>
          </w:r>
          <w:r>
            <w:rPr>
              <w:rFonts w:hint="eastAsia" w:ascii="宋体" w:hAnsi="宋体" w:cs="宋体"/>
              <w:snapToGrid w:val="0"/>
              <w:color w:val="auto"/>
              <w:kern w:val="28"/>
              <w:szCs w:val="28"/>
              <w:highlight w:val="none"/>
            </w:rPr>
            <w:t>七、采购文件的修改、补充和联系方式</w:t>
          </w:r>
          <w:r>
            <w:rPr>
              <w:color w:val="auto"/>
              <w:highlight w:val="none"/>
            </w:rPr>
            <w:tab/>
          </w:r>
          <w:r>
            <w:rPr>
              <w:color w:val="auto"/>
              <w:highlight w:val="none"/>
            </w:rPr>
            <w:fldChar w:fldCharType="begin"/>
          </w:r>
          <w:r>
            <w:rPr>
              <w:color w:val="auto"/>
              <w:highlight w:val="none"/>
            </w:rPr>
            <w:instrText xml:space="preserve"> PAGEREF _Toc15505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20"/>
            <w:tabs>
              <w:tab w:val="right" w:leader="dot" w:pos="8505"/>
            </w:tabs>
            <w:rPr>
              <w:color w:val="auto"/>
              <w:highlight w:val="none"/>
            </w:rPr>
          </w:pPr>
          <w:r>
            <w:rPr>
              <w:color w:val="auto"/>
              <w:highlight w:val="none"/>
            </w:rPr>
            <w:fldChar w:fldCharType="begin"/>
          </w:r>
          <w:r>
            <w:rPr>
              <w:color w:val="auto"/>
              <w:highlight w:val="none"/>
            </w:rPr>
            <w:instrText xml:space="preserve"> HYPERLINK \l _Toc8282 </w:instrText>
          </w:r>
          <w:r>
            <w:rPr>
              <w:color w:val="auto"/>
              <w:highlight w:val="none"/>
            </w:rPr>
            <w:fldChar w:fldCharType="separate"/>
          </w:r>
          <w:r>
            <w:rPr>
              <w:rFonts w:hint="eastAsia" w:ascii="宋体" w:hAnsi="宋体" w:cs="宋体"/>
              <w:snapToGrid w:val="0"/>
              <w:color w:val="auto"/>
              <w:kern w:val="28"/>
              <w:szCs w:val="28"/>
              <w:highlight w:val="none"/>
            </w:rPr>
            <w:t>八、其他事项</w:t>
          </w:r>
          <w:r>
            <w:rPr>
              <w:color w:val="auto"/>
              <w:highlight w:val="none"/>
            </w:rPr>
            <w:tab/>
          </w:r>
          <w:r>
            <w:rPr>
              <w:color w:val="auto"/>
              <w:highlight w:val="none"/>
            </w:rPr>
            <w:fldChar w:fldCharType="begin"/>
          </w:r>
          <w:r>
            <w:rPr>
              <w:color w:val="auto"/>
              <w:highlight w:val="none"/>
            </w:rPr>
            <w:instrText xml:space="preserve"> PAGEREF _Toc8282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20"/>
            <w:tabs>
              <w:tab w:val="right" w:leader="dot" w:pos="8505"/>
            </w:tabs>
            <w:rPr>
              <w:color w:val="auto"/>
              <w:highlight w:val="none"/>
            </w:rPr>
          </w:pPr>
          <w:r>
            <w:rPr>
              <w:color w:val="auto"/>
              <w:highlight w:val="none"/>
            </w:rPr>
            <w:fldChar w:fldCharType="begin"/>
          </w:r>
          <w:r>
            <w:rPr>
              <w:color w:val="auto"/>
              <w:highlight w:val="none"/>
            </w:rPr>
            <w:instrText xml:space="preserve"> HYPERLINK \l _Toc26179 </w:instrText>
          </w:r>
          <w:r>
            <w:rPr>
              <w:color w:val="auto"/>
              <w:highlight w:val="none"/>
            </w:rPr>
            <w:fldChar w:fldCharType="separate"/>
          </w:r>
          <w:r>
            <w:rPr>
              <w:rFonts w:hint="eastAsia" w:ascii="宋体" w:hAnsi="宋体"/>
              <w:bCs/>
              <w:color w:val="auto"/>
              <w:highlight w:val="none"/>
            </w:rPr>
            <w:t>附件一 技术规范书</w:t>
          </w:r>
          <w:r>
            <w:rPr>
              <w:color w:val="auto"/>
              <w:highlight w:val="none"/>
            </w:rPr>
            <w:tab/>
          </w:r>
          <w:r>
            <w:rPr>
              <w:color w:val="auto"/>
              <w:highlight w:val="none"/>
            </w:rPr>
            <w:fldChar w:fldCharType="begin"/>
          </w:r>
          <w:r>
            <w:rPr>
              <w:color w:val="auto"/>
              <w:highlight w:val="none"/>
            </w:rPr>
            <w:instrText xml:space="preserve"> PAGEREF _Toc26179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20"/>
            <w:tabs>
              <w:tab w:val="right" w:leader="dot" w:pos="8505"/>
            </w:tabs>
            <w:rPr>
              <w:color w:val="auto"/>
              <w:highlight w:val="none"/>
            </w:rPr>
          </w:pPr>
          <w:r>
            <w:rPr>
              <w:color w:val="auto"/>
              <w:highlight w:val="none"/>
            </w:rPr>
            <w:fldChar w:fldCharType="begin"/>
          </w:r>
          <w:r>
            <w:rPr>
              <w:color w:val="auto"/>
              <w:highlight w:val="none"/>
            </w:rPr>
            <w:instrText xml:space="preserve"> HYPERLINK \l _Toc16680 </w:instrText>
          </w:r>
          <w:r>
            <w:rPr>
              <w:color w:val="auto"/>
              <w:highlight w:val="none"/>
            </w:rPr>
            <w:fldChar w:fldCharType="separate"/>
          </w:r>
          <w:r>
            <w:rPr>
              <w:rFonts w:hint="eastAsia" w:ascii="宋体" w:hAnsi="宋体"/>
              <w:bCs/>
              <w:color w:val="auto"/>
              <w:highlight w:val="none"/>
            </w:rPr>
            <w:t>附件二 合同模板</w:t>
          </w:r>
          <w:r>
            <w:rPr>
              <w:color w:val="auto"/>
              <w:highlight w:val="none"/>
            </w:rPr>
            <w:tab/>
          </w:r>
          <w:r>
            <w:rPr>
              <w:color w:val="auto"/>
              <w:highlight w:val="none"/>
            </w:rPr>
            <w:fldChar w:fldCharType="begin"/>
          </w:r>
          <w:r>
            <w:rPr>
              <w:color w:val="auto"/>
              <w:highlight w:val="none"/>
            </w:rPr>
            <w:instrText xml:space="preserve"> PAGEREF _Toc16680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0"/>
            <w:tabs>
              <w:tab w:val="right" w:leader="dot" w:pos="8505"/>
            </w:tabs>
            <w:rPr>
              <w:color w:val="auto"/>
              <w:highlight w:val="none"/>
            </w:rPr>
          </w:pPr>
          <w:r>
            <w:rPr>
              <w:color w:val="auto"/>
              <w:highlight w:val="none"/>
            </w:rPr>
            <w:fldChar w:fldCharType="begin"/>
          </w:r>
          <w:r>
            <w:rPr>
              <w:color w:val="auto"/>
              <w:highlight w:val="none"/>
            </w:rPr>
            <w:instrText xml:space="preserve"> HYPERLINK \l _Toc26953 </w:instrText>
          </w:r>
          <w:r>
            <w:rPr>
              <w:color w:val="auto"/>
              <w:highlight w:val="none"/>
            </w:rPr>
            <w:fldChar w:fldCharType="separate"/>
          </w:r>
          <w:r>
            <w:rPr>
              <w:rFonts w:hint="eastAsia" w:ascii="宋体" w:hAnsi="宋体"/>
              <w:bCs/>
              <w:color w:val="auto"/>
              <w:highlight w:val="none"/>
            </w:rPr>
            <w:t>附件三 响应文件商务部分模板</w:t>
          </w:r>
          <w:r>
            <w:rPr>
              <w:color w:val="auto"/>
              <w:highlight w:val="none"/>
            </w:rPr>
            <w:tab/>
          </w:r>
          <w:r>
            <w:rPr>
              <w:color w:val="auto"/>
              <w:highlight w:val="none"/>
            </w:rPr>
            <w:fldChar w:fldCharType="begin"/>
          </w:r>
          <w:r>
            <w:rPr>
              <w:color w:val="auto"/>
              <w:highlight w:val="none"/>
            </w:rPr>
            <w:instrText xml:space="preserve"> PAGEREF _Toc26953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20"/>
            <w:tabs>
              <w:tab w:val="right" w:leader="dot" w:pos="8505"/>
            </w:tabs>
            <w:rPr>
              <w:color w:val="auto"/>
              <w:highlight w:val="none"/>
            </w:rPr>
          </w:pPr>
          <w:r>
            <w:rPr>
              <w:color w:val="auto"/>
              <w:highlight w:val="none"/>
            </w:rPr>
            <w:fldChar w:fldCharType="begin"/>
          </w:r>
          <w:r>
            <w:rPr>
              <w:color w:val="auto"/>
              <w:highlight w:val="none"/>
            </w:rPr>
            <w:instrText xml:space="preserve"> HYPERLINK \l _Toc19046 </w:instrText>
          </w:r>
          <w:r>
            <w:rPr>
              <w:color w:val="auto"/>
              <w:highlight w:val="none"/>
            </w:rPr>
            <w:fldChar w:fldCharType="separate"/>
          </w:r>
          <w:r>
            <w:rPr>
              <w:rFonts w:hint="eastAsia" w:ascii="宋体" w:hAnsi="宋体"/>
              <w:bCs/>
              <w:color w:val="auto"/>
              <w:highlight w:val="none"/>
            </w:rPr>
            <w:t>附件四 响应文件技术部分模板</w:t>
          </w:r>
          <w:r>
            <w:rPr>
              <w:color w:val="auto"/>
              <w:highlight w:val="none"/>
            </w:rPr>
            <w:tab/>
          </w:r>
          <w:r>
            <w:rPr>
              <w:color w:val="auto"/>
              <w:highlight w:val="none"/>
            </w:rPr>
            <w:fldChar w:fldCharType="begin"/>
          </w:r>
          <w:r>
            <w:rPr>
              <w:color w:val="auto"/>
              <w:highlight w:val="none"/>
            </w:rPr>
            <w:instrText xml:space="preserve"> PAGEREF _Toc19046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pPr>
            <w:rPr>
              <w:color w:val="auto"/>
              <w:highlight w:val="none"/>
            </w:rPr>
          </w:pPr>
          <w:r>
            <w:rPr>
              <w:color w:val="auto"/>
              <w:highlight w:val="none"/>
            </w:rPr>
            <w:fldChar w:fldCharType="end"/>
          </w:r>
        </w:p>
      </w:sdtContent>
    </w:sdt>
    <w:p>
      <w:pPr>
        <w:pStyle w:val="10"/>
        <w:rPr>
          <w:color w:val="auto"/>
          <w:highlight w:val="none"/>
        </w:rPr>
      </w:pPr>
    </w:p>
    <w:p>
      <w:pPr>
        <w:pStyle w:val="10"/>
        <w:rPr>
          <w:color w:val="auto"/>
          <w:highlight w:val="none"/>
        </w:rPr>
      </w:pPr>
      <w:r>
        <w:rPr>
          <w:color w:val="auto"/>
          <w:highlight w:val="none"/>
        </w:rPr>
        <w:br w:type="page"/>
      </w:r>
      <w:bookmarkStart w:id="245" w:name="_GoBack"/>
      <w:bookmarkEnd w:id="245"/>
    </w:p>
    <w:p>
      <w:pPr>
        <w:adjustRightInd w:val="0"/>
        <w:snapToGrid w:val="0"/>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2022年工信部数据字典项目TC220807A电力设备数据字典测试床的算法训练和测试设备公开询价采购公告</w:t>
      </w:r>
    </w:p>
    <w:p>
      <w:pPr>
        <w:snapToGrid w:val="0"/>
        <w:jc w:val="center"/>
        <w:rPr>
          <w:rFonts w:ascii="宋体" w:hAnsi="宋体"/>
          <w:b/>
          <w:bCs/>
          <w:color w:val="auto"/>
          <w:sz w:val="18"/>
          <w:szCs w:val="18"/>
          <w:highlight w:val="none"/>
        </w:rPr>
      </w:pPr>
    </w:p>
    <w:p>
      <w:pPr>
        <w:spacing w:line="360" w:lineRule="auto"/>
        <w:ind w:firstLine="480" w:firstLineChars="200"/>
        <w:jc w:val="left"/>
        <w:rPr>
          <w:rFonts w:ascii="宋体" w:hAnsi="宋体"/>
          <w:snapToGrid w:val="0"/>
          <w:color w:val="auto"/>
          <w:kern w:val="28"/>
          <w:sz w:val="24"/>
          <w:szCs w:val="28"/>
          <w:highlight w:val="none"/>
          <w:lang w:val="zh-CN"/>
        </w:rPr>
      </w:pPr>
      <w:r>
        <w:rPr>
          <w:rFonts w:hint="eastAsia" w:ascii="宋体" w:hAnsi="宋体"/>
          <w:snapToGrid w:val="0"/>
          <w:color w:val="auto"/>
          <w:kern w:val="28"/>
          <w:sz w:val="24"/>
          <w:szCs w:val="28"/>
          <w:highlight w:val="none"/>
          <w:lang w:val="zh-CN"/>
        </w:rPr>
        <w:t>本次报价通过国家电投电子商务平台进行电子报价，响应文件盖章后以附件文件上传。报价系统中的报价总价应与响应文件中报价价格总额保持一致。</w:t>
      </w:r>
    </w:p>
    <w:p>
      <w:pPr>
        <w:spacing w:line="360" w:lineRule="auto"/>
        <w:jc w:val="left"/>
        <w:rPr>
          <w:rFonts w:ascii="宋体" w:hAnsi="宋体"/>
          <w:color w:val="auto"/>
          <w:sz w:val="24"/>
          <w:highlight w:val="none"/>
        </w:rPr>
      </w:pPr>
      <w:r>
        <w:rPr>
          <w:rFonts w:hint="eastAsia" w:ascii="宋体" w:hAnsi="宋体"/>
          <w:snapToGrid w:val="0"/>
          <w:color w:val="auto"/>
          <w:kern w:val="28"/>
          <w:sz w:val="24"/>
          <w:szCs w:val="28"/>
          <w:highlight w:val="none"/>
        </w:rPr>
        <w:t xml:space="preserve">   </w:t>
      </w:r>
      <w:r>
        <w:rPr>
          <w:rFonts w:ascii="宋体" w:hAnsi="宋体"/>
          <w:snapToGrid w:val="0"/>
          <w:color w:val="auto"/>
          <w:kern w:val="28"/>
          <w:sz w:val="24"/>
          <w:szCs w:val="28"/>
          <w:highlight w:val="none"/>
        </w:rPr>
        <w:t xml:space="preserve"> </w:t>
      </w:r>
      <w:r>
        <w:rPr>
          <w:rFonts w:hint="eastAsia" w:ascii="宋体" w:hAnsi="宋体"/>
          <w:b/>
          <w:bCs/>
          <w:color w:val="auto"/>
          <w:sz w:val="24"/>
          <w:highlight w:val="none"/>
        </w:rPr>
        <w:t>国家电投集团数字科技有限公司</w:t>
      </w:r>
      <w:r>
        <w:rPr>
          <w:rFonts w:hint="eastAsia" w:ascii="宋体" w:hAnsi="宋体"/>
          <w:snapToGrid w:val="0"/>
          <w:color w:val="auto"/>
          <w:kern w:val="28"/>
          <w:sz w:val="24"/>
          <w:szCs w:val="28"/>
          <w:highlight w:val="none"/>
        </w:rPr>
        <w:t>就</w:t>
      </w:r>
      <w:r>
        <w:rPr>
          <w:rFonts w:hint="eastAsia" w:ascii="宋体" w:hAnsi="宋体"/>
          <w:b/>
          <w:bCs/>
          <w:color w:val="auto"/>
          <w:sz w:val="24"/>
          <w:highlight w:val="none"/>
          <w:u w:val="single"/>
        </w:rPr>
        <w:t xml:space="preserve"> 2022年工信部数据字典项目TC220807A电力设备数据字典测试床的算法训练和测试设备</w:t>
      </w:r>
      <w:r>
        <w:rPr>
          <w:rFonts w:ascii="宋体" w:hAnsi="宋体"/>
          <w:b/>
          <w:bCs/>
          <w:color w:val="auto"/>
          <w:sz w:val="24"/>
          <w:highlight w:val="none"/>
          <w:u w:val="single"/>
        </w:rPr>
        <w:t xml:space="preserve">  </w:t>
      </w:r>
      <w:r>
        <w:rPr>
          <w:rFonts w:hint="eastAsia" w:ascii="宋体" w:hAnsi="宋体"/>
          <w:color w:val="auto"/>
          <w:sz w:val="24"/>
          <w:highlight w:val="none"/>
        </w:rPr>
        <w:t>采购进行公开询价，欢迎前来报价。报价单位请于</w:t>
      </w:r>
      <w:r>
        <w:rPr>
          <w:rFonts w:hint="eastAsia" w:ascii="宋体" w:hAnsi="宋体"/>
          <w:b/>
          <w:bCs/>
          <w:snapToGrid w:val="0"/>
          <w:color w:val="auto"/>
          <w:kern w:val="28"/>
          <w:sz w:val="24"/>
          <w:szCs w:val="28"/>
          <w:highlight w:val="none"/>
          <w:lang w:val="zh-CN"/>
        </w:rPr>
        <w:t>国家电投电子商务平台</w:t>
      </w:r>
      <w:r>
        <w:rPr>
          <w:rFonts w:hint="eastAsia" w:ascii="宋体" w:hAnsi="宋体" w:cs="宋体"/>
          <w:b/>
          <w:color w:val="auto"/>
          <w:kern w:val="0"/>
          <w:sz w:val="24"/>
          <w:highlight w:val="none"/>
          <w:lang w:val="zh-CN"/>
        </w:rPr>
        <w:t>显示报价截止时间</w:t>
      </w:r>
      <w:r>
        <w:rPr>
          <w:rFonts w:hint="eastAsia" w:ascii="宋体" w:hAnsi="宋体"/>
          <w:color w:val="auto"/>
          <w:sz w:val="24"/>
          <w:highlight w:val="none"/>
        </w:rPr>
        <w:t>前进行报价</w:t>
      </w:r>
      <w:r>
        <w:rPr>
          <w:rFonts w:hint="eastAsia" w:ascii="宋体" w:hAnsi="宋体"/>
          <w:bCs/>
          <w:color w:val="auto"/>
          <w:sz w:val="24"/>
          <w:highlight w:val="none"/>
        </w:rPr>
        <w:t>。</w:t>
      </w:r>
      <w:r>
        <w:rPr>
          <w:rFonts w:hint="eastAsia" w:ascii="宋体" w:hAnsi="宋体" w:cs="宋体"/>
          <w:snapToGrid w:val="0"/>
          <w:color w:val="auto"/>
          <w:kern w:val="28"/>
          <w:sz w:val="24"/>
          <w:szCs w:val="28"/>
          <w:highlight w:val="none"/>
        </w:rPr>
        <w:t>具体</w:t>
      </w:r>
      <w:r>
        <w:rPr>
          <w:rFonts w:hint="eastAsia" w:ascii="宋体" w:hAnsi="宋体"/>
          <w:snapToGrid w:val="0"/>
          <w:color w:val="auto"/>
          <w:kern w:val="28"/>
          <w:sz w:val="24"/>
          <w:szCs w:val="28"/>
          <w:highlight w:val="none"/>
        </w:rPr>
        <w:t>询价内容如下：</w:t>
      </w:r>
    </w:p>
    <w:p>
      <w:pPr>
        <w:widowControl/>
        <w:tabs>
          <w:tab w:val="left" w:pos="420"/>
        </w:tabs>
        <w:adjustRightInd w:val="0"/>
        <w:spacing w:line="360" w:lineRule="auto"/>
        <w:ind w:left="420" w:hanging="420"/>
        <w:jc w:val="left"/>
        <w:outlineLvl w:val="0"/>
        <w:rPr>
          <w:rFonts w:ascii="宋体" w:hAnsi="宋体"/>
          <w:b/>
          <w:snapToGrid w:val="0"/>
          <w:color w:val="auto"/>
          <w:kern w:val="28"/>
          <w:sz w:val="24"/>
          <w:szCs w:val="28"/>
          <w:highlight w:val="none"/>
        </w:rPr>
      </w:pPr>
      <w:bookmarkStart w:id="0" w:name="_Toc23778"/>
      <w:bookmarkStart w:id="1" w:name="_Toc8227"/>
      <w:bookmarkStart w:id="2" w:name="_Toc13512"/>
      <w:bookmarkStart w:id="3" w:name="_Toc11353"/>
      <w:bookmarkStart w:id="4" w:name="_Toc133413395"/>
      <w:bookmarkStart w:id="5" w:name="_Toc23261"/>
      <w:bookmarkStart w:id="6" w:name="_Toc28038"/>
      <w:bookmarkStart w:id="7" w:name="_Toc8739"/>
      <w:bookmarkStart w:id="8" w:name="_Toc24957"/>
      <w:bookmarkStart w:id="9" w:name="_Toc2803"/>
      <w:r>
        <w:rPr>
          <w:rFonts w:hint="eastAsia" w:ascii="宋体" w:hAnsi="宋体"/>
          <w:b/>
          <w:snapToGrid w:val="0"/>
          <w:color w:val="auto"/>
          <w:kern w:val="28"/>
          <w:sz w:val="24"/>
          <w:szCs w:val="28"/>
          <w:highlight w:val="none"/>
        </w:rPr>
        <w:t>一、询价内容及要求</w:t>
      </w:r>
      <w:bookmarkEnd w:id="0"/>
      <w:bookmarkEnd w:id="1"/>
      <w:bookmarkEnd w:id="2"/>
      <w:bookmarkEnd w:id="3"/>
      <w:bookmarkEnd w:id="4"/>
      <w:bookmarkEnd w:id="5"/>
      <w:bookmarkEnd w:id="6"/>
      <w:bookmarkEnd w:id="7"/>
      <w:bookmarkEnd w:id="8"/>
      <w:bookmarkEnd w:id="9"/>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
        <w:gridCol w:w="2519"/>
        <w:gridCol w:w="1004"/>
        <w:gridCol w:w="1527"/>
        <w:gridCol w:w="3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highlight w:val="none"/>
              </w:rPr>
            </w:pPr>
            <w:r>
              <w:rPr>
                <w:rFonts w:hint="eastAsia" w:ascii="宋体" w:hAnsi="宋体"/>
                <w:b/>
                <w:color w:val="auto"/>
                <w:szCs w:val="21"/>
                <w:highlight w:val="none"/>
              </w:rPr>
              <w:t>序号</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highlight w:val="none"/>
              </w:rPr>
            </w:pPr>
            <w:r>
              <w:rPr>
                <w:rFonts w:hint="eastAsia" w:ascii="宋体" w:hAnsi="宋体"/>
                <w:b/>
                <w:color w:val="auto"/>
                <w:szCs w:val="21"/>
                <w:highlight w:val="none"/>
              </w:rPr>
              <w:t>项目名称</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color w:val="auto"/>
                <w:szCs w:val="21"/>
                <w:highlight w:val="none"/>
              </w:rPr>
            </w:pPr>
            <w:r>
              <w:rPr>
                <w:rFonts w:hint="eastAsia" w:ascii="宋体" w:hAnsi="宋体"/>
                <w:b/>
                <w:color w:val="auto"/>
                <w:szCs w:val="21"/>
                <w:highlight w:val="none"/>
                <w:lang w:bidi="ar"/>
              </w:rPr>
              <w:t>采购内容</w:t>
            </w:r>
          </w:p>
        </w:tc>
        <w:tc>
          <w:tcPr>
            <w:tcW w:w="15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color w:val="auto"/>
                <w:szCs w:val="21"/>
                <w:highlight w:val="none"/>
              </w:rPr>
            </w:pPr>
            <w:r>
              <w:rPr>
                <w:rFonts w:hint="eastAsia" w:ascii="宋体" w:hAnsi="宋体"/>
                <w:b/>
                <w:color w:val="auto"/>
                <w:szCs w:val="21"/>
                <w:highlight w:val="none"/>
                <w:lang w:bidi="ar"/>
              </w:rPr>
              <w:t>交货期</w:t>
            </w:r>
          </w:p>
        </w:tc>
        <w:tc>
          <w:tcPr>
            <w:tcW w:w="31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color w:val="auto"/>
                <w:szCs w:val="21"/>
                <w:highlight w:val="none"/>
              </w:rPr>
            </w:pPr>
            <w:r>
              <w:rPr>
                <w:rFonts w:hint="eastAsia" w:ascii="宋体" w:hAnsi="宋体"/>
                <w:b/>
                <w:color w:val="auto"/>
                <w:szCs w:val="21"/>
                <w:highlight w:val="none"/>
                <w:lang w:bidi="ar"/>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olor w:val="auto"/>
                <w:szCs w:val="21"/>
                <w:highlight w:val="none"/>
              </w:rPr>
            </w:pPr>
            <w:r>
              <w:rPr>
                <w:rFonts w:ascii="宋体" w:hAnsi="宋体"/>
                <w:b w:val="0"/>
                <w:color w:val="auto"/>
                <w:sz w:val="21"/>
                <w:szCs w:val="21"/>
                <w:highlight w:val="none"/>
              </w:rPr>
              <w:t>TC220807A电力设备数据字典测试床的算法训练和测试设备</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台</w:t>
            </w:r>
            <w:r>
              <w:rPr>
                <w:rFonts w:hint="eastAsia" w:ascii="宋体" w:hAnsi="宋体" w:eastAsia="宋体"/>
                <w:color w:val="auto"/>
                <w:sz w:val="21"/>
                <w:szCs w:val="21"/>
                <w:highlight w:val="none"/>
              </w:rPr>
              <w:t>塔式工作站</w:t>
            </w:r>
            <w:r>
              <w:rPr>
                <w:rFonts w:hint="eastAsia" w:ascii="宋体" w:hAnsi="宋体"/>
                <w:color w:val="auto"/>
                <w:szCs w:val="21"/>
                <w:highlight w:val="none"/>
              </w:rPr>
              <w:t>。</w:t>
            </w:r>
          </w:p>
        </w:tc>
        <w:tc>
          <w:tcPr>
            <w:tcW w:w="152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合同签订后的1个月之内完成全部供货</w:t>
            </w:r>
          </w:p>
        </w:tc>
        <w:tc>
          <w:tcPr>
            <w:tcW w:w="31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olor w:val="auto"/>
                <w:szCs w:val="21"/>
                <w:highlight w:val="none"/>
              </w:rPr>
            </w:pPr>
            <w:r>
              <w:rPr>
                <w:rFonts w:hint="eastAsia" w:ascii="宋体" w:hAnsi="宋体"/>
                <w:color w:val="auto"/>
                <w:szCs w:val="21"/>
                <w:highlight w:val="none"/>
                <w:lang w:val="zh-CN"/>
              </w:rPr>
              <w:t>北京市昌平区北七家镇北七家东路9号院国家电投院内C座，国家电投集团数字科技有限公司</w:t>
            </w:r>
          </w:p>
        </w:tc>
      </w:tr>
    </w:tbl>
    <w:p>
      <w:pPr>
        <w:pStyle w:val="10"/>
        <w:rPr>
          <w:color w:val="auto"/>
          <w:highlight w:val="none"/>
        </w:rPr>
      </w:pPr>
    </w:p>
    <w:p>
      <w:pPr>
        <w:widowControl/>
        <w:tabs>
          <w:tab w:val="left" w:pos="420"/>
        </w:tabs>
        <w:adjustRightInd w:val="0"/>
        <w:spacing w:line="360" w:lineRule="auto"/>
        <w:ind w:left="420" w:hanging="420"/>
        <w:jc w:val="left"/>
        <w:outlineLvl w:val="0"/>
        <w:rPr>
          <w:rFonts w:ascii="宋体" w:hAnsi="宋体"/>
          <w:b/>
          <w:snapToGrid w:val="0"/>
          <w:color w:val="auto"/>
          <w:kern w:val="28"/>
          <w:sz w:val="24"/>
          <w:szCs w:val="28"/>
          <w:highlight w:val="none"/>
        </w:rPr>
      </w:pPr>
      <w:bookmarkStart w:id="10" w:name="_Toc24759"/>
      <w:bookmarkStart w:id="11" w:name="_Toc1516"/>
      <w:bookmarkStart w:id="12" w:name="_Toc2011"/>
      <w:bookmarkStart w:id="13" w:name="_Toc32012"/>
      <w:bookmarkStart w:id="14" w:name="_Toc133413396"/>
      <w:bookmarkStart w:id="15" w:name="_Toc633"/>
      <w:bookmarkStart w:id="16" w:name="_Toc14541"/>
      <w:bookmarkStart w:id="17" w:name="_Toc30177"/>
      <w:bookmarkStart w:id="18" w:name="_Toc16823"/>
      <w:bookmarkStart w:id="19" w:name="_Toc191"/>
      <w:r>
        <w:rPr>
          <w:rFonts w:hint="eastAsia" w:ascii="宋体" w:hAnsi="宋体"/>
          <w:b/>
          <w:snapToGrid w:val="0"/>
          <w:color w:val="auto"/>
          <w:kern w:val="28"/>
          <w:sz w:val="24"/>
          <w:szCs w:val="28"/>
          <w:highlight w:val="none"/>
        </w:rPr>
        <w:t>二、报价供应商资格要求</w:t>
      </w:r>
      <w:bookmarkEnd w:id="10"/>
      <w:bookmarkEnd w:id="11"/>
      <w:bookmarkEnd w:id="12"/>
      <w:bookmarkEnd w:id="13"/>
      <w:bookmarkEnd w:id="14"/>
      <w:bookmarkEnd w:id="15"/>
      <w:bookmarkEnd w:id="16"/>
      <w:bookmarkEnd w:id="17"/>
      <w:bookmarkEnd w:id="18"/>
      <w:bookmarkEnd w:id="19"/>
    </w:p>
    <w:p>
      <w:pPr>
        <w:spacing w:line="360" w:lineRule="auto"/>
        <w:ind w:firstLine="482" w:firstLineChars="200"/>
        <w:jc w:val="left"/>
        <w:rPr>
          <w:rFonts w:ascii="宋体" w:hAnsi="宋体" w:cs="宋体"/>
          <w:b/>
          <w:bCs/>
          <w:snapToGrid w:val="0"/>
          <w:color w:val="auto"/>
          <w:kern w:val="28"/>
          <w:sz w:val="24"/>
          <w:highlight w:val="none"/>
          <w:lang w:val="zh-CN"/>
        </w:rPr>
      </w:pPr>
      <w:r>
        <w:rPr>
          <w:rFonts w:ascii="宋体" w:hAnsi="宋体" w:cs="宋体"/>
          <w:b/>
          <w:bCs/>
          <w:snapToGrid w:val="0"/>
          <w:color w:val="auto"/>
          <w:kern w:val="28"/>
          <w:sz w:val="24"/>
          <w:highlight w:val="none"/>
          <w:lang w:val="zh-CN"/>
        </w:rPr>
        <w:t>1</w:t>
      </w:r>
      <w:r>
        <w:rPr>
          <w:rFonts w:hint="eastAsia" w:ascii="宋体" w:hAnsi="宋体" w:cs="宋体"/>
          <w:b/>
          <w:bCs/>
          <w:snapToGrid w:val="0"/>
          <w:color w:val="auto"/>
          <w:kern w:val="28"/>
          <w:sz w:val="24"/>
          <w:highlight w:val="none"/>
          <w:lang w:val="zh-CN"/>
        </w:rPr>
        <w:t>、基本资格要求</w:t>
      </w:r>
    </w:p>
    <w:p>
      <w:pPr>
        <w:spacing w:line="360" w:lineRule="auto"/>
        <w:ind w:firstLine="480" w:firstLineChars="200"/>
        <w:jc w:val="left"/>
        <w:rPr>
          <w:rFonts w:ascii="宋体" w:hAnsi="宋体" w:cs="宋体"/>
          <w:snapToGrid w:val="0"/>
          <w:color w:val="auto"/>
          <w:kern w:val="28"/>
          <w:sz w:val="24"/>
          <w:highlight w:val="none"/>
          <w:lang w:val="zh-CN"/>
        </w:rPr>
      </w:pPr>
      <w:r>
        <w:rPr>
          <w:rFonts w:hint="eastAsia" w:ascii="宋体" w:hAnsi="宋体" w:cs="宋体"/>
          <w:snapToGrid w:val="0"/>
          <w:color w:val="auto"/>
          <w:kern w:val="28"/>
          <w:sz w:val="24"/>
          <w:highlight w:val="none"/>
          <w:lang w:val="zh-CN"/>
        </w:rPr>
        <w:t>（</w:t>
      </w:r>
      <w:r>
        <w:rPr>
          <w:rFonts w:ascii="宋体" w:hAnsi="宋体" w:cs="宋体"/>
          <w:snapToGrid w:val="0"/>
          <w:color w:val="auto"/>
          <w:kern w:val="28"/>
          <w:sz w:val="24"/>
          <w:highlight w:val="none"/>
          <w:lang w:val="zh-CN"/>
        </w:rPr>
        <w:t>1</w:t>
      </w:r>
      <w:r>
        <w:rPr>
          <w:rFonts w:hint="eastAsia" w:ascii="宋体" w:hAnsi="宋体" w:cs="宋体"/>
          <w:snapToGrid w:val="0"/>
          <w:color w:val="auto"/>
          <w:kern w:val="28"/>
          <w:sz w:val="24"/>
          <w:highlight w:val="none"/>
          <w:lang w:val="zh-CN"/>
        </w:rPr>
        <w:t>）供应商应为中国境内注册机构，具有独立法人资格,能独立承担民事责任和合同履行能力。</w:t>
      </w:r>
    </w:p>
    <w:p>
      <w:pPr>
        <w:spacing w:line="360" w:lineRule="auto"/>
        <w:ind w:firstLine="480" w:firstLineChars="200"/>
        <w:jc w:val="left"/>
        <w:rPr>
          <w:rFonts w:ascii="宋体" w:hAnsi="宋体" w:cs="宋体"/>
          <w:snapToGrid w:val="0"/>
          <w:color w:val="auto"/>
          <w:kern w:val="28"/>
          <w:sz w:val="24"/>
          <w:highlight w:val="none"/>
          <w:lang w:val="zh-CN"/>
        </w:rPr>
      </w:pPr>
      <w:r>
        <w:rPr>
          <w:rFonts w:hint="eastAsia" w:ascii="宋体" w:hAnsi="宋体" w:cs="宋体"/>
          <w:snapToGrid w:val="0"/>
          <w:color w:val="auto"/>
          <w:kern w:val="28"/>
          <w:sz w:val="24"/>
          <w:highlight w:val="none"/>
          <w:lang w:val="zh-CN"/>
        </w:rPr>
        <w:t>（</w:t>
      </w:r>
      <w:r>
        <w:rPr>
          <w:rFonts w:ascii="宋体" w:hAnsi="宋体" w:cs="宋体"/>
          <w:snapToGrid w:val="0"/>
          <w:color w:val="auto"/>
          <w:kern w:val="28"/>
          <w:sz w:val="24"/>
          <w:highlight w:val="none"/>
          <w:lang w:val="zh-CN"/>
        </w:rPr>
        <w:t>2</w:t>
      </w:r>
      <w:r>
        <w:rPr>
          <w:rFonts w:hint="eastAsia" w:ascii="宋体" w:hAnsi="宋体" w:cs="宋体"/>
          <w:snapToGrid w:val="0"/>
          <w:color w:val="auto"/>
          <w:kern w:val="28"/>
          <w:sz w:val="24"/>
          <w:highlight w:val="none"/>
          <w:lang w:val="zh-CN"/>
        </w:rPr>
        <w:t>）供应商没有处于被责令停业，财产被接管、冻结及破产状态。</w:t>
      </w:r>
    </w:p>
    <w:p>
      <w:pPr>
        <w:spacing w:line="360" w:lineRule="auto"/>
        <w:ind w:firstLine="480" w:firstLineChars="200"/>
        <w:jc w:val="left"/>
        <w:rPr>
          <w:rFonts w:ascii="宋体" w:hAnsi="宋体" w:cs="宋体"/>
          <w:snapToGrid w:val="0"/>
          <w:color w:val="auto"/>
          <w:kern w:val="28"/>
          <w:sz w:val="24"/>
          <w:highlight w:val="none"/>
          <w:lang w:val="zh-CN"/>
        </w:rPr>
      </w:pPr>
      <w:r>
        <w:rPr>
          <w:rFonts w:hint="eastAsia" w:ascii="宋体" w:hAnsi="宋体" w:cs="宋体"/>
          <w:snapToGrid w:val="0"/>
          <w:color w:val="auto"/>
          <w:kern w:val="28"/>
          <w:sz w:val="24"/>
          <w:highlight w:val="none"/>
          <w:lang w:val="zh-CN"/>
        </w:rPr>
        <w:t>（</w:t>
      </w:r>
      <w:r>
        <w:rPr>
          <w:rFonts w:ascii="宋体" w:hAnsi="宋体" w:cs="宋体"/>
          <w:snapToGrid w:val="0"/>
          <w:color w:val="auto"/>
          <w:kern w:val="28"/>
          <w:sz w:val="24"/>
          <w:highlight w:val="none"/>
          <w:lang w:val="zh-CN"/>
        </w:rPr>
        <w:t>3</w:t>
      </w:r>
      <w:r>
        <w:rPr>
          <w:rFonts w:hint="eastAsia" w:ascii="宋体" w:hAnsi="宋体" w:cs="宋体"/>
          <w:snapToGrid w:val="0"/>
          <w:color w:val="auto"/>
          <w:kern w:val="28"/>
          <w:sz w:val="24"/>
          <w:highlight w:val="none"/>
          <w:lang w:val="zh-CN"/>
        </w:rPr>
        <w:t>）供应商最近36个月内不存在骗取中选、严重违约及因自身的责任而使任何合同被解除的情况。</w:t>
      </w:r>
    </w:p>
    <w:p>
      <w:pPr>
        <w:spacing w:line="360" w:lineRule="auto"/>
        <w:ind w:firstLine="480" w:firstLineChars="200"/>
        <w:jc w:val="left"/>
        <w:rPr>
          <w:rFonts w:ascii="宋体" w:hAnsi="宋体" w:cs="宋体"/>
          <w:snapToGrid w:val="0"/>
          <w:color w:val="auto"/>
          <w:kern w:val="28"/>
          <w:sz w:val="24"/>
          <w:highlight w:val="none"/>
          <w:lang w:val="zh-CN"/>
        </w:rPr>
      </w:pPr>
      <w:r>
        <w:rPr>
          <w:rFonts w:hint="eastAsia" w:ascii="宋体" w:hAnsi="宋体" w:cs="宋体"/>
          <w:snapToGrid w:val="0"/>
          <w:color w:val="auto"/>
          <w:kern w:val="28"/>
          <w:sz w:val="24"/>
          <w:highlight w:val="none"/>
          <w:lang w:val="zh-CN"/>
        </w:rPr>
        <w:t>（</w:t>
      </w:r>
      <w:r>
        <w:rPr>
          <w:rFonts w:ascii="宋体" w:hAnsi="宋体" w:cs="宋体"/>
          <w:snapToGrid w:val="0"/>
          <w:color w:val="auto"/>
          <w:kern w:val="28"/>
          <w:sz w:val="24"/>
          <w:highlight w:val="none"/>
          <w:lang w:val="zh-CN"/>
        </w:rPr>
        <w:t>4</w:t>
      </w:r>
      <w:r>
        <w:rPr>
          <w:rFonts w:hint="eastAsia" w:ascii="宋体" w:hAnsi="宋体" w:cs="宋体"/>
          <w:snapToGrid w:val="0"/>
          <w:color w:val="auto"/>
          <w:kern w:val="28"/>
          <w:sz w:val="24"/>
          <w:highlight w:val="none"/>
          <w:lang w:val="zh-CN"/>
        </w:rPr>
        <w:t>）</w:t>
      </w:r>
      <w:r>
        <w:rPr>
          <w:rFonts w:hint="eastAsia" w:ascii="宋体" w:hAnsi="宋体" w:cs="宋体"/>
          <w:snapToGrid w:val="0"/>
          <w:color w:val="auto"/>
          <w:kern w:val="28"/>
          <w:sz w:val="24"/>
          <w:highlight w:val="none"/>
          <w:lang w:val="zh-CN"/>
        </w:rPr>
        <w:t>供应商应具有完善的质量管</w:t>
      </w:r>
      <w:r>
        <w:rPr>
          <w:rFonts w:ascii="宋体" w:hAnsi="宋体" w:cs="宋体"/>
          <w:snapToGrid w:val="0"/>
          <w:color w:val="auto"/>
          <w:kern w:val="28"/>
          <w:sz w:val="24"/>
          <w:highlight w:val="none"/>
          <w:lang w:val="zh-CN"/>
        </w:rPr>
        <w:tab/>
      </w:r>
      <w:r>
        <w:rPr>
          <w:rFonts w:hint="eastAsia" w:ascii="宋体" w:hAnsi="宋体" w:cs="宋体"/>
          <w:snapToGrid w:val="0"/>
          <w:color w:val="auto"/>
          <w:kern w:val="28"/>
          <w:sz w:val="24"/>
          <w:highlight w:val="none"/>
          <w:lang w:val="zh-CN"/>
        </w:rPr>
        <w:t>理体系，必须持有国家认定的资质机构颁发的</w:t>
      </w:r>
      <w:r>
        <w:rPr>
          <w:rFonts w:hint="eastAsia" w:ascii="宋体" w:hAnsi="宋体" w:cs="宋体"/>
          <w:snapToGrid w:val="0"/>
          <w:color w:val="auto"/>
          <w:kern w:val="28"/>
          <w:sz w:val="24"/>
          <w:highlight w:val="none"/>
        </w:rPr>
        <w:t>ISO9000或</w:t>
      </w:r>
      <w:r>
        <w:rPr>
          <w:rFonts w:hint="eastAsia" w:ascii="宋体" w:hAnsi="宋体" w:cs="宋体"/>
          <w:snapToGrid w:val="0"/>
          <w:color w:val="auto"/>
          <w:kern w:val="28"/>
          <w:sz w:val="24"/>
          <w:highlight w:val="none"/>
          <w:lang w:val="zh-CN"/>
        </w:rPr>
        <w:t>ISO9001认证证书或等同的质量管理体系认证证书。</w:t>
      </w:r>
    </w:p>
    <w:p>
      <w:pPr>
        <w:spacing w:line="360" w:lineRule="auto"/>
        <w:ind w:firstLine="480" w:firstLineChars="200"/>
        <w:jc w:val="left"/>
        <w:rPr>
          <w:rFonts w:ascii="宋体" w:hAnsi="宋体" w:cs="宋体"/>
          <w:snapToGrid w:val="0"/>
          <w:color w:val="auto"/>
          <w:kern w:val="28"/>
          <w:sz w:val="24"/>
          <w:highlight w:val="none"/>
          <w:lang w:val="zh-CN"/>
        </w:rPr>
      </w:pPr>
      <w:r>
        <w:rPr>
          <w:rFonts w:hint="eastAsia" w:ascii="宋体" w:hAnsi="宋体" w:cs="宋体"/>
          <w:snapToGrid w:val="0"/>
          <w:color w:val="auto"/>
          <w:kern w:val="28"/>
          <w:sz w:val="24"/>
          <w:highlight w:val="none"/>
          <w:lang w:val="zh-CN"/>
        </w:rPr>
        <w:t>（</w:t>
      </w:r>
      <w:r>
        <w:rPr>
          <w:rFonts w:ascii="宋体" w:hAnsi="宋体" w:cs="宋体"/>
          <w:snapToGrid w:val="0"/>
          <w:color w:val="auto"/>
          <w:kern w:val="28"/>
          <w:sz w:val="24"/>
          <w:highlight w:val="none"/>
          <w:lang w:val="zh-CN"/>
        </w:rPr>
        <w:t>5</w:t>
      </w:r>
      <w:r>
        <w:rPr>
          <w:rFonts w:hint="eastAsia" w:ascii="宋体" w:hAnsi="宋体" w:cs="宋体"/>
          <w:snapToGrid w:val="0"/>
          <w:color w:val="auto"/>
          <w:kern w:val="28"/>
          <w:sz w:val="24"/>
          <w:highlight w:val="none"/>
          <w:lang w:val="zh-CN"/>
        </w:rPr>
        <w:t>）供应商与采购方不存在现实的或潜在的利益冲突。</w:t>
      </w:r>
    </w:p>
    <w:p>
      <w:pPr>
        <w:spacing w:line="360" w:lineRule="auto"/>
        <w:ind w:firstLine="480" w:firstLineChars="200"/>
        <w:jc w:val="left"/>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lang w:val="zh-CN"/>
        </w:rPr>
        <w:t>（6）对于集团公司纪检监察机构查办的涉法案件涉及到的行贿企业以及行贿人实际控制的企业，纳入涉案供应商“黑名单”管理的供应商，实行一票否决制。</w:t>
      </w:r>
    </w:p>
    <w:p>
      <w:pPr>
        <w:spacing w:line="360" w:lineRule="auto"/>
        <w:ind w:firstLine="482" w:firstLineChars="200"/>
        <w:jc w:val="left"/>
        <w:rPr>
          <w:rFonts w:ascii="宋体" w:hAnsi="宋体" w:cs="宋体"/>
          <w:snapToGrid w:val="0"/>
          <w:color w:val="auto"/>
          <w:kern w:val="28"/>
          <w:sz w:val="24"/>
          <w:highlight w:val="none"/>
          <w:lang w:val="zh-CN"/>
        </w:rPr>
      </w:pPr>
      <w:r>
        <w:rPr>
          <w:rFonts w:ascii="宋体" w:hAnsi="宋体" w:cs="宋体"/>
          <w:b/>
          <w:bCs/>
          <w:snapToGrid w:val="0"/>
          <w:color w:val="auto"/>
          <w:kern w:val="28"/>
          <w:sz w:val="24"/>
          <w:highlight w:val="none"/>
          <w:lang w:val="zh-CN"/>
        </w:rPr>
        <w:t>2</w:t>
      </w:r>
      <w:r>
        <w:rPr>
          <w:rFonts w:hint="eastAsia" w:ascii="宋体" w:hAnsi="宋体" w:cs="宋体"/>
          <w:b/>
          <w:bCs/>
          <w:snapToGrid w:val="0"/>
          <w:color w:val="auto"/>
          <w:kern w:val="28"/>
          <w:sz w:val="24"/>
          <w:highlight w:val="none"/>
          <w:lang w:val="zh-CN"/>
        </w:rPr>
        <w:t>、专项资格要求</w:t>
      </w:r>
    </w:p>
    <w:p>
      <w:pPr>
        <w:pStyle w:val="11"/>
        <w:ind w:firstLine="480"/>
        <w:rPr>
          <w:rFonts w:ascii="宋体" w:hAnsi="宋体" w:cs="宋体"/>
          <w:snapToGrid w:val="0"/>
          <w:color w:val="auto"/>
          <w:kern w:val="28"/>
          <w:sz w:val="24"/>
          <w:highlight w:val="none"/>
          <w:lang w:val="zh-CN"/>
        </w:rPr>
      </w:pPr>
      <w:bookmarkStart w:id="20" w:name="_Toc21077"/>
      <w:bookmarkStart w:id="21" w:name="_Toc20157"/>
      <w:bookmarkStart w:id="22" w:name="_Toc133413397"/>
      <w:bookmarkStart w:id="23" w:name="_Toc9667"/>
      <w:bookmarkStart w:id="24" w:name="_Toc29768"/>
      <w:bookmarkStart w:id="25" w:name="_Toc22988"/>
      <w:bookmarkStart w:id="26" w:name="_Toc106872753"/>
      <w:bookmarkStart w:id="27" w:name="_Toc5017"/>
      <w:bookmarkStart w:id="28" w:name="_Toc12340"/>
      <w:bookmarkStart w:id="29" w:name="_Toc7738"/>
      <w:bookmarkStart w:id="30" w:name="_Toc151"/>
      <w:bookmarkStart w:id="31" w:name="_Toc20674"/>
      <w:bookmarkStart w:id="32" w:name="_Toc25577"/>
      <w:bookmarkStart w:id="33" w:name="_Toc105678945"/>
      <w:bookmarkStart w:id="34" w:name="_Toc17317"/>
      <w:bookmarkStart w:id="35" w:name="_Toc24581"/>
      <w:bookmarkStart w:id="36" w:name="_Toc13789"/>
      <w:bookmarkStart w:id="37" w:name="_Toc31324"/>
      <w:bookmarkStart w:id="38" w:name="_Toc11975"/>
      <w:bookmarkStart w:id="39" w:name="_Toc26581"/>
      <w:bookmarkStart w:id="40" w:name="_Toc24151"/>
      <w:r>
        <w:rPr>
          <w:rFonts w:hint="eastAsia" w:ascii="宋体" w:hAnsi="宋体" w:cs="宋体"/>
          <w:snapToGrid w:val="0"/>
          <w:color w:val="auto"/>
          <w:kern w:val="28"/>
          <w:sz w:val="24"/>
          <w:highlight w:val="none"/>
          <w:lang w:val="zh-CN"/>
        </w:rPr>
        <w:t>（</w:t>
      </w:r>
      <w:r>
        <w:rPr>
          <w:rFonts w:ascii="宋体" w:hAnsi="宋体" w:cs="宋体"/>
          <w:snapToGrid w:val="0"/>
          <w:color w:val="auto"/>
          <w:kern w:val="28"/>
          <w:sz w:val="24"/>
          <w:highlight w:val="none"/>
          <w:lang w:val="zh-CN"/>
        </w:rPr>
        <w:t>1）供应商应提供近三年内至少1个</w:t>
      </w:r>
      <w:r>
        <w:rPr>
          <w:rFonts w:hint="eastAsia" w:ascii="宋体" w:hAnsi="宋体" w:cs="宋体"/>
          <w:snapToGrid w:val="0"/>
          <w:color w:val="auto"/>
          <w:kern w:val="28"/>
          <w:sz w:val="24"/>
          <w:highlight w:val="none"/>
          <w:lang w:val="zh-CN"/>
        </w:rPr>
        <w:t>服务器类</w:t>
      </w:r>
      <w:r>
        <w:rPr>
          <w:rFonts w:hint="eastAsia" w:asciiTheme="minorEastAsia" w:hAnsiTheme="minorEastAsia" w:eastAsiaTheme="minorEastAsia"/>
          <w:color w:val="auto"/>
          <w:sz w:val="24"/>
          <w:szCs w:val="24"/>
          <w:highlight w:val="none"/>
        </w:rPr>
        <w:t>设备采购供货</w:t>
      </w:r>
      <w:r>
        <w:rPr>
          <w:rFonts w:hint="eastAsia" w:ascii="宋体" w:hAnsi="宋体" w:cs="宋体"/>
          <w:snapToGrid w:val="0"/>
          <w:color w:val="auto"/>
          <w:kern w:val="28"/>
          <w:sz w:val="24"/>
          <w:highlight w:val="none"/>
          <w:lang w:val="zh-CN"/>
        </w:rPr>
        <w:t>相关的业绩案例，并提供相关证明材料。</w:t>
      </w:r>
    </w:p>
    <w:p>
      <w:pPr>
        <w:spacing w:line="360" w:lineRule="auto"/>
        <w:ind w:firstLine="480" w:firstLineChars="200"/>
        <w:jc w:val="left"/>
        <w:rPr>
          <w:rFonts w:cs="宋体" w:asciiTheme="minorEastAsia" w:hAnsiTheme="minorEastAsia" w:eastAsiaTheme="minorEastAsia"/>
          <w:snapToGrid w:val="0"/>
          <w:color w:val="auto"/>
          <w:kern w:val="28"/>
          <w:sz w:val="24"/>
          <w:highlight w:val="none"/>
        </w:rPr>
      </w:pPr>
      <w:r>
        <w:rPr>
          <w:rFonts w:hint="eastAsia" w:ascii="宋体" w:hAnsi="宋体" w:cs="宋体"/>
          <w:snapToGrid w:val="0"/>
          <w:color w:val="auto"/>
          <w:kern w:val="28"/>
          <w:sz w:val="24"/>
          <w:highlight w:val="none"/>
          <w:lang w:val="zh-CN"/>
        </w:rPr>
        <w:t>（</w:t>
      </w:r>
      <w:r>
        <w:rPr>
          <w:rFonts w:ascii="宋体" w:hAnsi="宋体" w:cs="宋体"/>
          <w:snapToGrid w:val="0"/>
          <w:color w:val="auto"/>
          <w:kern w:val="28"/>
          <w:sz w:val="24"/>
          <w:highlight w:val="none"/>
          <w:lang w:val="zh-CN"/>
        </w:rPr>
        <w:t>2）供应商应是专业从事</w:t>
      </w:r>
      <w:r>
        <w:rPr>
          <w:rFonts w:hint="eastAsia" w:ascii="宋体" w:hAnsi="宋体" w:cs="宋体"/>
          <w:snapToGrid w:val="0"/>
          <w:color w:val="auto"/>
          <w:kern w:val="28"/>
          <w:sz w:val="24"/>
          <w:highlight w:val="none"/>
        </w:rPr>
        <w:t>服务器类设备供货</w:t>
      </w:r>
      <w:r>
        <w:rPr>
          <w:rFonts w:hint="eastAsia" w:ascii="宋体" w:hAnsi="宋体" w:cs="宋体"/>
          <w:snapToGrid w:val="0"/>
          <w:color w:val="auto"/>
          <w:kern w:val="28"/>
          <w:sz w:val="24"/>
          <w:highlight w:val="none"/>
          <w:lang w:val="zh-CN"/>
        </w:rPr>
        <w:t>的机构，有固定的工作场所和长期稳定的经验丰富的项目团队。</w:t>
      </w:r>
    </w:p>
    <w:p>
      <w:pPr>
        <w:spacing w:line="360" w:lineRule="auto"/>
        <w:outlineLvl w:val="0"/>
        <w:rPr>
          <w:rFonts w:ascii="宋体" w:hAnsi="宋体" w:cs="宋体"/>
          <w:b/>
          <w:snapToGrid w:val="0"/>
          <w:color w:val="auto"/>
          <w:kern w:val="28"/>
          <w:sz w:val="24"/>
          <w:szCs w:val="28"/>
          <w:highlight w:val="none"/>
        </w:rPr>
      </w:pPr>
      <w:bookmarkStart w:id="41" w:name="_Toc25750"/>
      <w:bookmarkStart w:id="42" w:name="_Toc27417"/>
      <w:bookmarkStart w:id="43" w:name="_Toc10516"/>
      <w:bookmarkStart w:id="44" w:name="_Toc23132"/>
      <w:r>
        <w:rPr>
          <w:rFonts w:hint="eastAsia" w:ascii="宋体" w:hAnsi="宋体" w:cs="宋体"/>
          <w:b/>
          <w:snapToGrid w:val="0"/>
          <w:color w:val="auto"/>
          <w:kern w:val="28"/>
          <w:sz w:val="24"/>
          <w:szCs w:val="28"/>
          <w:highlight w:val="none"/>
        </w:rPr>
        <w:t>三、报价截止时间</w:t>
      </w:r>
      <w:bookmarkEnd w:id="20"/>
      <w:bookmarkEnd w:id="21"/>
      <w:bookmarkEnd w:id="22"/>
      <w:bookmarkEnd w:id="23"/>
      <w:bookmarkEnd w:id="24"/>
      <w:bookmarkEnd w:id="25"/>
      <w:bookmarkEnd w:id="41"/>
      <w:bookmarkEnd w:id="42"/>
      <w:bookmarkEnd w:id="43"/>
      <w:bookmarkEnd w:id="44"/>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snapToGrid w:val="0"/>
          <w:color w:val="auto"/>
          <w:kern w:val="28"/>
          <w:sz w:val="24"/>
          <w:szCs w:val="28"/>
          <w:highlight w:val="none"/>
          <w:lang w:val="zh-CN"/>
        </w:rPr>
        <w:t>国家电投电子商务平台</w:t>
      </w:r>
    </w:p>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Pr>
        <w:widowControl/>
        <w:adjustRightInd w:val="0"/>
        <w:spacing w:line="360" w:lineRule="auto"/>
        <w:jc w:val="left"/>
        <w:outlineLvl w:val="0"/>
        <w:rPr>
          <w:rFonts w:ascii="宋体" w:hAnsi="宋体" w:cs="宋体"/>
          <w:b/>
          <w:snapToGrid w:val="0"/>
          <w:color w:val="auto"/>
          <w:kern w:val="28"/>
          <w:sz w:val="24"/>
          <w:szCs w:val="28"/>
          <w:highlight w:val="none"/>
        </w:rPr>
      </w:pPr>
      <w:bookmarkStart w:id="45" w:name="_Toc20633"/>
      <w:bookmarkStart w:id="46" w:name="_Toc19766"/>
      <w:bookmarkStart w:id="47" w:name="_Toc5953"/>
      <w:bookmarkStart w:id="48" w:name="_Toc9433"/>
      <w:bookmarkStart w:id="49" w:name="_Toc4977"/>
      <w:bookmarkStart w:id="50" w:name="_Toc7708"/>
      <w:bookmarkStart w:id="51" w:name="_Toc133413398"/>
      <w:bookmarkStart w:id="52" w:name="_Toc32375"/>
      <w:bookmarkStart w:id="53" w:name="_Toc7395"/>
      <w:bookmarkStart w:id="54" w:name="_Toc9917"/>
      <w:r>
        <w:rPr>
          <w:rFonts w:hint="eastAsia" w:ascii="宋体" w:hAnsi="宋体" w:cs="宋体"/>
          <w:b/>
          <w:snapToGrid w:val="0"/>
          <w:color w:val="auto"/>
          <w:kern w:val="28"/>
          <w:sz w:val="24"/>
          <w:szCs w:val="28"/>
          <w:highlight w:val="none"/>
        </w:rPr>
        <w:t>四、报价人须知</w:t>
      </w:r>
      <w:bookmarkEnd w:id="45"/>
      <w:bookmarkEnd w:id="46"/>
      <w:bookmarkEnd w:id="47"/>
      <w:bookmarkEnd w:id="48"/>
      <w:bookmarkEnd w:id="49"/>
      <w:bookmarkEnd w:id="50"/>
      <w:bookmarkEnd w:id="51"/>
      <w:bookmarkEnd w:id="52"/>
      <w:bookmarkEnd w:id="53"/>
      <w:bookmarkEnd w:id="54"/>
    </w:p>
    <w:p>
      <w:pPr>
        <w:spacing w:line="360" w:lineRule="auto"/>
        <w:ind w:firstLine="480" w:firstLineChars="200"/>
        <w:jc w:val="left"/>
        <w:rPr>
          <w:rFonts w:ascii="宋体" w:hAnsi="宋体" w:cs="宋体"/>
          <w:snapToGrid w:val="0"/>
          <w:color w:val="auto"/>
          <w:kern w:val="28"/>
          <w:sz w:val="24"/>
          <w:highlight w:val="none"/>
        </w:rPr>
      </w:pPr>
      <w:r>
        <w:rPr>
          <w:rFonts w:ascii="宋体" w:hAnsi="宋体" w:cs="宋体"/>
          <w:snapToGrid w:val="0"/>
          <w:color w:val="auto"/>
          <w:kern w:val="28"/>
          <w:sz w:val="24"/>
          <w:highlight w:val="none"/>
        </w:rPr>
        <w:t>1</w:t>
      </w:r>
      <w:r>
        <w:rPr>
          <w:rFonts w:hint="eastAsia" w:ascii="宋体" w:hAnsi="宋体" w:cs="宋体"/>
          <w:snapToGrid w:val="0"/>
          <w:color w:val="auto"/>
          <w:kern w:val="28"/>
          <w:sz w:val="24"/>
          <w:highlight w:val="none"/>
        </w:rPr>
        <w:t>、报价人在提交响应文件时应确认已充分了解采购文件的各项要求，并对这些要求作出实质性的响应，若报价方在响应文件中对采购文件的条款未提出异议，则这些条款应视为已被报价方接受。</w:t>
      </w:r>
    </w:p>
    <w:p>
      <w:pPr>
        <w:pStyle w:val="10"/>
        <w:spacing w:line="360" w:lineRule="auto"/>
        <w:ind w:firstLine="480"/>
        <w:rPr>
          <w:rFonts w:ascii="宋体" w:hAnsi="宋体" w:cs="宋体"/>
          <w:snapToGrid w:val="0"/>
          <w:color w:val="auto"/>
          <w:kern w:val="28"/>
          <w:sz w:val="24"/>
          <w:highlight w:val="none"/>
        </w:rPr>
      </w:pPr>
      <w:r>
        <w:rPr>
          <w:rFonts w:ascii="宋体" w:hAnsi="宋体" w:cs="宋体"/>
          <w:snapToGrid w:val="0"/>
          <w:color w:val="auto"/>
          <w:kern w:val="28"/>
          <w:sz w:val="24"/>
          <w:highlight w:val="none"/>
        </w:rPr>
        <w:t>2</w:t>
      </w:r>
      <w:r>
        <w:rPr>
          <w:rFonts w:hint="eastAsia" w:ascii="宋体" w:hAnsi="宋体" w:cs="宋体"/>
          <w:snapToGrid w:val="0"/>
          <w:color w:val="auto"/>
          <w:kern w:val="28"/>
          <w:sz w:val="24"/>
          <w:highlight w:val="none"/>
        </w:rPr>
        <w:t>、评审办法：</w:t>
      </w:r>
      <w:r>
        <w:rPr>
          <w:rFonts w:hint="eastAsia" w:ascii="宋体" w:hAnsi="宋体" w:cs="宋体"/>
          <w:b/>
          <w:bCs/>
          <w:snapToGrid w:val="0"/>
          <w:color w:val="auto"/>
          <w:kern w:val="28"/>
          <w:sz w:val="24"/>
          <w:highlight w:val="none"/>
        </w:rPr>
        <w:t>经评审的最低价法</w:t>
      </w:r>
    </w:p>
    <w:p>
      <w:pPr>
        <w:adjustRightInd w:val="0"/>
        <w:snapToGrid w:val="0"/>
        <w:spacing w:line="360" w:lineRule="auto"/>
        <w:ind w:firstLine="480" w:firstLineChars="200"/>
        <w:rPr>
          <w:rFonts w:ascii="宋体" w:hAnsi="宋体" w:cs="宋体"/>
          <w:snapToGrid w:val="0"/>
          <w:color w:val="auto"/>
          <w:kern w:val="28"/>
          <w:sz w:val="24"/>
          <w:highlight w:val="none"/>
        </w:rPr>
      </w:pPr>
      <w:r>
        <w:rPr>
          <w:rFonts w:ascii="宋体" w:hAnsi="宋体" w:cs="宋体"/>
          <w:snapToGrid w:val="0"/>
          <w:color w:val="auto"/>
          <w:kern w:val="28"/>
          <w:sz w:val="24"/>
          <w:highlight w:val="none"/>
        </w:rPr>
        <w:t>3</w:t>
      </w:r>
      <w:r>
        <w:rPr>
          <w:rFonts w:hint="eastAsia" w:ascii="宋体" w:hAnsi="宋体" w:cs="宋体"/>
          <w:snapToGrid w:val="0"/>
          <w:color w:val="auto"/>
          <w:kern w:val="28"/>
          <w:sz w:val="24"/>
          <w:highlight w:val="none"/>
        </w:rPr>
        <w:t>、串通报价等违法行为</w:t>
      </w:r>
    </w:p>
    <w:p>
      <w:pPr>
        <w:pStyle w:val="10"/>
        <w:spacing w:line="360" w:lineRule="auto"/>
        <w:ind w:firstLine="48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除国家招标投标法、招标投标法实施条例等规定外，</w:t>
      </w:r>
    </w:p>
    <w:p>
      <w:pPr>
        <w:pStyle w:val="10"/>
        <w:spacing w:line="360" w:lineRule="auto"/>
        <w:ind w:firstLine="48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不同报价人的响应文件出现以下情形的，视为报价人串通报价：</w:t>
      </w:r>
    </w:p>
    <w:p>
      <w:pPr>
        <w:pStyle w:val="10"/>
        <w:spacing w:line="360" w:lineRule="auto"/>
        <w:ind w:firstLine="48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（1）不同报价人使用相同IP地址上传响应文件；</w:t>
      </w:r>
    </w:p>
    <w:p>
      <w:pPr>
        <w:pStyle w:val="10"/>
        <w:spacing w:line="360" w:lineRule="auto"/>
        <w:ind w:firstLine="48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（2）不同报价人的响应文件异常一致或者报价呈规律性差异；</w:t>
      </w:r>
    </w:p>
    <w:p>
      <w:pPr>
        <w:pStyle w:val="10"/>
        <w:spacing w:line="360" w:lineRule="auto"/>
        <w:ind w:firstLine="48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（3）不同报价人联系人姓名或联系方式相同；</w:t>
      </w:r>
    </w:p>
    <w:p>
      <w:pPr>
        <w:pStyle w:val="10"/>
        <w:spacing w:line="360" w:lineRule="auto"/>
        <w:ind w:firstLine="48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（4）响应文件文档最后编辑人或作者为同一人名，且无法合理解释的；</w:t>
      </w:r>
    </w:p>
    <w:p>
      <w:pPr>
        <w:pStyle w:val="10"/>
        <w:spacing w:line="360" w:lineRule="auto"/>
        <w:ind w:firstLine="48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（5）不同报价人的响应文件载明的项目管理成员为同一人。</w:t>
      </w:r>
    </w:p>
    <w:p>
      <w:pPr>
        <w:adjustRightInd w:val="0"/>
        <w:snapToGrid w:val="0"/>
        <w:spacing w:line="360" w:lineRule="auto"/>
        <w:ind w:firstLine="480" w:firstLineChars="200"/>
        <w:rPr>
          <w:rFonts w:ascii="宋体" w:hAnsi="宋体" w:cs="宋体"/>
          <w:snapToGrid w:val="0"/>
          <w:color w:val="auto"/>
          <w:kern w:val="28"/>
          <w:sz w:val="24"/>
          <w:highlight w:val="none"/>
        </w:rPr>
      </w:pPr>
      <w:r>
        <w:rPr>
          <w:rFonts w:ascii="宋体" w:hAnsi="宋体" w:cs="宋体"/>
          <w:snapToGrid w:val="0"/>
          <w:color w:val="auto"/>
          <w:kern w:val="28"/>
          <w:sz w:val="24"/>
          <w:highlight w:val="none"/>
        </w:rPr>
        <w:t>4</w:t>
      </w:r>
      <w:r>
        <w:rPr>
          <w:rFonts w:hint="eastAsia" w:ascii="宋体" w:hAnsi="宋体" w:cs="宋体"/>
          <w:snapToGrid w:val="0"/>
          <w:color w:val="auto"/>
          <w:kern w:val="28"/>
          <w:sz w:val="24"/>
          <w:highlight w:val="none"/>
        </w:rPr>
        <w:t>、发生下列情况之一者，视为无效报价行为</w:t>
      </w:r>
    </w:p>
    <w:p>
      <w:pPr>
        <w:pStyle w:val="10"/>
        <w:spacing w:line="360" w:lineRule="auto"/>
        <w:ind w:firstLine="48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（1）响应文件未按规定签字、盖章的。</w:t>
      </w:r>
    </w:p>
    <w:p>
      <w:pPr>
        <w:pStyle w:val="10"/>
        <w:spacing w:line="360" w:lineRule="auto"/>
        <w:ind w:firstLine="48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（2）响应文件未按规定格式填写，或内容与采购文件严重背离的。</w:t>
      </w:r>
    </w:p>
    <w:p>
      <w:pPr>
        <w:pStyle w:val="10"/>
        <w:spacing w:line="360" w:lineRule="auto"/>
        <w:ind w:firstLine="48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（3）响应文件有两个以上报价的（采购文件允许提交备选方案的除外）。</w:t>
      </w:r>
    </w:p>
    <w:p>
      <w:pPr>
        <w:pStyle w:val="10"/>
        <w:spacing w:line="360" w:lineRule="auto"/>
        <w:ind w:firstLine="48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（4）质量标准不符合采购文件要求的。</w:t>
      </w:r>
    </w:p>
    <w:p>
      <w:pPr>
        <w:pStyle w:val="10"/>
        <w:spacing w:line="360" w:lineRule="auto"/>
        <w:ind w:firstLine="48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（5）工期不符合采购文件要求的。</w:t>
      </w:r>
    </w:p>
    <w:p>
      <w:pPr>
        <w:pStyle w:val="10"/>
        <w:spacing w:line="360" w:lineRule="auto"/>
        <w:ind w:firstLine="48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（6）报价超过最高限价的。</w:t>
      </w:r>
    </w:p>
    <w:p>
      <w:pPr>
        <w:pStyle w:val="10"/>
        <w:spacing w:line="360" w:lineRule="auto"/>
        <w:ind w:firstLine="48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（7）报价人不符合国家或者采购文件规定的资格条件。</w:t>
      </w:r>
    </w:p>
    <w:p>
      <w:pPr>
        <w:pStyle w:val="10"/>
        <w:spacing w:line="360" w:lineRule="auto"/>
        <w:ind w:firstLine="48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（8）响应文件没有对采购文件的实质性要求和条件作出报价。</w:t>
      </w:r>
    </w:p>
    <w:p>
      <w:pPr>
        <w:pStyle w:val="10"/>
        <w:spacing w:line="360" w:lineRule="auto"/>
        <w:ind w:firstLine="48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（9）其他不符合采购文件要求的情形。</w:t>
      </w:r>
    </w:p>
    <w:p>
      <w:pPr>
        <w:adjustRightInd w:val="0"/>
        <w:snapToGrid w:val="0"/>
        <w:spacing w:line="360" w:lineRule="auto"/>
        <w:ind w:firstLine="480" w:firstLineChars="200"/>
        <w:rPr>
          <w:rFonts w:ascii="宋体" w:hAnsi="宋体" w:cs="宋体"/>
          <w:snapToGrid w:val="0"/>
          <w:color w:val="auto"/>
          <w:kern w:val="28"/>
          <w:sz w:val="24"/>
          <w:highlight w:val="none"/>
        </w:rPr>
      </w:pPr>
      <w:bookmarkStart w:id="55" w:name="_Toc106197271"/>
      <w:r>
        <w:rPr>
          <w:rFonts w:hint="eastAsia" w:ascii="宋体" w:hAnsi="宋体" w:cs="宋体"/>
          <w:snapToGrid w:val="0"/>
          <w:color w:val="auto"/>
          <w:kern w:val="28"/>
          <w:sz w:val="24"/>
          <w:highlight w:val="none"/>
        </w:rPr>
        <w:t>5、采购失败</w:t>
      </w:r>
      <w:bookmarkEnd w:id="55"/>
    </w:p>
    <w:p>
      <w:pPr>
        <w:pStyle w:val="10"/>
        <w:spacing w:line="360" w:lineRule="auto"/>
        <w:ind w:firstLine="48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 xml:space="preserve">有下列情形之一的，采购人有权决定重新采购或采取其它的方式选择成交人： </w:t>
      </w:r>
    </w:p>
    <w:p>
      <w:pPr>
        <w:pStyle w:val="10"/>
        <w:spacing w:line="360" w:lineRule="auto"/>
        <w:ind w:firstLine="48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（1）经评审小组评审后否决所有报价人的；</w:t>
      </w:r>
    </w:p>
    <w:p>
      <w:pPr>
        <w:pStyle w:val="10"/>
        <w:spacing w:line="360" w:lineRule="auto"/>
        <w:ind w:firstLine="48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（2）因情况变化，不再符合规定的询价采购方式适用情形的或采购项目取消的；</w:t>
      </w:r>
    </w:p>
    <w:p>
      <w:pPr>
        <w:pStyle w:val="10"/>
        <w:spacing w:line="360" w:lineRule="auto"/>
        <w:ind w:firstLine="48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（3）出现影响采购公正的违法、违规行为的；</w:t>
      </w:r>
    </w:p>
    <w:p>
      <w:pPr>
        <w:widowControl/>
        <w:adjustRightInd w:val="0"/>
        <w:spacing w:line="360" w:lineRule="auto"/>
        <w:jc w:val="left"/>
        <w:outlineLvl w:val="0"/>
        <w:rPr>
          <w:rFonts w:ascii="宋体" w:hAnsi="宋体" w:cs="宋体"/>
          <w:b/>
          <w:snapToGrid w:val="0"/>
          <w:color w:val="auto"/>
          <w:kern w:val="28"/>
          <w:sz w:val="24"/>
          <w:szCs w:val="28"/>
          <w:highlight w:val="none"/>
        </w:rPr>
      </w:pPr>
      <w:bookmarkStart w:id="56" w:name="_Toc11224"/>
      <w:bookmarkStart w:id="57" w:name="_Toc133413399"/>
      <w:bookmarkStart w:id="58" w:name="_Toc2114"/>
      <w:bookmarkStart w:id="59" w:name="_Toc23323"/>
      <w:bookmarkStart w:id="60" w:name="_Toc10726"/>
      <w:bookmarkStart w:id="61" w:name="_Toc5897"/>
      <w:bookmarkStart w:id="62" w:name="_Toc15265"/>
      <w:bookmarkStart w:id="63" w:name="_Toc20017"/>
      <w:bookmarkStart w:id="64" w:name="_Toc26869"/>
      <w:bookmarkStart w:id="65" w:name="_Toc23055"/>
      <w:r>
        <w:rPr>
          <w:rFonts w:hint="eastAsia" w:ascii="宋体" w:hAnsi="宋体" w:cs="宋体"/>
          <w:b/>
          <w:snapToGrid w:val="0"/>
          <w:color w:val="auto"/>
          <w:kern w:val="28"/>
          <w:sz w:val="24"/>
          <w:szCs w:val="28"/>
          <w:highlight w:val="none"/>
        </w:rPr>
        <w:t>五、响应文件编制要求</w:t>
      </w:r>
      <w:bookmarkEnd w:id="56"/>
      <w:bookmarkEnd w:id="57"/>
      <w:bookmarkEnd w:id="58"/>
      <w:bookmarkEnd w:id="59"/>
      <w:bookmarkEnd w:id="60"/>
      <w:bookmarkEnd w:id="61"/>
      <w:bookmarkEnd w:id="62"/>
      <w:bookmarkEnd w:id="63"/>
      <w:bookmarkEnd w:id="64"/>
      <w:bookmarkEnd w:id="65"/>
    </w:p>
    <w:p>
      <w:pPr>
        <w:spacing w:line="360" w:lineRule="auto"/>
        <w:ind w:firstLine="480"/>
        <w:rPr>
          <w:rFonts w:ascii="宋体" w:hAnsi="宋体"/>
          <w:color w:val="auto"/>
          <w:sz w:val="24"/>
          <w:highlight w:val="none"/>
        </w:rPr>
      </w:pPr>
      <w:r>
        <w:rPr>
          <w:rFonts w:hint="eastAsia" w:ascii="宋体" w:hAnsi="宋体"/>
          <w:color w:val="auto"/>
          <w:sz w:val="24"/>
          <w:highlight w:val="none"/>
        </w:rPr>
        <w:t>1、响应文件分为</w:t>
      </w:r>
      <w:r>
        <w:rPr>
          <w:rFonts w:hint="eastAsia" w:ascii="宋体" w:hAnsi="宋体"/>
          <w:b/>
          <w:bCs/>
          <w:color w:val="auto"/>
          <w:sz w:val="24"/>
          <w:highlight w:val="none"/>
        </w:rPr>
        <w:t>商务部分</w:t>
      </w:r>
      <w:r>
        <w:rPr>
          <w:rFonts w:hint="eastAsia" w:ascii="宋体" w:hAnsi="宋体"/>
          <w:color w:val="auto"/>
          <w:sz w:val="24"/>
          <w:highlight w:val="none"/>
        </w:rPr>
        <w:t>和</w:t>
      </w:r>
      <w:r>
        <w:rPr>
          <w:rFonts w:hint="eastAsia" w:ascii="宋体" w:hAnsi="宋体"/>
          <w:b/>
          <w:bCs/>
          <w:color w:val="auto"/>
          <w:sz w:val="24"/>
          <w:highlight w:val="none"/>
        </w:rPr>
        <w:t>技术部分</w:t>
      </w:r>
      <w:r>
        <w:rPr>
          <w:rFonts w:hint="eastAsia" w:ascii="宋体" w:hAnsi="宋体"/>
          <w:color w:val="auto"/>
          <w:sz w:val="24"/>
          <w:highlight w:val="none"/>
        </w:rPr>
        <w:t>，须包括但不限于以下内容：</w:t>
      </w:r>
    </w:p>
    <w:p>
      <w:pPr>
        <w:spacing w:line="360" w:lineRule="auto"/>
        <w:ind w:firstLine="426" w:firstLineChars="177"/>
        <w:rPr>
          <w:rFonts w:ascii="宋体" w:hAnsi="宋体"/>
          <w:b/>
          <w:bCs/>
          <w:color w:val="auto"/>
          <w:sz w:val="24"/>
          <w:highlight w:val="none"/>
        </w:rPr>
      </w:pPr>
      <w:r>
        <w:rPr>
          <w:rFonts w:hint="eastAsia" w:ascii="宋体" w:hAnsi="宋体"/>
          <w:b/>
          <w:bCs/>
          <w:color w:val="auto"/>
          <w:sz w:val="24"/>
          <w:highlight w:val="none"/>
        </w:rPr>
        <w:t>（1）法定代表人签署的授权处理本项目报价事项的全权代表委托书（附法人和被授权人身份证复印件）和盖章签字报价扫描件及技术响应文件；</w:t>
      </w:r>
    </w:p>
    <w:p>
      <w:pPr>
        <w:spacing w:line="360" w:lineRule="auto"/>
        <w:ind w:firstLine="426" w:firstLineChars="177"/>
        <w:rPr>
          <w:rFonts w:ascii="宋体" w:hAnsi="宋体"/>
          <w:b/>
          <w:bCs/>
          <w:color w:val="auto"/>
          <w:sz w:val="24"/>
          <w:highlight w:val="none"/>
        </w:rPr>
      </w:pPr>
      <w:r>
        <w:rPr>
          <w:rFonts w:hint="eastAsia" w:ascii="宋体" w:hAnsi="宋体"/>
          <w:b/>
          <w:bCs/>
          <w:color w:val="auto"/>
          <w:sz w:val="24"/>
          <w:highlight w:val="none"/>
        </w:rPr>
        <w:t>（2）企业法人营业执照、企业资质证书扫描件</w:t>
      </w:r>
      <w:r>
        <w:rPr>
          <w:rFonts w:hint="eastAsia" w:ascii="宋体" w:hAnsi="宋体" w:cs="宋体"/>
          <w:b/>
          <w:bCs/>
          <w:snapToGrid w:val="0"/>
          <w:color w:val="auto"/>
          <w:kern w:val="28"/>
          <w:sz w:val="24"/>
          <w:szCs w:val="28"/>
          <w:highlight w:val="none"/>
        </w:rPr>
        <w:t>、企业简介（含业绩证明文件）等</w:t>
      </w:r>
      <w:r>
        <w:rPr>
          <w:rFonts w:hint="eastAsia" w:ascii="宋体" w:hAnsi="宋体"/>
          <w:b/>
          <w:bCs/>
          <w:color w:val="auto"/>
          <w:sz w:val="24"/>
          <w:highlight w:val="none"/>
        </w:rPr>
        <w:t>；</w:t>
      </w:r>
    </w:p>
    <w:p>
      <w:pPr>
        <w:spacing w:line="360" w:lineRule="auto"/>
        <w:ind w:firstLine="426" w:firstLineChars="177"/>
        <w:rPr>
          <w:rFonts w:ascii="宋体" w:hAnsi="宋体"/>
          <w:b/>
          <w:bCs/>
          <w:color w:val="auto"/>
          <w:sz w:val="24"/>
          <w:highlight w:val="none"/>
        </w:rPr>
      </w:pPr>
      <w:r>
        <w:rPr>
          <w:rFonts w:hint="eastAsia" w:ascii="宋体" w:hAnsi="宋体"/>
          <w:b/>
          <w:bCs/>
          <w:color w:val="auto"/>
          <w:sz w:val="24"/>
          <w:highlight w:val="none"/>
        </w:rPr>
        <w:t>（3）报价承诺函、保密承诺书、诚信承诺书。</w:t>
      </w:r>
    </w:p>
    <w:p>
      <w:pPr>
        <w:spacing w:line="360" w:lineRule="auto"/>
        <w:ind w:firstLine="480"/>
        <w:rPr>
          <w:rFonts w:ascii="宋体" w:hAnsi="宋体"/>
          <w:b/>
          <w:bCs/>
          <w:color w:val="auto"/>
          <w:sz w:val="24"/>
          <w:highlight w:val="none"/>
        </w:rPr>
      </w:pPr>
      <w:r>
        <w:rPr>
          <w:rFonts w:hint="eastAsia" w:ascii="宋体" w:hAnsi="宋体"/>
          <w:b/>
          <w:bCs/>
          <w:color w:val="auto"/>
          <w:sz w:val="24"/>
          <w:highlight w:val="none"/>
        </w:rPr>
        <w:t>注意：</w:t>
      </w:r>
      <w:bookmarkStart w:id="66" w:name="_Hlk109155707"/>
      <w:r>
        <w:rPr>
          <w:rFonts w:hint="eastAsia" w:ascii="宋体" w:hAnsi="宋体"/>
          <w:b/>
          <w:bCs/>
          <w:color w:val="auto"/>
          <w:sz w:val="24"/>
          <w:highlight w:val="none"/>
        </w:rPr>
        <w:t>响应文件应提交PDF签字盖章版和Word/Excel可编辑版，</w:t>
      </w:r>
      <w:bookmarkEnd w:id="66"/>
      <w:r>
        <w:rPr>
          <w:rFonts w:hint="eastAsia" w:ascii="宋体" w:hAnsi="宋体"/>
          <w:b/>
          <w:bCs/>
          <w:color w:val="auto"/>
          <w:sz w:val="24"/>
          <w:highlight w:val="none"/>
        </w:rPr>
        <w:t>分为商务部分和技术部分，上传响应文件时，商务部分与技术部分应分开提交，不允许合并提交，否则我公司有权按照不合格报价处理。</w:t>
      </w:r>
    </w:p>
    <w:p>
      <w:pPr>
        <w:spacing w:line="360" w:lineRule="auto"/>
        <w:ind w:firstLine="480" w:firstLineChars="200"/>
        <w:jc w:val="left"/>
        <w:rPr>
          <w:rFonts w:ascii="宋体" w:hAnsi="宋体" w:cs="宋体"/>
          <w:snapToGrid w:val="0"/>
          <w:color w:val="auto"/>
          <w:kern w:val="28"/>
          <w:sz w:val="24"/>
          <w:highlight w:val="none"/>
        </w:rPr>
      </w:pPr>
      <w:r>
        <w:rPr>
          <w:rFonts w:ascii="宋体" w:hAnsi="宋体" w:cs="宋体"/>
          <w:snapToGrid w:val="0"/>
          <w:color w:val="auto"/>
          <w:kern w:val="28"/>
          <w:sz w:val="24"/>
          <w:highlight w:val="none"/>
        </w:rPr>
        <w:t>2</w:t>
      </w:r>
      <w:r>
        <w:rPr>
          <w:rFonts w:hint="eastAsia" w:ascii="宋体" w:hAnsi="宋体" w:cs="宋体"/>
          <w:snapToGrid w:val="0"/>
          <w:color w:val="auto"/>
          <w:kern w:val="28"/>
          <w:sz w:val="24"/>
          <w:highlight w:val="none"/>
        </w:rPr>
        <w:t>、</w:t>
      </w:r>
      <w:bookmarkStart w:id="67" w:name="_Hlk133415114"/>
      <w:r>
        <w:rPr>
          <w:rFonts w:hint="eastAsia" w:ascii="宋体" w:hAnsi="宋体" w:cs="宋体"/>
          <w:snapToGrid w:val="0"/>
          <w:color w:val="auto"/>
          <w:kern w:val="28"/>
          <w:sz w:val="24"/>
          <w:highlight w:val="none"/>
        </w:rPr>
        <w:t>报价方必须以采购文件中规定的响应文件格式和要求的内容进行编制，否则被认为是不合格的文件。</w:t>
      </w:r>
      <w:bookmarkEnd w:id="67"/>
    </w:p>
    <w:p>
      <w:pPr>
        <w:widowControl/>
        <w:adjustRightInd w:val="0"/>
        <w:spacing w:line="360" w:lineRule="auto"/>
        <w:jc w:val="left"/>
        <w:outlineLvl w:val="0"/>
        <w:rPr>
          <w:rFonts w:ascii="宋体" w:hAnsi="宋体" w:cs="宋体"/>
          <w:b/>
          <w:snapToGrid w:val="0"/>
          <w:color w:val="auto"/>
          <w:kern w:val="28"/>
          <w:sz w:val="24"/>
          <w:szCs w:val="28"/>
          <w:highlight w:val="none"/>
        </w:rPr>
      </w:pPr>
      <w:bookmarkStart w:id="68" w:name="_Toc18909"/>
      <w:bookmarkStart w:id="69" w:name="_Toc9175"/>
      <w:bookmarkStart w:id="70" w:name="_Toc17563"/>
      <w:bookmarkStart w:id="71" w:name="_Toc133413400"/>
      <w:bookmarkStart w:id="72" w:name="_Toc30753"/>
      <w:bookmarkStart w:id="73" w:name="_Toc14798"/>
      <w:bookmarkStart w:id="74" w:name="_Toc14198"/>
      <w:bookmarkStart w:id="75" w:name="_Toc15883"/>
      <w:bookmarkStart w:id="76" w:name="_Toc19357"/>
      <w:bookmarkStart w:id="77" w:name="_Toc18439"/>
      <w:bookmarkStart w:id="78" w:name="_Hlk133415218"/>
      <w:r>
        <w:rPr>
          <w:rFonts w:hint="eastAsia" w:ascii="宋体" w:hAnsi="宋体" w:cs="宋体"/>
          <w:b/>
          <w:snapToGrid w:val="0"/>
          <w:color w:val="auto"/>
          <w:kern w:val="28"/>
          <w:sz w:val="24"/>
          <w:szCs w:val="28"/>
          <w:highlight w:val="none"/>
        </w:rPr>
        <w:t>六、中选人须承担的相关费用</w:t>
      </w:r>
      <w:bookmarkEnd w:id="68"/>
      <w:bookmarkEnd w:id="69"/>
      <w:bookmarkEnd w:id="70"/>
      <w:bookmarkEnd w:id="71"/>
      <w:bookmarkEnd w:id="72"/>
      <w:bookmarkEnd w:id="73"/>
      <w:bookmarkEnd w:id="74"/>
      <w:bookmarkEnd w:id="75"/>
      <w:bookmarkEnd w:id="76"/>
      <w:bookmarkEnd w:id="77"/>
    </w:p>
    <w:p>
      <w:pPr>
        <w:widowControl/>
        <w:adjustRightInd w:val="0"/>
        <w:spacing w:line="360" w:lineRule="auto"/>
        <w:ind w:firstLine="480" w:firstLineChars="200"/>
        <w:jc w:val="left"/>
        <w:rPr>
          <w:rFonts w:ascii="宋体" w:hAnsi="宋体" w:cs="宋体"/>
          <w:snapToGrid w:val="0"/>
          <w:color w:val="auto"/>
          <w:kern w:val="28"/>
          <w:sz w:val="24"/>
          <w:szCs w:val="28"/>
          <w:highlight w:val="none"/>
        </w:rPr>
      </w:pPr>
      <w:r>
        <w:rPr>
          <w:rFonts w:hint="eastAsia" w:ascii="宋体" w:hAnsi="宋体" w:cs="宋体"/>
          <w:snapToGrid w:val="0"/>
          <w:color w:val="auto"/>
          <w:kern w:val="28"/>
          <w:sz w:val="24"/>
          <w:szCs w:val="28"/>
          <w:highlight w:val="none"/>
        </w:rPr>
        <w:t>网站服务费：</w:t>
      </w:r>
      <w:r>
        <w:rPr>
          <w:rFonts w:hint="eastAsia" w:ascii="宋体" w:hAnsi="宋体" w:cs="宋体"/>
          <w:snapToGrid w:val="0"/>
          <w:color w:val="auto"/>
          <w:kern w:val="28"/>
          <w:sz w:val="24"/>
          <w:szCs w:val="28"/>
          <w:highlight w:val="none"/>
          <w:em w:val="dot"/>
        </w:rPr>
        <w:t>成交价2%的网站服务费（最多不超过2万元）</w:t>
      </w:r>
      <w:r>
        <w:rPr>
          <w:rFonts w:hint="eastAsia" w:ascii="宋体" w:hAnsi="宋体" w:cs="宋体"/>
          <w:snapToGrid w:val="0"/>
          <w:color w:val="auto"/>
          <w:kern w:val="28"/>
          <w:sz w:val="24"/>
          <w:szCs w:val="28"/>
          <w:highlight w:val="none"/>
        </w:rPr>
        <w:t>，由</w:t>
      </w:r>
      <w:r>
        <w:rPr>
          <w:rFonts w:hint="eastAsia" w:ascii="宋体" w:hAnsi="宋体" w:cs="宋体"/>
          <w:b/>
          <w:bCs/>
          <w:snapToGrid w:val="0"/>
          <w:color w:val="auto"/>
          <w:kern w:val="28"/>
          <w:sz w:val="24"/>
          <w:szCs w:val="28"/>
          <w:highlight w:val="none"/>
        </w:rPr>
        <w:t>国家电投电子商务平台（电能易购招标采购平台）</w:t>
      </w:r>
      <w:r>
        <w:rPr>
          <w:rFonts w:hint="eastAsia" w:ascii="宋体" w:hAnsi="宋体" w:cs="宋体"/>
          <w:snapToGrid w:val="0"/>
          <w:color w:val="auto"/>
          <w:kern w:val="28"/>
          <w:sz w:val="24"/>
          <w:szCs w:val="28"/>
          <w:highlight w:val="none"/>
        </w:rPr>
        <w:t>收取。</w:t>
      </w:r>
    </w:p>
    <w:bookmarkEnd w:id="78"/>
    <w:p>
      <w:pPr>
        <w:widowControl/>
        <w:adjustRightInd w:val="0"/>
        <w:spacing w:line="360" w:lineRule="auto"/>
        <w:jc w:val="left"/>
        <w:outlineLvl w:val="0"/>
        <w:rPr>
          <w:rFonts w:ascii="宋体" w:hAnsi="宋体" w:cs="宋体"/>
          <w:b/>
          <w:snapToGrid w:val="0"/>
          <w:color w:val="auto"/>
          <w:kern w:val="28"/>
          <w:sz w:val="24"/>
          <w:szCs w:val="28"/>
          <w:highlight w:val="none"/>
        </w:rPr>
      </w:pPr>
      <w:bookmarkStart w:id="79" w:name="_Toc28415"/>
      <w:bookmarkStart w:id="80" w:name="_Toc28879"/>
      <w:bookmarkStart w:id="81" w:name="_Toc133413401"/>
      <w:bookmarkStart w:id="82" w:name="_Toc29250"/>
      <w:bookmarkStart w:id="83" w:name="_Toc14874"/>
      <w:bookmarkStart w:id="84" w:name="_Toc15505"/>
      <w:bookmarkStart w:id="85" w:name="_Toc19314"/>
      <w:bookmarkStart w:id="86" w:name="_Toc22538"/>
      <w:bookmarkStart w:id="87" w:name="_Toc27215"/>
      <w:bookmarkStart w:id="88" w:name="_Toc28034"/>
      <w:r>
        <w:rPr>
          <w:rFonts w:hint="eastAsia" w:ascii="宋体" w:hAnsi="宋体" w:cs="宋体"/>
          <w:b/>
          <w:snapToGrid w:val="0"/>
          <w:color w:val="auto"/>
          <w:kern w:val="28"/>
          <w:sz w:val="24"/>
          <w:szCs w:val="28"/>
          <w:highlight w:val="none"/>
        </w:rPr>
        <w:t>七、</w:t>
      </w:r>
      <w:bookmarkStart w:id="89" w:name="_Hlk133415354"/>
      <w:r>
        <w:rPr>
          <w:rFonts w:hint="eastAsia" w:ascii="宋体" w:hAnsi="宋体" w:cs="宋体"/>
          <w:b/>
          <w:snapToGrid w:val="0"/>
          <w:color w:val="auto"/>
          <w:kern w:val="28"/>
          <w:sz w:val="24"/>
          <w:szCs w:val="28"/>
          <w:highlight w:val="none"/>
        </w:rPr>
        <w:t>采购文件的修改、补充和联系方式</w:t>
      </w:r>
      <w:bookmarkEnd w:id="79"/>
      <w:bookmarkEnd w:id="80"/>
      <w:bookmarkEnd w:id="81"/>
      <w:bookmarkEnd w:id="82"/>
      <w:bookmarkEnd w:id="83"/>
      <w:bookmarkEnd w:id="84"/>
      <w:bookmarkEnd w:id="85"/>
      <w:bookmarkEnd w:id="86"/>
      <w:bookmarkEnd w:id="87"/>
      <w:bookmarkEnd w:id="88"/>
    </w:p>
    <w:p>
      <w:pPr>
        <w:widowControl/>
        <w:adjustRightInd w:val="0"/>
        <w:spacing w:line="360" w:lineRule="auto"/>
        <w:ind w:firstLine="480" w:firstLineChars="200"/>
        <w:jc w:val="left"/>
        <w:rPr>
          <w:rFonts w:ascii="宋体" w:hAnsi="宋体" w:cs="宋体"/>
          <w:snapToGrid w:val="0"/>
          <w:color w:val="auto"/>
          <w:kern w:val="28"/>
          <w:sz w:val="24"/>
          <w:szCs w:val="28"/>
          <w:highlight w:val="none"/>
        </w:rPr>
      </w:pPr>
      <w:r>
        <w:rPr>
          <w:rFonts w:ascii="宋体" w:hAnsi="宋体" w:cs="宋体"/>
          <w:snapToGrid w:val="0"/>
          <w:color w:val="auto"/>
          <w:kern w:val="28"/>
          <w:sz w:val="24"/>
          <w:szCs w:val="28"/>
          <w:highlight w:val="none"/>
        </w:rPr>
        <w:t>1</w:t>
      </w:r>
      <w:r>
        <w:rPr>
          <w:rFonts w:hint="eastAsia" w:ascii="宋体" w:hAnsi="宋体" w:cs="宋体"/>
          <w:snapToGrid w:val="0"/>
          <w:color w:val="auto"/>
          <w:kern w:val="28"/>
          <w:sz w:val="24"/>
          <w:szCs w:val="28"/>
          <w:highlight w:val="none"/>
        </w:rPr>
        <w:t>、报价截止时间之前，任何关于采购文件中的解释或修改，采购方将通过正式渠道通知所有潜在报价方。</w:t>
      </w:r>
    </w:p>
    <w:p>
      <w:pPr>
        <w:widowControl/>
        <w:adjustRightInd w:val="0"/>
        <w:spacing w:line="360" w:lineRule="auto"/>
        <w:ind w:firstLine="480" w:firstLineChars="200"/>
        <w:jc w:val="left"/>
        <w:rPr>
          <w:rFonts w:ascii="宋体" w:hAnsi="宋体" w:cs="宋体"/>
          <w:snapToGrid w:val="0"/>
          <w:color w:val="auto"/>
          <w:kern w:val="28"/>
          <w:sz w:val="24"/>
          <w:szCs w:val="28"/>
          <w:highlight w:val="none"/>
        </w:rPr>
      </w:pPr>
      <w:r>
        <w:rPr>
          <w:rFonts w:ascii="宋体" w:hAnsi="宋体" w:cs="宋体"/>
          <w:snapToGrid w:val="0"/>
          <w:color w:val="auto"/>
          <w:kern w:val="28"/>
          <w:sz w:val="24"/>
          <w:szCs w:val="28"/>
          <w:highlight w:val="none"/>
        </w:rPr>
        <w:t>2</w:t>
      </w:r>
      <w:r>
        <w:rPr>
          <w:rFonts w:hint="eastAsia" w:ascii="宋体" w:hAnsi="宋体" w:cs="宋体"/>
          <w:snapToGrid w:val="0"/>
          <w:color w:val="auto"/>
          <w:kern w:val="28"/>
          <w:sz w:val="24"/>
          <w:szCs w:val="28"/>
          <w:highlight w:val="none"/>
        </w:rPr>
        <w:t>、报价截止时间之前，采购方发出的所有补充通知，均视为采购文件的组成部分。</w:t>
      </w:r>
    </w:p>
    <w:p>
      <w:pPr>
        <w:widowControl/>
        <w:adjustRightInd w:val="0"/>
        <w:spacing w:line="360" w:lineRule="auto"/>
        <w:ind w:firstLine="480" w:firstLineChars="200"/>
        <w:jc w:val="left"/>
        <w:rPr>
          <w:rFonts w:ascii="宋体" w:hAnsi="宋体" w:cs="宋体"/>
          <w:snapToGrid w:val="0"/>
          <w:color w:val="auto"/>
          <w:kern w:val="28"/>
          <w:sz w:val="24"/>
          <w:szCs w:val="28"/>
          <w:highlight w:val="none"/>
        </w:rPr>
      </w:pPr>
      <w:r>
        <w:rPr>
          <w:rFonts w:ascii="宋体" w:hAnsi="宋体" w:cs="宋体"/>
          <w:snapToGrid w:val="0"/>
          <w:color w:val="auto"/>
          <w:kern w:val="28"/>
          <w:sz w:val="24"/>
          <w:szCs w:val="28"/>
          <w:highlight w:val="none"/>
        </w:rPr>
        <w:t>3</w:t>
      </w:r>
      <w:r>
        <w:rPr>
          <w:rFonts w:hint="eastAsia" w:ascii="宋体" w:hAnsi="宋体" w:cs="宋体"/>
          <w:snapToGrid w:val="0"/>
          <w:color w:val="auto"/>
          <w:kern w:val="28"/>
          <w:sz w:val="24"/>
          <w:szCs w:val="28"/>
          <w:highlight w:val="none"/>
        </w:rPr>
        <w:t>、采购方联系方式：</w:t>
      </w:r>
    </w:p>
    <w:p>
      <w:pPr>
        <w:widowControl/>
        <w:adjustRightInd w:val="0"/>
        <w:spacing w:line="360" w:lineRule="auto"/>
        <w:ind w:firstLine="480" w:firstLineChars="200"/>
        <w:jc w:val="left"/>
        <w:rPr>
          <w:rFonts w:ascii="宋体" w:hAnsi="宋体" w:cs="宋体"/>
          <w:snapToGrid w:val="0"/>
          <w:color w:val="auto"/>
          <w:kern w:val="28"/>
          <w:sz w:val="24"/>
          <w:szCs w:val="28"/>
          <w:highlight w:val="none"/>
        </w:rPr>
      </w:pPr>
      <w:bookmarkStart w:id="90" w:name="_Toc9674"/>
      <w:bookmarkStart w:id="91" w:name="_Toc9401"/>
      <w:bookmarkStart w:id="92" w:name="_Toc30876"/>
      <w:bookmarkStart w:id="93" w:name="_Toc13368"/>
      <w:bookmarkStart w:id="94" w:name="_Toc25033"/>
      <w:r>
        <w:rPr>
          <w:rFonts w:hint="eastAsia" w:ascii="宋体" w:hAnsi="宋体" w:cs="宋体"/>
          <w:snapToGrid w:val="0"/>
          <w:color w:val="auto"/>
          <w:kern w:val="28"/>
          <w:sz w:val="24"/>
          <w:szCs w:val="28"/>
          <w:highlight w:val="none"/>
        </w:rPr>
        <w:t xml:space="preserve">技术联系人 ：蒋云鹏         </w:t>
      </w:r>
      <w:r>
        <w:rPr>
          <w:rFonts w:ascii="宋体" w:hAnsi="宋体" w:cs="宋体"/>
          <w:snapToGrid w:val="0"/>
          <w:color w:val="auto"/>
          <w:kern w:val="28"/>
          <w:sz w:val="24"/>
          <w:szCs w:val="28"/>
          <w:highlight w:val="none"/>
        </w:rPr>
        <w:t xml:space="preserve">    </w:t>
      </w:r>
      <w:r>
        <w:rPr>
          <w:rFonts w:hint="eastAsia" w:ascii="宋体" w:hAnsi="宋体" w:cs="宋体"/>
          <w:snapToGrid w:val="0"/>
          <w:color w:val="auto"/>
          <w:kern w:val="28"/>
          <w:sz w:val="24"/>
          <w:szCs w:val="28"/>
          <w:highlight w:val="none"/>
        </w:rPr>
        <w:t>联系电话：18500430198</w:t>
      </w:r>
    </w:p>
    <w:p>
      <w:pPr>
        <w:widowControl/>
        <w:adjustRightInd w:val="0"/>
        <w:spacing w:line="360" w:lineRule="auto"/>
        <w:ind w:firstLine="480" w:firstLineChars="200"/>
        <w:jc w:val="left"/>
        <w:rPr>
          <w:rFonts w:ascii="宋体" w:hAnsi="宋体" w:cs="宋体"/>
          <w:snapToGrid w:val="0"/>
          <w:color w:val="auto"/>
          <w:kern w:val="28"/>
          <w:sz w:val="24"/>
          <w:szCs w:val="28"/>
          <w:highlight w:val="none"/>
        </w:rPr>
      </w:pPr>
      <w:r>
        <w:rPr>
          <w:rFonts w:hint="eastAsia" w:ascii="宋体" w:hAnsi="宋体" w:cs="宋体"/>
          <w:snapToGrid w:val="0"/>
          <w:color w:val="auto"/>
          <w:kern w:val="28"/>
          <w:sz w:val="24"/>
          <w:szCs w:val="28"/>
          <w:highlight w:val="none"/>
        </w:rPr>
        <w:t xml:space="preserve">商务联系人 ：庞  菲 </w:t>
      </w:r>
      <w:r>
        <w:rPr>
          <w:rFonts w:ascii="宋体" w:hAnsi="宋体" w:cs="宋体"/>
          <w:snapToGrid w:val="0"/>
          <w:color w:val="auto"/>
          <w:kern w:val="28"/>
          <w:sz w:val="24"/>
          <w:szCs w:val="28"/>
          <w:highlight w:val="none"/>
        </w:rPr>
        <w:t xml:space="preserve">            </w:t>
      </w:r>
      <w:r>
        <w:rPr>
          <w:rFonts w:hint="eastAsia" w:ascii="宋体" w:hAnsi="宋体" w:cs="宋体"/>
          <w:snapToGrid w:val="0"/>
          <w:color w:val="auto"/>
          <w:kern w:val="28"/>
          <w:sz w:val="24"/>
          <w:szCs w:val="28"/>
          <w:highlight w:val="none"/>
        </w:rPr>
        <w:t>联系电话：18519618817</w:t>
      </w:r>
    </w:p>
    <w:p>
      <w:pPr>
        <w:widowControl/>
        <w:adjustRightInd w:val="0"/>
        <w:spacing w:line="360" w:lineRule="auto"/>
        <w:jc w:val="left"/>
        <w:outlineLvl w:val="0"/>
        <w:rPr>
          <w:rFonts w:ascii="宋体" w:hAnsi="宋体" w:cs="宋体"/>
          <w:b/>
          <w:snapToGrid w:val="0"/>
          <w:color w:val="auto"/>
          <w:kern w:val="28"/>
          <w:sz w:val="24"/>
          <w:szCs w:val="28"/>
          <w:highlight w:val="none"/>
        </w:rPr>
      </w:pPr>
      <w:bookmarkStart w:id="95" w:name="_Toc10604"/>
      <w:bookmarkStart w:id="96" w:name="_Toc1591"/>
      <w:bookmarkStart w:id="97" w:name="_Toc29582"/>
      <w:bookmarkStart w:id="98" w:name="_Toc8282"/>
      <w:r>
        <w:rPr>
          <w:rFonts w:hint="eastAsia" w:ascii="宋体" w:hAnsi="宋体" w:cs="宋体"/>
          <w:b/>
          <w:snapToGrid w:val="0"/>
          <w:color w:val="auto"/>
          <w:kern w:val="28"/>
          <w:sz w:val="24"/>
          <w:szCs w:val="28"/>
          <w:highlight w:val="none"/>
        </w:rPr>
        <w:t>八、其他事项</w:t>
      </w:r>
      <w:bookmarkEnd w:id="90"/>
      <w:bookmarkEnd w:id="91"/>
      <w:bookmarkEnd w:id="92"/>
      <w:bookmarkEnd w:id="93"/>
      <w:bookmarkEnd w:id="94"/>
      <w:bookmarkEnd w:id="95"/>
      <w:bookmarkEnd w:id="96"/>
      <w:bookmarkEnd w:id="97"/>
      <w:bookmarkEnd w:id="98"/>
    </w:p>
    <w:p>
      <w:pPr>
        <w:widowControl/>
        <w:adjustRightInd w:val="0"/>
        <w:spacing w:line="360" w:lineRule="auto"/>
        <w:ind w:firstLine="480" w:firstLineChars="200"/>
        <w:jc w:val="left"/>
        <w:rPr>
          <w:rFonts w:ascii="宋体" w:hAnsi="宋体" w:cs="宋体"/>
          <w:snapToGrid w:val="0"/>
          <w:color w:val="auto"/>
          <w:kern w:val="28"/>
          <w:sz w:val="24"/>
          <w:szCs w:val="28"/>
          <w:highlight w:val="none"/>
        </w:rPr>
      </w:pPr>
      <w:r>
        <w:rPr>
          <w:rFonts w:hint="eastAsia" w:ascii="宋体" w:hAnsi="宋体" w:cs="宋体"/>
          <w:snapToGrid w:val="0"/>
          <w:color w:val="auto"/>
          <w:kern w:val="28"/>
          <w:sz w:val="24"/>
          <w:szCs w:val="28"/>
          <w:highlight w:val="none"/>
        </w:rPr>
        <w:t>成交单位与电投数科签订2022年工信部数据字典项目TC220807A电力设备数据字典测试床的算法训练和测试设备采购合同。</w:t>
      </w:r>
    </w:p>
    <w:bookmarkEnd w:id="89"/>
    <w:p>
      <w:pPr>
        <w:spacing w:line="360" w:lineRule="auto"/>
        <w:rPr>
          <w:rFonts w:ascii="宋体" w:hAnsi="宋体"/>
          <w:color w:val="auto"/>
          <w:sz w:val="24"/>
          <w:szCs w:val="28"/>
          <w:highlight w:val="none"/>
        </w:rPr>
      </w:pPr>
    </w:p>
    <w:p>
      <w:pPr>
        <w:pStyle w:val="10"/>
        <w:rPr>
          <w:color w:val="auto"/>
          <w:highlight w:val="none"/>
        </w:rPr>
      </w:pPr>
    </w:p>
    <w:p>
      <w:pPr>
        <w:spacing w:line="360" w:lineRule="auto"/>
        <w:rPr>
          <w:rFonts w:ascii="宋体" w:hAnsi="宋体"/>
          <w:b/>
          <w:bCs/>
          <w:color w:val="auto"/>
          <w:sz w:val="24"/>
          <w:szCs w:val="28"/>
          <w:highlight w:val="none"/>
        </w:rPr>
      </w:pPr>
      <w:r>
        <w:rPr>
          <w:rFonts w:hint="eastAsia" w:ascii="宋体" w:hAnsi="宋体"/>
          <w:b/>
          <w:bCs/>
          <w:color w:val="auto"/>
          <w:sz w:val="24"/>
          <w:szCs w:val="28"/>
          <w:highlight w:val="none"/>
        </w:rPr>
        <w:t>附件一  技术规范书</w:t>
      </w:r>
    </w:p>
    <w:p>
      <w:pPr>
        <w:spacing w:line="360" w:lineRule="auto"/>
        <w:rPr>
          <w:rFonts w:ascii="宋体" w:hAnsi="宋体"/>
          <w:b/>
          <w:bCs/>
          <w:color w:val="auto"/>
          <w:sz w:val="24"/>
          <w:szCs w:val="28"/>
          <w:highlight w:val="none"/>
        </w:rPr>
      </w:pPr>
      <w:r>
        <w:rPr>
          <w:rFonts w:hint="eastAsia" w:ascii="宋体" w:hAnsi="宋体"/>
          <w:b/>
          <w:bCs/>
          <w:color w:val="auto"/>
          <w:sz w:val="24"/>
          <w:szCs w:val="28"/>
          <w:highlight w:val="none"/>
        </w:rPr>
        <w:t>附件二  合同模板</w:t>
      </w:r>
    </w:p>
    <w:p>
      <w:pPr>
        <w:spacing w:line="360" w:lineRule="auto"/>
        <w:rPr>
          <w:rFonts w:ascii="宋体" w:hAnsi="宋体"/>
          <w:b/>
          <w:bCs/>
          <w:color w:val="auto"/>
          <w:sz w:val="24"/>
          <w:szCs w:val="28"/>
          <w:highlight w:val="none"/>
        </w:rPr>
      </w:pPr>
      <w:r>
        <w:rPr>
          <w:rFonts w:hint="eastAsia" w:ascii="宋体" w:hAnsi="宋体"/>
          <w:b/>
          <w:bCs/>
          <w:color w:val="auto"/>
          <w:sz w:val="24"/>
          <w:szCs w:val="28"/>
          <w:highlight w:val="none"/>
        </w:rPr>
        <w:t>附件三  响应文件商务部分模板</w:t>
      </w:r>
    </w:p>
    <w:p>
      <w:pPr>
        <w:spacing w:line="360" w:lineRule="auto"/>
        <w:rPr>
          <w:rFonts w:ascii="宋体" w:hAnsi="宋体"/>
          <w:b/>
          <w:bCs/>
          <w:color w:val="auto"/>
          <w:sz w:val="24"/>
          <w:szCs w:val="28"/>
          <w:highlight w:val="none"/>
        </w:rPr>
      </w:pPr>
      <w:r>
        <w:rPr>
          <w:rFonts w:hint="eastAsia" w:ascii="宋体" w:hAnsi="宋体"/>
          <w:b/>
          <w:bCs/>
          <w:color w:val="auto"/>
          <w:sz w:val="24"/>
          <w:szCs w:val="28"/>
          <w:highlight w:val="none"/>
        </w:rPr>
        <w:t>附件四  响应文件技术部分模板</w:t>
      </w:r>
    </w:p>
    <w:p>
      <w:pPr>
        <w:pStyle w:val="2"/>
        <w:rPr>
          <w:color w:val="auto"/>
          <w:highlight w:val="none"/>
        </w:rPr>
      </w:pPr>
    </w:p>
    <w:p>
      <w:pPr>
        <w:widowControl/>
        <w:adjustRightInd w:val="0"/>
        <w:spacing w:line="360" w:lineRule="auto"/>
        <w:ind w:firstLine="480" w:firstLineChars="200"/>
        <w:jc w:val="right"/>
        <w:rPr>
          <w:rFonts w:ascii="宋体" w:hAnsi="宋体" w:cs="宋体"/>
          <w:snapToGrid w:val="0"/>
          <w:color w:val="auto"/>
          <w:kern w:val="28"/>
          <w:sz w:val="24"/>
          <w:szCs w:val="28"/>
          <w:highlight w:val="none"/>
        </w:rPr>
      </w:pPr>
      <w:r>
        <w:rPr>
          <w:rFonts w:hint="eastAsia" w:ascii="宋体" w:hAnsi="宋体" w:cs="宋体"/>
          <w:snapToGrid w:val="0"/>
          <w:color w:val="auto"/>
          <w:kern w:val="28"/>
          <w:sz w:val="24"/>
          <w:szCs w:val="28"/>
          <w:highlight w:val="none"/>
        </w:rPr>
        <w:t>二○二四年三月</w:t>
      </w:r>
    </w:p>
    <w:p>
      <w:pPr>
        <w:spacing w:line="440" w:lineRule="exact"/>
        <w:jc w:val="left"/>
        <w:outlineLvl w:val="0"/>
        <w:rPr>
          <w:color w:val="auto"/>
          <w:highlight w:val="none"/>
        </w:rPr>
      </w:pPr>
      <w:r>
        <w:rPr>
          <w:color w:val="auto"/>
          <w:highlight w:val="none"/>
        </w:rPr>
        <w:br w:type="page"/>
      </w:r>
      <w:bookmarkStart w:id="99" w:name="_Toc6923"/>
      <w:bookmarkStart w:id="100" w:name="_Toc29742"/>
      <w:bookmarkStart w:id="101" w:name="_Toc18556"/>
      <w:bookmarkStart w:id="102" w:name="_Toc21906"/>
      <w:bookmarkStart w:id="103" w:name="_Toc26179"/>
      <w:bookmarkStart w:id="104" w:name="_Toc16524"/>
      <w:bookmarkStart w:id="105" w:name="_Toc17012"/>
      <w:bookmarkStart w:id="106" w:name="_Toc133413402"/>
      <w:bookmarkStart w:id="107" w:name="_Toc32289"/>
      <w:bookmarkStart w:id="108" w:name="_Toc3019"/>
      <w:r>
        <w:rPr>
          <w:rFonts w:hint="eastAsia" w:ascii="宋体" w:hAnsi="宋体"/>
          <w:b/>
          <w:bCs/>
          <w:color w:val="auto"/>
          <w:sz w:val="24"/>
          <w:highlight w:val="none"/>
        </w:rPr>
        <w:t>附件一 技术规范书</w:t>
      </w:r>
      <w:bookmarkEnd w:id="99"/>
      <w:bookmarkEnd w:id="100"/>
      <w:bookmarkEnd w:id="101"/>
      <w:bookmarkEnd w:id="102"/>
      <w:bookmarkEnd w:id="103"/>
      <w:bookmarkEnd w:id="104"/>
      <w:bookmarkEnd w:id="105"/>
      <w:bookmarkEnd w:id="106"/>
      <w:bookmarkEnd w:id="107"/>
      <w:bookmarkEnd w:id="108"/>
      <w:r>
        <w:rPr>
          <w:rFonts w:hint="eastAsia" w:ascii="宋体" w:hAnsi="宋体"/>
          <w:b/>
          <w:bCs/>
          <w:color w:val="auto"/>
          <w:sz w:val="24"/>
          <w:highlight w:val="none"/>
        </w:rPr>
        <w:t xml:space="preserve"> </w:t>
      </w:r>
    </w:p>
    <w:p>
      <w:pPr>
        <w:pStyle w:val="10"/>
        <w:rPr>
          <w:color w:val="auto"/>
          <w:highlight w:val="none"/>
        </w:rPr>
      </w:pPr>
    </w:p>
    <w:p>
      <w:pPr>
        <w:spacing w:line="360" w:lineRule="auto"/>
        <w:jc w:val="left"/>
        <w:outlineLvl w:val="1"/>
        <w:rPr>
          <w:rFonts w:asciiTheme="minorEastAsia" w:hAnsiTheme="minorEastAsia" w:eastAsiaTheme="minorEastAsia"/>
          <w:b/>
          <w:bCs/>
          <w:color w:val="auto"/>
          <w:sz w:val="24"/>
          <w:highlight w:val="none"/>
        </w:rPr>
      </w:pPr>
      <w:bookmarkStart w:id="109" w:name="_Toc152698269"/>
      <w:r>
        <w:rPr>
          <w:rFonts w:hint="eastAsia" w:asciiTheme="minorEastAsia" w:hAnsiTheme="minorEastAsia" w:eastAsiaTheme="minorEastAsia"/>
          <w:b/>
          <w:bCs/>
          <w:color w:val="auto"/>
          <w:sz w:val="24"/>
          <w:highlight w:val="none"/>
        </w:rPr>
        <w:t>1、项目概述</w:t>
      </w:r>
    </w:p>
    <w:p>
      <w:pPr>
        <w:spacing w:line="360" w:lineRule="auto"/>
        <w:jc w:val="left"/>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1.1企业概况</w:t>
      </w:r>
    </w:p>
    <w:p>
      <w:pPr>
        <w:pStyle w:val="26"/>
        <w:spacing w:after="0" w:line="360" w:lineRule="auto"/>
        <w:ind w:left="0" w:leftChars="0" w:firstLine="480" w:firstLineChars="200"/>
        <w:rPr>
          <w:color w:val="auto"/>
          <w:highlight w:val="none"/>
        </w:rPr>
      </w:pPr>
      <w:r>
        <w:rPr>
          <w:rFonts w:hint="eastAsia" w:asciiTheme="minorEastAsia" w:hAnsiTheme="minorEastAsia" w:eastAsiaTheme="minorEastAsia"/>
          <w:color w:val="auto"/>
          <w:highlight w:val="none"/>
        </w:rPr>
        <w:t>国家电投集团数字科技有限公司（简称“电投数科”）成立于2013年8月，前身为国家电投集团信息技术有限公司，2021年4月更名为国家电投集团数字科技有限公司。电投数科是国家电控股子公司（二级单位）、国家电投数字化技术领域专业平台公司，国家电投数字化转型建设的重点支撑单位。</w:t>
      </w:r>
    </w:p>
    <w:p>
      <w:pPr>
        <w:spacing w:line="360" w:lineRule="auto"/>
        <w:jc w:val="left"/>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1.2项目目标</w:t>
      </w:r>
    </w:p>
    <w:p>
      <w:pPr>
        <w:pStyle w:val="11"/>
        <w:ind w:firstLine="480"/>
        <w:rPr>
          <w:color w:val="auto"/>
          <w:sz w:val="24"/>
          <w:szCs w:val="24"/>
          <w:highlight w:val="none"/>
        </w:rPr>
      </w:pPr>
      <w:r>
        <w:rPr>
          <w:rFonts w:hint="eastAsia"/>
          <w:color w:val="auto"/>
          <w:sz w:val="24"/>
          <w:szCs w:val="24"/>
          <w:highlight w:val="none"/>
        </w:rPr>
        <w:t>电力设备数据字典测试床的算法训练和测试设备，用于2022年工信部数据字典项目实施过程中的后台数据处理、算法训练和测试等研发工作，包括：塔式工作站等。</w:t>
      </w:r>
    </w:p>
    <w:p>
      <w:pPr>
        <w:spacing w:line="360" w:lineRule="auto"/>
        <w:jc w:val="left"/>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1.3当前使用环境</w:t>
      </w:r>
    </w:p>
    <w:p>
      <w:pPr>
        <w:pStyle w:val="11"/>
        <w:ind w:firstLine="480"/>
        <w:rPr>
          <w:color w:val="auto"/>
          <w:sz w:val="24"/>
          <w:szCs w:val="24"/>
          <w:highlight w:val="none"/>
        </w:rPr>
      </w:pPr>
      <w:r>
        <w:rPr>
          <w:rFonts w:hint="eastAsia" w:asciiTheme="minorEastAsia" w:hAnsiTheme="minorEastAsia" w:eastAsiaTheme="minorEastAsia"/>
          <w:color w:val="auto"/>
          <w:sz w:val="24"/>
          <w:szCs w:val="24"/>
          <w:highlight w:val="none"/>
        </w:rPr>
        <w:t>当前使用环境包括：戴尔（DELL）Precision</w:t>
      </w:r>
      <w:r>
        <w:rPr>
          <w:rFonts w:asciiTheme="minorEastAsia" w:hAnsiTheme="minorEastAsia" w:eastAsiaTheme="minorEastAsia"/>
          <w:color w:val="auto"/>
          <w:sz w:val="24"/>
          <w:szCs w:val="24"/>
          <w:highlight w:val="none"/>
        </w:rPr>
        <w:t xml:space="preserve"> T7920</w:t>
      </w:r>
      <w:r>
        <w:rPr>
          <w:rFonts w:hint="eastAsia"/>
          <w:color w:val="auto"/>
          <w:sz w:val="24"/>
          <w:szCs w:val="24"/>
          <w:highlight w:val="none"/>
        </w:rPr>
        <w:t>塔式图形工作站等。</w:t>
      </w:r>
    </w:p>
    <w:p>
      <w:pPr>
        <w:spacing w:line="360" w:lineRule="auto"/>
        <w:jc w:val="left"/>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1.4项目范围</w:t>
      </w:r>
    </w:p>
    <w:p>
      <w:pPr>
        <w:spacing w:line="360" w:lineRule="auto"/>
        <w:ind w:firstLine="480" w:firstLineChars="200"/>
        <w:jc w:val="left"/>
        <w:rPr>
          <w:rFonts w:asciiTheme="minorEastAsia" w:hAnsiTheme="minorEastAsia" w:eastAsiaTheme="minorEastAsia"/>
          <w:color w:val="auto"/>
          <w:sz w:val="24"/>
          <w:highlight w:val="none"/>
        </w:rPr>
      </w:pPr>
      <w:r>
        <w:rPr>
          <w:rFonts w:hint="eastAsia"/>
          <w:color w:val="auto"/>
          <w:sz w:val="24"/>
          <w:highlight w:val="none"/>
        </w:rPr>
        <w:t>具体内容详见4.1供货需求一览表。</w:t>
      </w:r>
    </w:p>
    <w:p>
      <w:pPr>
        <w:spacing w:line="360" w:lineRule="auto"/>
        <w:jc w:val="left"/>
        <w:outlineLvl w:val="1"/>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2、技术要求</w:t>
      </w:r>
    </w:p>
    <w:p>
      <w:pPr>
        <w:spacing w:line="360" w:lineRule="auto"/>
        <w:jc w:val="left"/>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2.1对供应商的技术要求</w:t>
      </w:r>
    </w:p>
    <w:p>
      <w:pPr>
        <w:spacing w:line="360" w:lineRule="auto"/>
        <w:ind w:firstLine="480" w:firstLineChars="200"/>
        <w:jc w:val="left"/>
        <w:rPr>
          <w:color w:val="auto"/>
          <w:highlight w:val="none"/>
        </w:rPr>
      </w:pPr>
      <w:r>
        <w:rPr>
          <w:rFonts w:hint="eastAsia"/>
          <w:color w:val="auto"/>
          <w:sz w:val="24"/>
          <w:highlight w:val="none"/>
        </w:rPr>
        <w:t>供应商提供设备需满足4.1供货需求一览表的技术要求，且考虑到整体项目效果，提供设备需与采购方现有工作环境兼容。</w:t>
      </w:r>
    </w:p>
    <w:p>
      <w:pPr>
        <w:spacing w:line="360" w:lineRule="auto"/>
        <w:jc w:val="left"/>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2.2提交技术方案的基本要求</w:t>
      </w:r>
    </w:p>
    <w:p>
      <w:pPr>
        <w:spacing w:line="360" w:lineRule="auto"/>
        <w:ind w:firstLine="480" w:firstLineChars="200"/>
        <w:jc w:val="left"/>
        <w:rPr>
          <w:color w:val="auto"/>
          <w:sz w:val="24"/>
          <w:highlight w:val="none"/>
        </w:rPr>
      </w:pPr>
      <w:r>
        <w:rPr>
          <w:rFonts w:hint="eastAsia"/>
          <w:color w:val="auto"/>
          <w:sz w:val="24"/>
          <w:highlight w:val="none"/>
        </w:rPr>
        <w:t>根据本技术规范书，编制切实可行的实施方案。</w:t>
      </w:r>
    </w:p>
    <w:p>
      <w:pPr>
        <w:spacing w:line="360" w:lineRule="auto"/>
        <w:jc w:val="left"/>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2.3对技术部分的应答要求</w:t>
      </w:r>
    </w:p>
    <w:p>
      <w:pPr>
        <w:spacing w:line="360" w:lineRule="auto"/>
        <w:ind w:firstLine="480" w:firstLineChars="200"/>
        <w:jc w:val="left"/>
        <w:rPr>
          <w:color w:val="auto"/>
          <w:sz w:val="24"/>
          <w:highlight w:val="none"/>
        </w:rPr>
      </w:pPr>
      <w:r>
        <w:rPr>
          <w:rFonts w:hint="eastAsia"/>
          <w:color w:val="auto"/>
          <w:sz w:val="24"/>
          <w:highlight w:val="none"/>
        </w:rPr>
        <w:t>要求完全响应该技术规范书。</w:t>
      </w:r>
    </w:p>
    <w:p>
      <w:pPr>
        <w:spacing w:line="360" w:lineRule="auto"/>
        <w:jc w:val="left"/>
        <w:outlineLvl w:val="1"/>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3、服务基本原则</w:t>
      </w:r>
    </w:p>
    <w:p>
      <w:pPr>
        <w:pStyle w:val="11"/>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4"/>
          <w:highlight w:val="none"/>
        </w:rPr>
        <w:t>供应商在中选后，应负责根据本技术规范书要求提供本项目的产品及服务，完成本项目建设范围内的全部工作任务。</w:t>
      </w:r>
    </w:p>
    <w:p>
      <w:pPr>
        <w:spacing w:line="360" w:lineRule="auto"/>
        <w:jc w:val="left"/>
        <w:outlineLvl w:val="1"/>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4、服务内容</w:t>
      </w:r>
    </w:p>
    <w:p>
      <w:pPr>
        <w:spacing w:line="360" w:lineRule="auto"/>
        <w:jc w:val="left"/>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4.1供货需求一览表</w:t>
      </w:r>
    </w:p>
    <w:p>
      <w:pPr>
        <w:pStyle w:val="2"/>
        <w:rPr>
          <w:color w:val="auto"/>
          <w:highlight w:val="none"/>
        </w:rPr>
      </w:pP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134"/>
        <w:gridCol w:w="5245"/>
        <w:gridCol w:w="709"/>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blHeader/>
        </w:trPr>
        <w:tc>
          <w:tcPr>
            <w:tcW w:w="562" w:type="dxa"/>
            <w:shd w:val="clear" w:color="auto" w:fill="auto"/>
            <w:vAlign w:val="center"/>
          </w:tcPr>
          <w:p>
            <w:pPr>
              <w:widowControl/>
              <w:jc w:val="center"/>
              <w:rPr>
                <w:rFonts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b/>
                <w:bCs/>
                <w:color w:val="auto"/>
                <w:kern w:val="0"/>
                <w:sz w:val="24"/>
                <w:highlight w:val="none"/>
              </w:rPr>
              <w:t>序号</w:t>
            </w:r>
          </w:p>
        </w:tc>
        <w:tc>
          <w:tcPr>
            <w:tcW w:w="1134" w:type="dxa"/>
            <w:shd w:val="clear" w:color="auto" w:fill="auto"/>
            <w:vAlign w:val="center"/>
          </w:tcPr>
          <w:p>
            <w:pPr>
              <w:widowControl/>
              <w:jc w:val="center"/>
              <w:rPr>
                <w:rFonts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b/>
                <w:bCs/>
                <w:color w:val="auto"/>
                <w:kern w:val="0"/>
                <w:sz w:val="24"/>
                <w:highlight w:val="none"/>
              </w:rPr>
              <w:t>设备名称</w:t>
            </w:r>
          </w:p>
        </w:tc>
        <w:tc>
          <w:tcPr>
            <w:tcW w:w="5245" w:type="dxa"/>
            <w:vAlign w:val="center"/>
          </w:tcPr>
          <w:p>
            <w:pPr>
              <w:widowControl/>
              <w:jc w:val="center"/>
              <w:rPr>
                <w:rFonts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b/>
                <w:bCs/>
                <w:color w:val="auto"/>
                <w:kern w:val="0"/>
                <w:sz w:val="24"/>
                <w:highlight w:val="none"/>
              </w:rPr>
              <w:t>规格型号</w:t>
            </w:r>
          </w:p>
        </w:tc>
        <w:tc>
          <w:tcPr>
            <w:tcW w:w="709" w:type="dxa"/>
            <w:vAlign w:val="center"/>
          </w:tcPr>
          <w:p>
            <w:pPr>
              <w:widowControl/>
              <w:jc w:val="center"/>
              <w:rPr>
                <w:rFonts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b/>
                <w:bCs/>
                <w:color w:val="auto"/>
                <w:kern w:val="0"/>
                <w:sz w:val="24"/>
                <w:highlight w:val="none"/>
              </w:rPr>
              <w:t>单位</w:t>
            </w:r>
          </w:p>
        </w:tc>
        <w:tc>
          <w:tcPr>
            <w:tcW w:w="759" w:type="dxa"/>
            <w:vAlign w:val="center"/>
          </w:tcPr>
          <w:p>
            <w:pPr>
              <w:widowControl/>
              <w:jc w:val="center"/>
              <w:rPr>
                <w:rFonts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b/>
                <w:bCs/>
                <w:color w:val="auto"/>
                <w:kern w:val="0"/>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562" w:type="dxa"/>
            <w:shd w:val="clear" w:color="auto" w:fill="auto"/>
            <w:vAlign w:val="center"/>
          </w:tcPr>
          <w:p>
            <w:pPr>
              <w:widowControl/>
              <w:jc w:val="center"/>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w:t>
            </w:r>
          </w:p>
        </w:tc>
        <w:tc>
          <w:tcPr>
            <w:tcW w:w="1134" w:type="dxa"/>
            <w:shd w:val="clear" w:color="auto" w:fill="auto"/>
            <w:vAlign w:val="center"/>
          </w:tcPr>
          <w:p>
            <w:pPr>
              <w:widowControl/>
              <w:jc w:val="center"/>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塔式工作站</w:t>
            </w:r>
          </w:p>
        </w:tc>
        <w:tc>
          <w:tcPr>
            <w:tcW w:w="5245" w:type="dxa"/>
            <w:vAlign w:val="center"/>
          </w:tcPr>
          <w:p>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配置不低于：</w:t>
            </w:r>
          </w:p>
          <w:p>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CPU：双处理器，至强金牌6248R；</w:t>
            </w:r>
          </w:p>
          <w:p>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显卡：浮点算力不低于Nvidia RTX3090,24GB,2组；</w:t>
            </w:r>
          </w:p>
          <w:p>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内存：128GB DDR4 3200MHz；</w:t>
            </w:r>
          </w:p>
          <w:p>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硬盘：512GB固态硬盘+4TB 7200rpm SATA硬盘；</w:t>
            </w:r>
          </w:p>
          <w:p>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英特尔双频无限+蓝牙模块；</w:t>
            </w:r>
          </w:p>
          <w:p>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24寸IPS显示器。</w:t>
            </w:r>
          </w:p>
          <w:p>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提供产品需全新未开封。</w:t>
            </w:r>
          </w:p>
          <w:p>
            <w:pPr>
              <w:widowControl/>
              <w:jc w:val="left"/>
              <w:rPr>
                <w:color w:val="auto"/>
                <w:highlight w:val="none"/>
              </w:rPr>
            </w:pPr>
            <w:r>
              <w:rPr>
                <w:rFonts w:hint="eastAsia" w:cs="宋体" w:asciiTheme="minorEastAsia" w:hAnsiTheme="minorEastAsia" w:eastAsiaTheme="minorEastAsia"/>
                <w:color w:val="auto"/>
                <w:kern w:val="0"/>
                <w:sz w:val="24"/>
                <w:highlight w:val="none"/>
              </w:rPr>
              <w:t>操作系统：Window专业版。</w:t>
            </w:r>
          </w:p>
        </w:tc>
        <w:tc>
          <w:tcPr>
            <w:tcW w:w="709" w:type="dxa"/>
            <w:vAlign w:val="center"/>
          </w:tcPr>
          <w:p>
            <w:pPr>
              <w:widowControl/>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台</w:t>
            </w:r>
          </w:p>
        </w:tc>
        <w:tc>
          <w:tcPr>
            <w:tcW w:w="759" w:type="dxa"/>
            <w:vAlign w:val="center"/>
          </w:tcPr>
          <w:p>
            <w:pPr>
              <w:widowControl/>
              <w:jc w:val="center"/>
              <w:rPr>
                <w:rFonts w:cs="宋体" w:asciiTheme="minorEastAsia" w:hAnsiTheme="minorEastAsia" w:eastAsiaTheme="minorEastAsia"/>
                <w:color w:val="auto"/>
                <w:kern w:val="0"/>
                <w:sz w:val="24"/>
                <w:highlight w:val="none"/>
              </w:rPr>
            </w:pPr>
            <w:r>
              <w:rPr>
                <w:rFonts w:asciiTheme="minorEastAsia" w:hAnsiTheme="minorEastAsia" w:eastAsiaTheme="minorEastAsia"/>
                <w:color w:val="auto"/>
                <w:sz w:val="24"/>
                <w:highlight w:val="none"/>
              </w:rPr>
              <w:t>6</w:t>
            </w:r>
          </w:p>
        </w:tc>
      </w:tr>
    </w:tbl>
    <w:p>
      <w:pPr>
        <w:rPr>
          <w:color w:val="auto"/>
          <w:highlight w:val="none"/>
        </w:rPr>
      </w:pPr>
    </w:p>
    <w:p>
      <w:pPr>
        <w:spacing w:line="360" w:lineRule="auto"/>
        <w:jc w:val="left"/>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w:t>
      </w:r>
      <w:r>
        <w:rPr>
          <w:rFonts w:hint="eastAsia" w:asciiTheme="minorEastAsia" w:hAnsiTheme="minorEastAsia" w:eastAsiaTheme="minorEastAsia"/>
          <w:color w:val="auto"/>
          <w:sz w:val="24"/>
          <w:highlight w:val="none"/>
          <w:lang w:val="zh-CN"/>
        </w:rPr>
        <w:t>供货地址：北京市昌平区北七家镇北七家东路9号院国家电投院内C座，国家电投集团数字科技有限公司</w:t>
      </w:r>
    </w:p>
    <w:p>
      <w:pPr>
        <w:spacing w:line="360" w:lineRule="auto"/>
        <w:jc w:val="left"/>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4.3供应商必须保证所投产品为全新、未使用过的产品。</w:t>
      </w:r>
    </w:p>
    <w:p>
      <w:pPr>
        <w:tabs>
          <w:tab w:val="left" w:pos="312"/>
        </w:tabs>
        <w:spacing w:line="360" w:lineRule="auto"/>
        <w:jc w:val="left"/>
        <w:outlineLvl w:val="1"/>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5、服务期限</w:t>
      </w:r>
    </w:p>
    <w:p>
      <w:pPr>
        <w:widowControl/>
        <w:tabs>
          <w:tab w:val="left" w:pos="420"/>
        </w:tabs>
        <w:adjustRightInd w:val="0"/>
        <w:spacing w:line="360" w:lineRule="auto"/>
        <w:ind w:firstLine="480" w:firstLineChars="200"/>
        <w:jc w:val="left"/>
        <w:rPr>
          <w:rFonts w:cs="宋体" w:asciiTheme="minorEastAsia" w:hAnsiTheme="minorEastAsia" w:eastAsiaTheme="minorEastAsia"/>
          <w:snapToGrid w:val="0"/>
          <w:color w:val="auto"/>
          <w:kern w:val="28"/>
          <w:sz w:val="24"/>
          <w:highlight w:val="none"/>
        </w:rPr>
      </w:pPr>
      <w:r>
        <w:rPr>
          <w:rFonts w:hint="eastAsia" w:asciiTheme="minorEastAsia" w:hAnsiTheme="minorEastAsia" w:eastAsiaTheme="minorEastAsia"/>
          <w:snapToGrid w:val="0"/>
          <w:color w:val="auto"/>
          <w:kern w:val="28"/>
          <w:sz w:val="24"/>
          <w:highlight w:val="none"/>
        </w:rPr>
        <w:t>供货周期：合同签订后的1个月之内。</w:t>
      </w:r>
    </w:p>
    <w:p>
      <w:pPr>
        <w:widowControl/>
        <w:tabs>
          <w:tab w:val="left" w:pos="420"/>
        </w:tabs>
        <w:adjustRightInd w:val="0"/>
        <w:spacing w:line="360" w:lineRule="auto"/>
        <w:ind w:left="420" w:hanging="420"/>
        <w:jc w:val="left"/>
        <w:outlineLvl w:val="1"/>
        <w:rPr>
          <w:rFonts w:asciiTheme="minorEastAsia" w:hAnsiTheme="minorEastAsia" w:eastAsiaTheme="minorEastAsia"/>
          <w:b/>
          <w:bCs/>
          <w:snapToGrid w:val="0"/>
          <w:color w:val="auto"/>
          <w:kern w:val="28"/>
          <w:sz w:val="24"/>
          <w:highlight w:val="none"/>
        </w:rPr>
      </w:pPr>
      <w:r>
        <w:rPr>
          <w:rFonts w:asciiTheme="minorEastAsia" w:hAnsiTheme="minorEastAsia" w:eastAsiaTheme="minorEastAsia"/>
          <w:b/>
          <w:bCs/>
          <w:snapToGrid w:val="0"/>
          <w:color w:val="auto"/>
          <w:kern w:val="28"/>
          <w:sz w:val="24"/>
          <w:highlight w:val="none"/>
        </w:rPr>
        <w:t>6</w:t>
      </w:r>
      <w:r>
        <w:rPr>
          <w:rFonts w:hint="eastAsia" w:asciiTheme="minorEastAsia" w:hAnsiTheme="minorEastAsia" w:eastAsiaTheme="minorEastAsia"/>
          <w:b/>
          <w:bCs/>
          <w:snapToGrid w:val="0"/>
          <w:color w:val="auto"/>
          <w:kern w:val="28"/>
          <w:sz w:val="24"/>
          <w:highlight w:val="none"/>
        </w:rPr>
        <w:t>、实施与项目管理要求</w:t>
      </w:r>
    </w:p>
    <w:p>
      <w:pPr>
        <w:spacing w:line="360" w:lineRule="auto"/>
        <w:ind w:firstLine="480" w:firstLineChars="200"/>
        <w:jc w:val="lef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1.供应商负责将合同设备运送到采购人指定的安装地点，由此产生的费用由供应商承担。</w:t>
      </w:r>
    </w:p>
    <w:p>
      <w:pPr>
        <w:spacing w:line="360" w:lineRule="auto"/>
        <w:ind w:firstLine="480" w:firstLineChars="200"/>
        <w:jc w:val="lef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2.采购人依供应商在报价响应文件中的承诺对全部设备的型号、规格、数量、外形、外观、包装及资料、文件(包括装箱单、保修单、随箱介质等)等进行验收。</w:t>
      </w:r>
    </w:p>
    <w:p>
      <w:pPr>
        <w:spacing w:line="360" w:lineRule="auto"/>
        <w:ind w:firstLine="480" w:firstLineChars="200"/>
        <w:jc w:val="lef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3.双方对设备到货后共同配合进行开箱检查，出现损坏、数量不全或产品不对等问题时，由供应商负责解决。交付时，供应商应向采购人提交到货验收报告，逐项列举出货物清单、并提交货物相关资料。</w:t>
      </w:r>
    </w:p>
    <w:p>
      <w:pPr>
        <w:spacing w:line="360" w:lineRule="auto"/>
        <w:ind w:firstLine="480" w:firstLineChars="200"/>
        <w:jc w:val="lef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4.在采购人指定的地点和环境下，合同设备由供货方按照采购人实际需要，无偿提供合同设备安装调试服务（所有部件模块的功能能够正常运行和使用），加电实现正常运行，并达到供应商在报价响应文件中承诺的技术指标和性能。如无法正常运行，由供应商负责后续售后及问题解决。设备到货验收及加电验收中出现性能指标或功能上不符合供应商在报价响应文件中的承诺、产品质量问题以及合同要求时，采购人有拒收的权利。</w:t>
      </w:r>
    </w:p>
    <w:p>
      <w:pPr>
        <w:spacing w:line="360" w:lineRule="auto"/>
        <w:ind w:firstLine="480" w:firstLineChars="200"/>
        <w:jc w:val="lef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5.供应商需提交合同设备安装、调试时参数配置文档。</w:t>
      </w:r>
    </w:p>
    <w:p>
      <w:pPr>
        <w:spacing w:line="360" w:lineRule="auto"/>
        <w:ind w:firstLine="480" w:firstLineChars="200"/>
        <w:jc w:val="left"/>
        <w:rPr>
          <w:color w:val="auto"/>
          <w:sz w:val="24"/>
          <w:highlight w:val="none"/>
        </w:rPr>
      </w:pPr>
      <w:r>
        <w:rPr>
          <w:rFonts w:hint="eastAsia" w:cs="宋体" w:asciiTheme="minorEastAsia" w:hAnsiTheme="minorEastAsia" w:eastAsiaTheme="minorEastAsia"/>
          <w:snapToGrid w:val="0"/>
          <w:color w:val="auto"/>
          <w:kern w:val="28"/>
          <w:sz w:val="24"/>
          <w:highlight w:val="none"/>
        </w:rPr>
        <w:t>6</w:t>
      </w:r>
      <w:r>
        <w:rPr>
          <w:rFonts w:cs="宋体" w:asciiTheme="minorEastAsia" w:hAnsiTheme="minorEastAsia" w:eastAsiaTheme="minorEastAsia"/>
          <w:snapToGrid w:val="0"/>
          <w:color w:val="auto"/>
          <w:kern w:val="28"/>
          <w:sz w:val="24"/>
          <w:highlight w:val="none"/>
        </w:rPr>
        <w:t>.</w:t>
      </w:r>
      <w:r>
        <w:rPr>
          <w:rFonts w:hint="eastAsia"/>
          <w:color w:val="auto"/>
          <w:sz w:val="24"/>
          <w:highlight w:val="none"/>
        </w:rPr>
        <w:t>当所提供的安装后无法正常运行时，供应商须根据采购人要求提供设备（或配件）进行替换，且替换设备须在收到通知后1周内到场。因设备故障产生的一切费用由供应商承担。</w:t>
      </w:r>
    </w:p>
    <w:p>
      <w:pPr>
        <w:spacing w:line="360" w:lineRule="auto"/>
        <w:ind w:firstLine="480" w:firstLineChars="200"/>
        <w:jc w:val="left"/>
        <w:rPr>
          <w:rFonts w:cs="宋体" w:asciiTheme="minorEastAsia" w:hAnsiTheme="minorEastAsia" w:eastAsiaTheme="minorEastAsia"/>
          <w:snapToGrid w:val="0"/>
          <w:color w:val="auto"/>
          <w:kern w:val="28"/>
          <w:sz w:val="24"/>
          <w:highlight w:val="none"/>
        </w:rPr>
      </w:pPr>
      <w:r>
        <w:rPr>
          <w:rFonts w:hint="eastAsia"/>
          <w:color w:val="auto"/>
          <w:sz w:val="24"/>
          <w:highlight w:val="none"/>
        </w:rPr>
        <w:t>7</w:t>
      </w:r>
      <w:r>
        <w:rPr>
          <w:color w:val="auto"/>
          <w:sz w:val="24"/>
          <w:highlight w:val="none"/>
        </w:rPr>
        <w:t>.</w:t>
      </w:r>
      <w:r>
        <w:rPr>
          <w:rFonts w:hint="eastAsia"/>
          <w:color w:val="auto"/>
          <w:highlight w:val="none"/>
        </w:rPr>
        <w:t xml:space="preserve"> </w:t>
      </w:r>
      <w:r>
        <w:rPr>
          <w:rFonts w:hint="eastAsia"/>
          <w:color w:val="auto"/>
          <w:sz w:val="24"/>
          <w:highlight w:val="none"/>
        </w:rPr>
        <w:t>当设备在使用过程中出现故障时，供应商应在收到采购人通知后2周内排除设备故障使其正常运行。如在售后过程中需返厂维修或增补配件，所产生的快递费用（须发顺丰快递）均由供应商承担。</w:t>
      </w:r>
    </w:p>
    <w:p>
      <w:pPr>
        <w:spacing w:line="360" w:lineRule="auto"/>
        <w:ind w:firstLine="480" w:firstLineChars="200"/>
        <w:jc w:val="left"/>
        <w:rPr>
          <w:rFonts w:cs="宋体" w:asciiTheme="minorEastAsia" w:hAnsiTheme="minorEastAsia" w:eastAsiaTheme="minorEastAsia"/>
          <w:snapToGrid w:val="0"/>
          <w:color w:val="auto"/>
          <w:kern w:val="28"/>
          <w:sz w:val="24"/>
          <w:highlight w:val="none"/>
        </w:rPr>
      </w:pPr>
      <w:r>
        <w:rPr>
          <w:rFonts w:cs="宋体" w:asciiTheme="minorEastAsia" w:hAnsiTheme="minorEastAsia" w:eastAsiaTheme="minorEastAsia"/>
          <w:snapToGrid w:val="0"/>
          <w:color w:val="auto"/>
          <w:kern w:val="28"/>
          <w:sz w:val="24"/>
          <w:highlight w:val="none"/>
        </w:rPr>
        <w:t>8</w:t>
      </w:r>
      <w:r>
        <w:rPr>
          <w:rFonts w:hint="eastAsia" w:cs="宋体" w:asciiTheme="minorEastAsia" w:hAnsiTheme="minorEastAsia" w:eastAsiaTheme="minorEastAsia"/>
          <w:snapToGrid w:val="0"/>
          <w:color w:val="auto"/>
          <w:kern w:val="28"/>
          <w:sz w:val="24"/>
          <w:highlight w:val="none"/>
        </w:rPr>
        <w:t>.供应商提供的设备在满足报价响应文件的基础上，提供保证所购设备得以正常连接和运行的全部部件、模块、软件及相关的连接设备、电缆等。如有缺漏，供应商免费提供。</w:t>
      </w:r>
    </w:p>
    <w:p>
      <w:pPr>
        <w:spacing w:line="360" w:lineRule="auto"/>
        <w:ind w:firstLine="480" w:firstLineChars="200"/>
        <w:jc w:val="left"/>
        <w:rPr>
          <w:rFonts w:cs="宋体" w:asciiTheme="minorEastAsia" w:hAnsiTheme="minorEastAsia" w:eastAsiaTheme="minorEastAsia"/>
          <w:snapToGrid w:val="0"/>
          <w:color w:val="auto"/>
          <w:kern w:val="28"/>
          <w:sz w:val="24"/>
          <w:highlight w:val="none"/>
        </w:rPr>
      </w:pPr>
      <w:r>
        <w:rPr>
          <w:rFonts w:cs="宋体" w:asciiTheme="minorEastAsia" w:hAnsiTheme="minorEastAsia" w:eastAsiaTheme="minorEastAsia"/>
          <w:snapToGrid w:val="0"/>
          <w:color w:val="auto"/>
          <w:kern w:val="28"/>
          <w:sz w:val="24"/>
          <w:highlight w:val="none"/>
        </w:rPr>
        <w:t>9</w:t>
      </w:r>
      <w:r>
        <w:rPr>
          <w:rFonts w:hint="eastAsia" w:cs="宋体" w:asciiTheme="minorEastAsia" w:hAnsiTheme="minorEastAsia" w:eastAsiaTheme="minorEastAsia"/>
          <w:snapToGrid w:val="0"/>
          <w:color w:val="auto"/>
          <w:kern w:val="28"/>
          <w:sz w:val="24"/>
          <w:highlight w:val="none"/>
        </w:rPr>
        <w:t>.供应商提供的设备必须是全新的、准许在中华人民共和国境内销售的产品。</w:t>
      </w:r>
    </w:p>
    <w:bookmarkEnd w:id="109"/>
    <w:p>
      <w:pPr>
        <w:pStyle w:val="10"/>
        <w:rPr>
          <w:rFonts w:ascii="宋体" w:hAnsi="宋体" w:cs="宋体"/>
          <w:color w:val="auto"/>
          <w:szCs w:val="21"/>
          <w:highlight w:val="none"/>
        </w:rPr>
      </w:pPr>
    </w:p>
    <w:p>
      <w:pPr>
        <w:pStyle w:val="10"/>
        <w:rPr>
          <w:rFonts w:ascii="宋体" w:hAnsi="宋体" w:cs="宋体"/>
          <w:color w:val="auto"/>
          <w:szCs w:val="21"/>
          <w:highlight w:val="none"/>
        </w:rPr>
      </w:pPr>
    </w:p>
    <w:p>
      <w:pPr>
        <w:pStyle w:val="10"/>
        <w:ind w:firstLine="482"/>
        <w:rPr>
          <w:rFonts w:ascii="宋体" w:hAnsi="宋体" w:cs="宋体"/>
          <w:b/>
          <w:snapToGrid w:val="0"/>
          <w:color w:val="auto"/>
          <w:kern w:val="28"/>
          <w:sz w:val="24"/>
          <w:szCs w:val="21"/>
          <w:highlight w:val="none"/>
        </w:rPr>
      </w:pPr>
    </w:p>
    <w:p>
      <w:pPr>
        <w:pStyle w:val="10"/>
        <w:ind w:firstLine="0" w:firstLineChars="0"/>
        <w:rPr>
          <w:color w:val="auto"/>
          <w:highlight w:val="none"/>
        </w:rPr>
        <w:sectPr>
          <w:footerReference r:id="rId4" w:type="first"/>
          <w:footerReference r:id="rId3" w:type="default"/>
          <w:pgSz w:w="11907" w:h="16840"/>
          <w:pgMar w:top="1440" w:right="1701" w:bottom="1440" w:left="1701" w:header="851" w:footer="992" w:gutter="0"/>
          <w:cols w:space="720" w:num="1"/>
          <w:titlePg/>
          <w:docGrid w:linePitch="326" w:charSpace="0"/>
        </w:sectPr>
      </w:pPr>
    </w:p>
    <w:p>
      <w:pPr>
        <w:spacing w:line="440" w:lineRule="exact"/>
        <w:jc w:val="left"/>
        <w:outlineLvl w:val="0"/>
        <w:rPr>
          <w:rFonts w:ascii="宋体" w:hAnsi="宋体"/>
          <w:color w:val="auto"/>
          <w:sz w:val="24"/>
          <w:highlight w:val="none"/>
        </w:rPr>
      </w:pPr>
      <w:bookmarkStart w:id="110" w:name="_Toc18356"/>
      <w:bookmarkStart w:id="111" w:name="_Toc4295"/>
      <w:bookmarkStart w:id="112" w:name="_Toc15073"/>
      <w:bookmarkStart w:id="113" w:name="_Toc16680"/>
      <w:bookmarkStart w:id="114" w:name="_Toc6715"/>
      <w:bookmarkStart w:id="115" w:name="_Toc15893"/>
      <w:bookmarkStart w:id="116" w:name="_Toc11009"/>
      <w:bookmarkStart w:id="117" w:name="_Toc133413403"/>
      <w:bookmarkStart w:id="118" w:name="_Toc18467"/>
      <w:bookmarkStart w:id="119" w:name="_Toc26898"/>
      <w:r>
        <w:rPr>
          <w:rFonts w:hint="eastAsia" w:ascii="宋体" w:hAnsi="宋体"/>
          <w:b/>
          <w:bCs/>
          <w:color w:val="auto"/>
          <w:sz w:val="24"/>
          <w:highlight w:val="none"/>
        </w:rPr>
        <w:t>附件二 合同模板</w:t>
      </w:r>
      <w:bookmarkEnd w:id="110"/>
      <w:bookmarkEnd w:id="111"/>
      <w:bookmarkEnd w:id="112"/>
      <w:bookmarkEnd w:id="113"/>
      <w:r>
        <w:rPr>
          <w:rFonts w:hint="eastAsia" w:ascii="宋体" w:hAnsi="宋体"/>
          <w:b/>
          <w:bCs/>
          <w:color w:val="auto"/>
          <w:sz w:val="24"/>
          <w:highlight w:val="none"/>
        </w:rPr>
        <w:t xml:space="preserve"> </w:t>
      </w:r>
    </w:p>
    <w:p>
      <w:pPr>
        <w:jc w:val="center"/>
        <w:rPr>
          <w:color w:val="auto"/>
          <w:highlight w:val="none"/>
        </w:rPr>
      </w:pPr>
    </w:p>
    <w:p>
      <w:pPr>
        <w:pStyle w:val="65"/>
        <w:ind w:firstLine="480"/>
        <w:rPr>
          <w:color w:val="auto"/>
          <w:highlight w:val="none"/>
        </w:rPr>
      </w:pPr>
      <w:bookmarkStart w:id="120" w:name="_Toc289848501"/>
      <w:bookmarkStart w:id="121" w:name="_Toc266529531"/>
      <w:r>
        <w:rPr>
          <w:rFonts w:hint="eastAsia"/>
          <w:color w:val="auto"/>
          <w:highlight w:val="none"/>
        </w:rPr>
        <w:t xml:space="preserve">合同编号：                          </w:t>
      </w:r>
    </w:p>
    <w:p>
      <w:pPr>
        <w:snapToGrid w:val="0"/>
        <w:spacing w:line="360" w:lineRule="auto"/>
        <w:rPr>
          <w:rFonts w:ascii="宋体" w:hAnsi="宋体"/>
          <w:b/>
          <w:color w:val="auto"/>
          <w:sz w:val="58"/>
          <w:szCs w:val="44"/>
          <w:highlight w:val="none"/>
        </w:rPr>
      </w:pPr>
    </w:p>
    <w:p>
      <w:pPr>
        <w:snapToGrid w:val="0"/>
        <w:spacing w:line="360" w:lineRule="auto"/>
        <w:jc w:val="center"/>
        <w:rPr>
          <w:rFonts w:ascii="宋体" w:hAnsi="宋体"/>
          <w:b/>
          <w:color w:val="auto"/>
          <w:sz w:val="44"/>
          <w:szCs w:val="44"/>
          <w:highlight w:val="none"/>
        </w:rPr>
      </w:pPr>
    </w:p>
    <w:p>
      <w:pPr>
        <w:snapToGrid w:val="0"/>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2022年工信部数据字典项目TC220807A电力设备数据字典测试床的算法训练和测试设备采购合同</w:t>
      </w:r>
    </w:p>
    <w:p>
      <w:pPr>
        <w:adjustRightInd w:val="0"/>
        <w:snapToGrid w:val="0"/>
        <w:spacing w:line="360" w:lineRule="auto"/>
        <w:jc w:val="center"/>
        <w:textAlignment w:val="baseline"/>
        <w:rPr>
          <w:rFonts w:ascii="宋体" w:hAnsi="宋体"/>
          <w:b/>
          <w:color w:val="auto"/>
          <w:sz w:val="24"/>
          <w:highlight w:val="none"/>
        </w:rPr>
      </w:pPr>
    </w:p>
    <w:p>
      <w:pPr>
        <w:adjustRightInd w:val="0"/>
        <w:snapToGrid w:val="0"/>
        <w:spacing w:before="240" w:after="240" w:line="360" w:lineRule="auto"/>
        <w:jc w:val="center"/>
        <w:textAlignment w:val="baseline"/>
        <w:rPr>
          <w:rFonts w:ascii="宋体" w:hAnsi="宋体"/>
          <w:b/>
          <w:color w:val="auto"/>
          <w:sz w:val="24"/>
          <w:highlight w:val="none"/>
        </w:rPr>
      </w:pPr>
    </w:p>
    <w:p>
      <w:pPr>
        <w:adjustRightInd w:val="0"/>
        <w:snapToGrid w:val="0"/>
        <w:spacing w:before="240" w:after="240" w:line="360" w:lineRule="auto"/>
        <w:textAlignment w:val="baseline"/>
        <w:rPr>
          <w:rFonts w:ascii="宋体" w:hAnsi="宋体"/>
          <w:b/>
          <w:color w:val="auto"/>
          <w:sz w:val="24"/>
          <w:highlight w:val="none"/>
        </w:rPr>
      </w:pPr>
    </w:p>
    <w:p>
      <w:pPr>
        <w:adjustRightInd w:val="0"/>
        <w:snapToGrid w:val="0"/>
        <w:spacing w:before="240" w:after="240" w:line="360" w:lineRule="auto"/>
        <w:textAlignment w:val="baseline"/>
        <w:rPr>
          <w:rFonts w:ascii="宋体" w:hAnsi="宋体"/>
          <w:b/>
          <w:color w:val="auto"/>
          <w:sz w:val="24"/>
          <w:highlight w:val="none"/>
        </w:rPr>
      </w:pPr>
    </w:p>
    <w:p>
      <w:pPr>
        <w:pStyle w:val="26"/>
        <w:rPr>
          <w:color w:val="auto"/>
          <w:highlight w:val="none"/>
        </w:rPr>
      </w:pPr>
    </w:p>
    <w:p>
      <w:pPr>
        <w:pStyle w:val="25"/>
        <w:ind w:firstLine="210"/>
        <w:rPr>
          <w:color w:val="auto"/>
          <w:highlight w:val="none"/>
        </w:rPr>
      </w:pPr>
    </w:p>
    <w:p>
      <w:pPr>
        <w:pStyle w:val="25"/>
        <w:ind w:firstLine="210"/>
        <w:rPr>
          <w:color w:val="auto"/>
          <w:highlight w:val="none"/>
        </w:rPr>
      </w:pPr>
    </w:p>
    <w:p>
      <w:pPr>
        <w:pStyle w:val="25"/>
        <w:ind w:firstLine="210"/>
        <w:rPr>
          <w:color w:val="auto"/>
          <w:highlight w:val="none"/>
        </w:rPr>
      </w:pPr>
    </w:p>
    <w:p>
      <w:pPr>
        <w:rPr>
          <w:color w:val="auto"/>
          <w:highlight w:val="none"/>
        </w:rPr>
      </w:pPr>
    </w:p>
    <w:p>
      <w:pPr>
        <w:adjustRightInd w:val="0"/>
        <w:snapToGrid w:val="0"/>
        <w:spacing w:line="360" w:lineRule="auto"/>
        <w:textAlignment w:val="baseline"/>
        <w:rPr>
          <w:rFonts w:ascii="宋体" w:hAnsi="宋体"/>
          <w:b/>
          <w:color w:val="auto"/>
          <w:sz w:val="24"/>
          <w:highlight w:val="none"/>
        </w:rPr>
      </w:pPr>
    </w:p>
    <w:p>
      <w:pPr>
        <w:snapToGrid w:val="0"/>
        <w:ind w:firstLine="849" w:firstLineChars="302"/>
        <w:rPr>
          <w:rFonts w:ascii="宋体" w:hAnsi="宋体" w:cs="宋体-18030"/>
          <w:b/>
          <w:color w:val="auto"/>
          <w:sz w:val="28"/>
          <w:szCs w:val="28"/>
          <w:highlight w:val="none"/>
        </w:rPr>
      </w:pPr>
      <w:bookmarkStart w:id="122" w:name="_Hlk138080058"/>
      <w:r>
        <w:rPr>
          <w:rFonts w:hint="eastAsia" w:ascii="宋体" w:hAnsi="宋体" w:cs="宋体-18030"/>
          <w:b/>
          <w:color w:val="auto"/>
          <w:sz w:val="28"/>
          <w:szCs w:val="28"/>
          <w:highlight w:val="none"/>
        </w:rPr>
        <w:t>甲方（买方、委托方）：</w:t>
      </w:r>
      <w:bookmarkStart w:id="123" w:name="_Hlk131166359"/>
      <w:r>
        <w:rPr>
          <w:rFonts w:hint="eastAsia" w:ascii="宋体" w:hAnsi="宋体" w:cs="宋体-18030"/>
          <w:b/>
          <w:color w:val="auto"/>
          <w:sz w:val="28"/>
          <w:szCs w:val="28"/>
          <w:highlight w:val="none"/>
          <w:u w:val="single"/>
        </w:rPr>
        <w:t>国家电投集团数字科技有限公司</w:t>
      </w:r>
    </w:p>
    <w:p>
      <w:pPr>
        <w:snapToGrid w:val="0"/>
        <w:ind w:firstLine="849" w:firstLineChars="302"/>
        <w:rPr>
          <w:rFonts w:ascii="宋体" w:hAnsi="宋体" w:cs="宋体-18030"/>
          <w:b/>
          <w:color w:val="auto"/>
          <w:sz w:val="28"/>
          <w:szCs w:val="28"/>
          <w:highlight w:val="none"/>
          <w:u w:val="single"/>
        </w:rPr>
      </w:pPr>
      <w:r>
        <w:rPr>
          <w:rFonts w:hint="eastAsia" w:ascii="宋体" w:hAnsi="宋体" w:cs="宋体-18030"/>
          <w:b/>
          <w:color w:val="auto"/>
          <w:sz w:val="28"/>
          <w:szCs w:val="28"/>
          <w:highlight w:val="none"/>
        </w:rPr>
        <w:t>乙方（卖方、受托方）：</w:t>
      </w:r>
      <w:r>
        <w:rPr>
          <w:rFonts w:hint="eastAsia" w:ascii="宋体" w:hAnsi="宋体" w:cs="宋体-18030"/>
          <w:b/>
          <w:color w:val="auto"/>
          <w:sz w:val="28"/>
          <w:szCs w:val="28"/>
          <w:highlight w:val="none"/>
          <w:u w:val="single"/>
        </w:rPr>
        <w:t xml:space="preserve"> </w:t>
      </w:r>
      <w:r>
        <w:rPr>
          <w:rFonts w:ascii="宋体" w:hAnsi="宋体" w:cs="宋体-18030"/>
          <w:b/>
          <w:color w:val="auto"/>
          <w:sz w:val="28"/>
          <w:szCs w:val="28"/>
          <w:highlight w:val="none"/>
          <w:u w:val="single"/>
        </w:rPr>
        <w:t xml:space="preserve">                           </w:t>
      </w:r>
    </w:p>
    <w:bookmarkEnd w:id="123"/>
    <w:p>
      <w:pPr>
        <w:spacing w:line="300" w:lineRule="auto"/>
        <w:jc w:val="center"/>
        <w:rPr>
          <w:rFonts w:ascii="宋体" w:hAnsi="宋体" w:cs="宋体-18030"/>
          <w:b/>
          <w:color w:val="auto"/>
          <w:sz w:val="28"/>
          <w:szCs w:val="28"/>
          <w:highlight w:val="none"/>
        </w:rPr>
      </w:pPr>
      <w:r>
        <w:rPr>
          <w:rFonts w:hint="eastAsia" w:ascii="宋体" w:hAnsi="宋体" w:cs="宋体-18030"/>
          <w:b/>
          <w:color w:val="auto"/>
          <w:sz w:val="28"/>
          <w:szCs w:val="28"/>
          <w:highlight w:val="none"/>
        </w:rPr>
        <w:t>2024年 X</w:t>
      </w:r>
      <w:r>
        <w:rPr>
          <w:rFonts w:ascii="宋体" w:hAnsi="宋体" w:cs="宋体-18030"/>
          <w:b/>
          <w:color w:val="auto"/>
          <w:sz w:val="28"/>
          <w:szCs w:val="28"/>
          <w:highlight w:val="none"/>
        </w:rPr>
        <w:t>X</w:t>
      </w:r>
      <w:r>
        <w:rPr>
          <w:rFonts w:hint="eastAsia" w:ascii="宋体" w:hAnsi="宋体" w:cs="宋体-18030"/>
          <w:b/>
          <w:color w:val="auto"/>
          <w:sz w:val="28"/>
          <w:szCs w:val="28"/>
          <w:highlight w:val="none"/>
        </w:rPr>
        <w:t xml:space="preserve"> 月</w:t>
      </w:r>
    </w:p>
    <w:bookmarkEnd w:id="122"/>
    <w:p>
      <w:pPr>
        <w:snapToGrid w:val="0"/>
        <w:spacing w:line="360" w:lineRule="auto"/>
        <w:ind w:firstLine="482" w:firstLineChars="200"/>
        <w:rPr>
          <w:rFonts w:ascii="宋体" w:hAnsi="宋体"/>
          <w:color w:val="auto"/>
          <w:sz w:val="24"/>
          <w:highlight w:val="none"/>
        </w:rPr>
      </w:pPr>
      <w:r>
        <w:rPr>
          <w:rFonts w:ascii="宋体" w:hAnsi="宋体"/>
          <w:b/>
          <w:color w:val="auto"/>
          <w:sz w:val="24"/>
          <w:highlight w:val="none"/>
        </w:rPr>
        <w:br w:type="page"/>
      </w:r>
      <w:r>
        <w:rPr>
          <w:rFonts w:hint="eastAsia" w:ascii="宋体" w:hAnsi="宋体"/>
          <w:color w:val="auto"/>
          <w:sz w:val="24"/>
          <w:highlight w:val="none"/>
        </w:rPr>
        <w:t>甲乙双方本着诚信合作、互助双赢的原则，经过友好协商达成一致意见，并在遵守国家有关法律法规的基础上，</w:t>
      </w:r>
      <w:r>
        <w:rPr>
          <w:rFonts w:ascii="宋体" w:hAnsi="宋体"/>
          <w:color w:val="auto"/>
          <w:sz w:val="24"/>
          <w:highlight w:val="none"/>
        </w:rPr>
        <w:t>同意按</w:t>
      </w:r>
      <w:r>
        <w:rPr>
          <w:rFonts w:hint="eastAsia" w:ascii="宋体" w:hAnsi="宋体"/>
          <w:color w:val="auto"/>
          <w:sz w:val="24"/>
          <w:highlight w:val="none"/>
        </w:rPr>
        <w:t>以下</w:t>
      </w:r>
      <w:r>
        <w:rPr>
          <w:rFonts w:ascii="宋体" w:hAnsi="宋体"/>
          <w:color w:val="auto"/>
          <w:sz w:val="24"/>
          <w:highlight w:val="none"/>
        </w:rPr>
        <w:t>条款</w:t>
      </w:r>
      <w:r>
        <w:rPr>
          <w:rFonts w:hint="eastAsia" w:ascii="宋体" w:hAnsi="宋体"/>
          <w:color w:val="auto"/>
          <w:sz w:val="24"/>
          <w:highlight w:val="none"/>
        </w:rPr>
        <w:t>和附件</w:t>
      </w:r>
      <w:r>
        <w:rPr>
          <w:rFonts w:ascii="宋体" w:hAnsi="宋体"/>
          <w:color w:val="auto"/>
          <w:sz w:val="24"/>
          <w:highlight w:val="none"/>
        </w:rPr>
        <w:t>签订本</w:t>
      </w:r>
      <w:r>
        <w:rPr>
          <w:rFonts w:hint="eastAsia" w:ascii="宋体" w:hAnsi="宋体"/>
          <w:color w:val="auto"/>
          <w:sz w:val="24"/>
          <w:highlight w:val="none"/>
        </w:rPr>
        <w:t>采购合同。</w:t>
      </w:r>
      <w:r>
        <w:rPr>
          <w:rFonts w:ascii="宋体" w:hAnsi="宋体"/>
          <w:color w:val="auto"/>
          <w:sz w:val="24"/>
          <w:highlight w:val="none"/>
        </w:rPr>
        <w:t xml:space="preserve"> </w:t>
      </w:r>
    </w:p>
    <w:p>
      <w:pPr>
        <w:snapToGrid w:val="0"/>
        <w:spacing w:before="240" w:line="360" w:lineRule="auto"/>
        <w:ind w:firstLine="482" w:firstLineChars="200"/>
        <w:outlineLvl w:val="1"/>
        <w:rPr>
          <w:rFonts w:ascii="宋体" w:hAnsi="宋体"/>
          <w:b/>
          <w:color w:val="auto"/>
          <w:sz w:val="24"/>
          <w:highlight w:val="none"/>
        </w:rPr>
      </w:pPr>
      <w:r>
        <w:rPr>
          <w:rFonts w:hint="eastAsia" w:ascii="宋体" w:hAnsi="宋体"/>
          <w:b/>
          <w:color w:val="auto"/>
          <w:sz w:val="24"/>
          <w:highlight w:val="none"/>
        </w:rPr>
        <w:t>第一条.</w:t>
      </w:r>
      <w:r>
        <w:rPr>
          <w:rFonts w:hint="eastAsia"/>
          <w:b/>
          <w:color w:val="auto"/>
          <w:sz w:val="24"/>
          <w:highlight w:val="none"/>
        </w:rPr>
        <w:t xml:space="preserve"> </w:t>
      </w:r>
      <w:r>
        <w:rPr>
          <w:rFonts w:hint="eastAsia" w:ascii="宋体" w:hAnsi="宋体"/>
          <w:b/>
          <w:color w:val="auto"/>
          <w:sz w:val="24"/>
          <w:highlight w:val="none"/>
        </w:rPr>
        <w:t>定义</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除本合同另有解释以外，本合同中的下列术语具有如下含义：</w:t>
      </w:r>
    </w:p>
    <w:p>
      <w:pPr>
        <w:snapToGrid w:val="0"/>
        <w:spacing w:line="360" w:lineRule="auto"/>
        <w:ind w:firstLine="480" w:firstLineChars="200"/>
        <w:rPr>
          <w:rFonts w:ascii="宋体" w:hAnsi="宋体"/>
          <w:snapToGrid w:val="0"/>
          <w:color w:val="auto"/>
          <w:kern w:val="0"/>
          <w:sz w:val="24"/>
          <w:highlight w:val="none"/>
        </w:rPr>
      </w:pPr>
      <w:r>
        <w:rPr>
          <w:rFonts w:hint="eastAsia" w:ascii="宋体" w:hAnsi="宋体"/>
          <w:color w:val="auto"/>
          <w:sz w:val="24"/>
          <w:highlight w:val="none"/>
        </w:rPr>
        <w:t>1.1 合同文件（或称合同）：是指甲乙双方订立的合同，包括与履行本合同有关的文件及谈判过程中有关澄清文件、相关的技术标准和技术规范、合同附件及附属合同等，都是本合同的有效组成部分，与本合同具有同等法律效力。附件文件间有矛盾时，按签署时间顺序以后者为准；附件与合同有矛盾时，以合同为准。</w:t>
      </w:r>
    </w:p>
    <w:p>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 xml:space="preserve">1.2 “合同价格”指根据合同约定，在乙方完全正确履行合同义务后甲方应支付给乙方的全部费用。 </w:t>
      </w:r>
    </w:p>
    <w:p>
      <w:pPr>
        <w:adjustRightInd w:val="0"/>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1.3合同设备：指乙方按合同</w:t>
      </w:r>
      <w:r>
        <w:rPr>
          <w:rFonts w:hint="eastAsia" w:ascii="宋体" w:hAnsi="宋体"/>
          <w:snapToGrid w:val="0"/>
          <w:color w:val="auto"/>
          <w:kern w:val="0"/>
          <w:sz w:val="24"/>
          <w:highlight w:val="none"/>
        </w:rPr>
        <w:t>供货清单</w:t>
      </w:r>
      <w:r>
        <w:rPr>
          <w:rFonts w:ascii="宋体" w:hAnsi="宋体"/>
          <w:snapToGrid w:val="0"/>
          <w:color w:val="auto"/>
          <w:kern w:val="0"/>
          <w:sz w:val="24"/>
          <w:highlight w:val="none"/>
        </w:rPr>
        <w:t>约定</w:t>
      </w:r>
      <w:r>
        <w:rPr>
          <w:rFonts w:hint="eastAsia" w:ascii="宋体" w:hAnsi="宋体"/>
          <w:snapToGrid w:val="0"/>
          <w:color w:val="auto"/>
          <w:kern w:val="0"/>
          <w:sz w:val="24"/>
          <w:highlight w:val="none"/>
        </w:rPr>
        <w:t>的</w:t>
      </w:r>
      <w:r>
        <w:rPr>
          <w:rFonts w:ascii="宋体" w:hAnsi="宋体"/>
          <w:snapToGrid w:val="0"/>
          <w:color w:val="auto"/>
          <w:kern w:val="0"/>
          <w:sz w:val="24"/>
          <w:highlight w:val="none"/>
        </w:rPr>
        <w:t>应向甲方提供的设备、装置、备品、备件、易损易耗件</w:t>
      </w:r>
      <w:r>
        <w:rPr>
          <w:rFonts w:hint="eastAsia" w:ascii="宋体" w:hAnsi="宋体"/>
          <w:snapToGrid w:val="0"/>
          <w:color w:val="auto"/>
          <w:kern w:val="0"/>
          <w:sz w:val="24"/>
          <w:highlight w:val="none"/>
        </w:rPr>
        <w:t>、</w:t>
      </w:r>
      <w:r>
        <w:rPr>
          <w:rFonts w:ascii="宋体" w:hAnsi="宋体"/>
          <w:snapToGrid w:val="0"/>
          <w:color w:val="auto"/>
          <w:kern w:val="0"/>
          <w:sz w:val="24"/>
          <w:highlight w:val="none"/>
        </w:rPr>
        <w:t>配套使用的软件或其他辅助电子应用程序及技术资料，或其中任何一部分。</w:t>
      </w:r>
    </w:p>
    <w:p>
      <w:pPr>
        <w:adjustRightInd w:val="0"/>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1.4技术资料：指</w:t>
      </w:r>
      <w:r>
        <w:rPr>
          <w:rFonts w:hint="eastAsia" w:ascii="宋体" w:hAnsi="宋体"/>
          <w:snapToGrid w:val="0"/>
          <w:color w:val="auto"/>
          <w:kern w:val="0"/>
          <w:sz w:val="24"/>
          <w:highlight w:val="none"/>
        </w:rPr>
        <w:t>合同设备的设计、制造、监造、检验、安装、调试、验收、性能验收试验和技术指导等文件（包括图纸、各种文字说明、标准、各种软件），和技术协议规定的用于设备正确运行和维护的纸质及电子载体文件。</w:t>
      </w:r>
    </w:p>
    <w:p>
      <w:pPr>
        <w:adjustRightInd w:val="0"/>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1.5安装：指对合同设备进行的组装、连接以及根据需要将合同设备固定在施工场地内一定的位置上，使其就位并与相关设备、工程实现连接。</w:t>
      </w:r>
    </w:p>
    <w:p>
      <w:pPr>
        <w:adjustRightInd w:val="0"/>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1.6调试：指在合同设备安装完成后，对合同设备所进行的调校和测试。</w:t>
      </w:r>
    </w:p>
    <w:p>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w:t>
      </w:r>
      <w:r>
        <w:rPr>
          <w:rFonts w:ascii="宋体" w:hAnsi="宋体"/>
          <w:snapToGrid w:val="0"/>
          <w:color w:val="auto"/>
          <w:kern w:val="0"/>
          <w:sz w:val="24"/>
          <w:highlight w:val="none"/>
        </w:rPr>
        <w:t>.7</w:t>
      </w:r>
      <w:r>
        <w:rPr>
          <w:rFonts w:hint="eastAsia" w:ascii="宋体" w:hAnsi="宋体"/>
          <w:snapToGrid w:val="0"/>
          <w:color w:val="auto"/>
          <w:kern w:val="0"/>
          <w:sz w:val="24"/>
          <w:highlight w:val="none"/>
        </w:rPr>
        <w:t>考核：指在合同设备调试完成后，对合同设备进行的用于确定其是否达到技术协议中约定的技术性能考核指标的考核。</w:t>
      </w:r>
    </w:p>
    <w:p>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w:t>
      </w:r>
      <w:r>
        <w:rPr>
          <w:rFonts w:ascii="宋体" w:hAnsi="宋体"/>
          <w:snapToGrid w:val="0"/>
          <w:color w:val="auto"/>
          <w:kern w:val="0"/>
          <w:sz w:val="24"/>
          <w:highlight w:val="none"/>
        </w:rPr>
        <w:t>8</w:t>
      </w:r>
      <w:r>
        <w:rPr>
          <w:rFonts w:hint="eastAsia" w:ascii="宋体" w:hAnsi="宋体"/>
          <w:snapToGrid w:val="0"/>
          <w:color w:val="auto"/>
          <w:kern w:val="0"/>
          <w:sz w:val="24"/>
          <w:highlight w:val="none"/>
        </w:rPr>
        <w:t xml:space="preserve"> 验收：指根据合同第六条，合同设备通过考核达到合同约定的技术性能考核指标后，甲方作出接受合同设备的确认。</w:t>
      </w:r>
    </w:p>
    <w:p>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w:t>
      </w:r>
      <w:r>
        <w:rPr>
          <w:rFonts w:ascii="宋体" w:hAnsi="宋体"/>
          <w:snapToGrid w:val="0"/>
          <w:color w:val="auto"/>
          <w:kern w:val="0"/>
          <w:sz w:val="24"/>
          <w:highlight w:val="none"/>
        </w:rPr>
        <w:t>9</w:t>
      </w:r>
      <w:r>
        <w:rPr>
          <w:rFonts w:hint="eastAsia" w:ascii="宋体" w:hAnsi="宋体"/>
          <w:snapToGrid w:val="0"/>
          <w:color w:val="auto"/>
          <w:kern w:val="0"/>
          <w:sz w:val="24"/>
          <w:highlight w:val="none"/>
        </w:rPr>
        <w:t xml:space="preserve"> 技术服务：是指由乙方提供的与本合同设备有关的工程设计、设备监造、检验、土建、安装、调试、验收、性能验收试验、运行、检修时相应的技术指导、技术配合、技术培训等全过程的服务。包括合同期满后乙方的售后服务。对有技术支持方的乙方还包括技术支持方所提供的相应的合同中所要求的服务。</w:t>
      </w:r>
    </w:p>
    <w:p>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w:t>
      </w:r>
      <w:r>
        <w:rPr>
          <w:rFonts w:ascii="宋体" w:hAnsi="宋体"/>
          <w:snapToGrid w:val="0"/>
          <w:color w:val="auto"/>
          <w:kern w:val="0"/>
          <w:sz w:val="24"/>
          <w:highlight w:val="none"/>
        </w:rPr>
        <w:t>10</w:t>
      </w:r>
      <w:r>
        <w:rPr>
          <w:rFonts w:hint="eastAsia" w:ascii="宋体" w:hAnsi="宋体"/>
          <w:snapToGrid w:val="0"/>
          <w:color w:val="auto"/>
          <w:kern w:val="0"/>
          <w:sz w:val="24"/>
          <w:highlight w:val="none"/>
        </w:rPr>
        <w:t xml:space="preserve"> 质量保证期：指合同设备验收后，乙方按合同约定保证合同设备适当、稳定运行，并负责消除合同设备故障的期限。本合同质保期为【半】年。</w:t>
      </w:r>
    </w:p>
    <w:p>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w:t>
      </w:r>
      <w:r>
        <w:rPr>
          <w:rFonts w:ascii="宋体" w:hAnsi="宋体"/>
          <w:snapToGrid w:val="0"/>
          <w:color w:val="auto"/>
          <w:kern w:val="0"/>
          <w:sz w:val="24"/>
          <w:highlight w:val="none"/>
        </w:rPr>
        <w:t>11</w:t>
      </w:r>
      <w:r>
        <w:rPr>
          <w:rFonts w:hint="eastAsia" w:ascii="宋体" w:hAnsi="宋体"/>
          <w:snapToGrid w:val="0"/>
          <w:color w:val="auto"/>
          <w:kern w:val="0"/>
          <w:sz w:val="24"/>
          <w:highlight w:val="none"/>
        </w:rPr>
        <w:t xml:space="preserve"> 质保期服务：指在质量保证期内，乙方向甲方提供的合同设备维护服务、咨询服务、技术指导、协助以及对出现故障的合同设备进行修理或更换的服务。质保期届满后乙方服务费用不应高于本合同价格标准且为最优惠价格。</w:t>
      </w:r>
    </w:p>
    <w:p>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w:t>
      </w:r>
      <w:r>
        <w:rPr>
          <w:rFonts w:ascii="宋体" w:hAnsi="宋体"/>
          <w:snapToGrid w:val="0"/>
          <w:color w:val="auto"/>
          <w:kern w:val="0"/>
          <w:sz w:val="24"/>
          <w:highlight w:val="none"/>
        </w:rPr>
        <w:t>12</w:t>
      </w:r>
      <w:r>
        <w:rPr>
          <w:rFonts w:hint="eastAsia" w:ascii="宋体" w:hAnsi="宋体"/>
          <w:snapToGrid w:val="0"/>
          <w:color w:val="auto"/>
          <w:kern w:val="0"/>
          <w:sz w:val="24"/>
          <w:highlight w:val="none"/>
        </w:rPr>
        <w:t xml:space="preserve"> </w:t>
      </w:r>
      <w:r>
        <w:rPr>
          <w:rFonts w:hint="eastAsia" w:ascii="宋体" w:hAnsi="宋体"/>
          <w:color w:val="auto"/>
          <w:kern w:val="0"/>
          <w:sz w:val="24"/>
          <w:highlight w:val="none"/>
        </w:rPr>
        <w:t>“法律”指中华人民共和国现行的法律、行政法规、部门规章、地方性法规、地方政府规章及其他对本协议履行可能产生影响的规范性文件。</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snapToGrid w:val="0"/>
          <w:color w:val="auto"/>
          <w:kern w:val="0"/>
          <w:sz w:val="24"/>
          <w:highlight w:val="none"/>
        </w:rPr>
        <w:t>1.</w:t>
      </w:r>
      <w:r>
        <w:rPr>
          <w:rFonts w:ascii="宋体" w:hAnsi="宋体"/>
          <w:snapToGrid w:val="0"/>
          <w:color w:val="auto"/>
          <w:kern w:val="0"/>
          <w:sz w:val="24"/>
          <w:highlight w:val="none"/>
        </w:rPr>
        <w:t>13</w:t>
      </w:r>
      <w:r>
        <w:rPr>
          <w:rFonts w:hint="eastAsia" w:ascii="宋体" w:hAnsi="宋体"/>
          <w:snapToGrid w:val="0"/>
          <w:color w:val="auto"/>
          <w:kern w:val="0"/>
          <w:sz w:val="24"/>
          <w:highlight w:val="none"/>
        </w:rPr>
        <w:t xml:space="preserve"> </w:t>
      </w:r>
      <w:r>
        <w:rPr>
          <w:rFonts w:hint="eastAsia" w:ascii="宋体" w:hAnsi="宋体"/>
          <w:color w:val="auto"/>
          <w:kern w:val="0"/>
          <w:sz w:val="24"/>
          <w:highlight w:val="none"/>
        </w:rPr>
        <w:t>“书面形式”指协议文件、信件和数据电文（包括传真、电子数据交换和电子邮件）等可以有形地表现所载内容的形式。</w:t>
      </w:r>
    </w:p>
    <w:p>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color w:val="auto"/>
          <w:sz w:val="24"/>
          <w:highlight w:val="none"/>
        </w:rPr>
        <w:t>1</w:t>
      </w:r>
      <w:r>
        <w:rPr>
          <w:rFonts w:ascii="宋体" w:hAnsi="宋体"/>
          <w:color w:val="auto"/>
          <w:sz w:val="24"/>
          <w:highlight w:val="none"/>
        </w:rPr>
        <w:t>.</w:t>
      </w:r>
      <w:r>
        <w:rPr>
          <w:rFonts w:hint="eastAsia" w:ascii="宋体" w:hAnsi="宋体"/>
          <w:color w:val="auto"/>
          <w:sz w:val="24"/>
          <w:highlight w:val="none"/>
        </w:rPr>
        <w:t>1</w:t>
      </w:r>
      <w:r>
        <w:rPr>
          <w:rFonts w:ascii="宋体" w:hAnsi="宋体"/>
          <w:color w:val="auto"/>
          <w:sz w:val="24"/>
          <w:highlight w:val="none"/>
        </w:rPr>
        <w:t xml:space="preserve">4 </w:t>
      </w:r>
      <w:r>
        <w:rPr>
          <w:rFonts w:hint="eastAsia" w:ascii="宋体" w:hAnsi="宋体"/>
          <w:color w:val="auto"/>
          <w:kern w:val="0"/>
          <w:sz w:val="24"/>
          <w:highlight w:val="none"/>
        </w:rPr>
        <w:t>“保密信息”指双方签订的本协议及其所有附件和补充文件，所有软件、软件目录、文件、信息、数据、图纸、基准测试、技术规格、商业敏感信息，以及其他由甲乙双方各自专有的、且提供给对方的并以任何形式声明不得对外扩散的信息，包括由甲乙双方于本协议之前或之后签订的其他协议中规定为“保密信息”的所有内容。</w:t>
      </w:r>
    </w:p>
    <w:p>
      <w:pPr>
        <w:numPr>
          <w:ilvl w:val="2"/>
          <w:numId w:val="0"/>
        </w:numPr>
        <w:tabs>
          <w:tab w:val="left" w:pos="360"/>
        </w:tabs>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kern w:val="0"/>
          <w:sz w:val="24"/>
          <w:highlight w:val="none"/>
        </w:rPr>
        <w:t>1.1</w:t>
      </w:r>
      <w:r>
        <w:rPr>
          <w:rFonts w:ascii="宋体" w:hAnsi="宋体"/>
          <w:color w:val="auto"/>
          <w:kern w:val="0"/>
          <w:sz w:val="24"/>
          <w:highlight w:val="none"/>
        </w:rPr>
        <w:t>5</w:t>
      </w:r>
      <w:r>
        <w:rPr>
          <w:rFonts w:hint="eastAsia" w:ascii="宋体" w:hAnsi="宋体"/>
          <w:color w:val="auto"/>
          <w:kern w:val="0"/>
          <w:sz w:val="24"/>
          <w:highlight w:val="none"/>
        </w:rPr>
        <w:t xml:space="preserve"> </w:t>
      </w:r>
      <w:r>
        <w:rPr>
          <w:rFonts w:hint="eastAsia" w:ascii="宋体" w:hAnsi="宋体"/>
          <w:color w:val="auto"/>
          <w:sz w:val="24"/>
          <w:highlight w:val="none"/>
        </w:rPr>
        <w:t>“甲方”（甲方、委托方）指的是国家电投集团数字科技有限公司。</w:t>
      </w:r>
    </w:p>
    <w:p>
      <w:pPr>
        <w:numPr>
          <w:ilvl w:val="1"/>
          <w:numId w:val="0"/>
        </w:numPr>
        <w:tabs>
          <w:tab w:val="left" w:pos="360"/>
        </w:tabs>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kern w:val="0"/>
          <w:sz w:val="24"/>
          <w:highlight w:val="none"/>
        </w:rPr>
        <w:t>1.1</w:t>
      </w:r>
      <w:r>
        <w:rPr>
          <w:rFonts w:ascii="宋体" w:hAnsi="宋体"/>
          <w:color w:val="auto"/>
          <w:kern w:val="0"/>
          <w:sz w:val="24"/>
          <w:highlight w:val="none"/>
        </w:rPr>
        <w:t>6</w:t>
      </w:r>
      <w:r>
        <w:rPr>
          <w:rFonts w:hint="eastAsia" w:ascii="宋体" w:hAnsi="宋体"/>
          <w:color w:val="auto"/>
          <w:sz w:val="24"/>
          <w:highlight w:val="none"/>
        </w:rPr>
        <w:t>“乙方”（乙方、受托方）指的是【】。</w:t>
      </w:r>
    </w:p>
    <w:p>
      <w:pPr>
        <w:snapToGrid w:val="0"/>
        <w:spacing w:before="240" w:line="360" w:lineRule="auto"/>
        <w:ind w:firstLine="482" w:firstLineChars="200"/>
        <w:outlineLvl w:val="1"/>
        <w:rPr>
          <w:rFonts w:ascii="宋体" w:hAnsi="宋体"/>
          <w:b/>
          <w:color w:val="auto"/>
          <w:sz w:val="24"/>
          <w:highlight w:val="none"/>
        </w:rPr>
      </w:pPr>
      <w:bookmarkStart w:id="124" w:name="_Toc266529532"/>
      <w:bookmarkStart w:id="125" w:name="_Toc289848502"/>
      <w:r>
        <w:rPr>
          <w:rFonts w:hint="eastAsia" w:ascii="宋体" w:hAnsi="宋体"/>
          <w:b/>
          <w:color w:val="auto"/>
          <w:sz w:val="24"/>
          <w:highlight w:val="none"/>
        </w:rPr>
        <w:t>第二条. 合同</w:t>
      </w:r>
      <w:bookmarkEnd w:id="124"/>
      <w:bookmarkEnd w:id="125"/>
      <w:r>
        <w:rPr>
          <w:rFonts w:hint="eastAsia" w:ascii="宋体" w:hAnsi="宋体"/>
          <w:b/>
          <w:color w:val="auto"/>
          <w:sz w:val="24"/>
          <w:highlight w:val="none"/>
        </w:rPr>
        <w:t>范围</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2.1 </w:t>
      </w:r>
      <w:r>
        <w:rPr>
          <w:rFonts w:ascii="宋体" w:hAnsi="宋体"/>
          <w:color w:val="auto"/>
          <w:sz w:val="24"/>
          <w:highlight w:val="none"/>
        </w:rPr>
        <w:t>本合同标的是</w:t>
      </w:r>
      <w:r>
        <w:rPr>
          <w:rFonts w:hint="eastAsia" w:ascii="宋体" w:hAnsi="宋体"/>
          <w:color w:val="auto"/>
          <w:sz w:val="24"/>
          <w:highlight w:val="none"/>
        </w:rPr>
        <w:t>乙方</w:t>
      </w:r>
      <w:r>
        <w:rPr>
          <w:rFonts w:ascii="宋体" w:hAnsi="宋体"/>
          <w:color w:val="auto"/>
          <w:sz w:val="24"/>
          <w:highlight w:val="none"/>
        </w:rPr>
        <w:t>为</w:t>
      </w:r>
      <w:r>
        <w:rPr>
          <w:rFonts w:hint="eastAsia" w:ascii="宋体" w:hAnsi="宋体"/>
          <w:color w:val="auto"/>
          <w:sz w:val="24"/>
          <w:highlight w:val="none"/>
        </w:rPr>
        <w:t>甲方</w:t>
      </w:r>
      <w:r>
        <w:rPr>
          <w:rFonts w:ascii="宋体" w:hAnsi="宋体"/>
          <w:color w:val="auto"/>
          <w:sz w:val="24"/>
          <w:highlight w:val="none"/>
        </w:rPr>
        <w:t>供应的设备。</w:t>
      </w:r>
      <w:r>
        <w:rPr>
          <w:rFonts w:hint="eastAsia" w:ascii="宋体" w:hAnsi="宋体"/>
          <w:color w:val="auto"/>
          <w:sz w:val="24"/>
          <w:highlight w:val="none"/>
        </w:rPr>
        <w:t>乙方</w:t>
      </w:r>
      <w:r>
        <w:rPr>
          <w:rFonts w:ascii="宋体" w:hAnsi="宋体"/>
          <w:color w:val="auto"/>
          <w:sz w:val="24"/>
          <w:highlight w:val="none"/>
        </w:rPr>
        <w:t>同意向</w:t>
      </w:r>
      <w:r>
        <w:rPr>
          <w:rFonts w:hint="eastAsia" w:ascii="宋体" w:hAnsi="宋体"/>
          <w:color w:val="auto"/>
          <w:sz w:val="24"/>
          <w:highlight w:val="none"/>
        </w:rPr>
        <w:t>甲方</w:t>
      </w:r>
      <w:r>
        <w:rPr>
          <w:rFonts w:ascii="宋体" w:hAnsi="宋体"/>
          <w:color w:val="auto"/>
          <w:sz w:val="24"/>
          <w:highlight w:val="none"/>
        </w:rPr>
        <w:t>出售，</w:t>
      </w:r>
      <w:r>
        <w:rPr>
          <w:rFonts w:hint="eastAsia" w:ascii="宋体" w:hAnsi="宋体"/>
          <w:color w:val="auto"/>
          <w:sz w:val="24"/>
          <w:highlight w:val="none"/>
        </w:rPr>
        <w:t>甲方</w:t>
      </w:r>
      <w:r>
        <w:rPr>
          <w:rFonts w:ascii="宋体" w:hAnsi="宋体"/>
          <w:color w:val="auto"/>
          <w:sz w:val="24"/>
          <w:highlight w:val="none"/>
        </w:rPr>
        <w:t>同意向</w:t>
      </w:r>
      <w:r>
        <w:rPr>
          <w:rFonts w:hint="eastAsia" w:ascii="宋体" w:hAnsi="宋体"/>
          <w:color w:val="auto"/>
          <w:sz w:val="24"/>
          <w:highlight w:val="none"/>
        </w:rPr>
        <w:t>乙方</w:t>
      </w:r>
      <w:r>
        <w:rPr>
          <w:rFonts w:ascii="宋体" w:hAnsi="宋体"/>
          <w:color w:val="auto"/>
          <w:sz w:val="24"/>
          <w:highlight w:val="none"/>
        </w:rPr>
        <w:t>购买本合同设备。</w:t>
      </w:r>
      <w:r>
        <w:rPr>
          <w:rFonts w:hint="eastAsia" w:ascii="宋体" w:hAnsi="宋体"/>
          <w:color w:val="auto"/>
          <w:sz w:val="24"/>
          <w:highlight w:val="none"/>
        </w:rPr>
        <w:t>乙方应保证设备应是全新的、技术先进的、成熟的、安全的、经济的和完整的，其设备性能应符合合同规定及相关国家标准的性能保证值要求。</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2.2 本合同供货范围见合同【附件一】，</w:t>
      </w:r>
      <w:r>
        <w:rPr>
          <w:rFonts w:ascii="宋体" w:hAnsi="宋体"/>
          <w:color w:val="auto"/>
          <w:sz w:val="24"/>
          <w:highlight w:val="none"/>
        </w:rPr>
        <w:t>合同供货范围包括了所有设备、技术资料、专用工具、随机备品备件、人员培训及技术协调、技术服务及技术指导和设备运输及运输保险等。在执行合同过程中如发现有任何漏项和短缺，在供货清单中并未列入而且确实是乙方供货范围中应该有的，并且是满足</w:t>
      </w:r>
      <w:r>
        <w:rPr>
          <w:rFonts w:hint="eastAsia" w:ascii="宋体" w:hAnsi="宋体"/>
          <w:color w:val="auto"/>
          <w:sz w:val="24"/>
          <w:highlight w:val="none"/>
        </w:rPr>
        <w:t>技术协议</w:t>
      </w:r>
      <w:r>
        <w:rPr>
          <w:rFonts w:ascii="宋体" w:hAnsi="宋体"/>
          <w:color w:val="auto"/>
          <w:sz w:val="24"/>
          <w:highlight w:val="none"/>
        </w:rPr>
        <w:t>对合同设备的性能保证值要求所必须的，均应由乙方负责将所缺的设备、技术资料、专用工具、随机备品备件、人员培训及技术协调、技术服务及技术指导等按工程进度要求补上，发生的费用</w:t>
      </w:r>
      <w:r>
        <w:rPr>
          <w:rFonts w:hint="eastAsia" w:ascii="宋体" w:hAnsi="宋体"/>
          <w:color w:val="auto"/>
          <w:sz w:val="24"/>
          <w:highlight w:val="none"/>
        </w:rPr>
        <w:t>全部</w:t>
      </w:r>
      <w:r>
        <w:rPr>
          <w:rFonts w:ascii="宋体" w:hAnsi="宋体"/>
          <w:color w:val="auto"/>
          <w:sz w:val="24"/>
          <w:highlight w:val="none"/>
        </w:rPr>
        <w:t>由乙方承担。</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3</w:t>
      </w:r>
      <w:r>
        <w:rPr>
          <w:rFonts w:hint="eastAsia" w:ascii="宋体" w:hAnsi="宋体"/>
          <w:color w:val="auto"/>
          <w:sz w:val="24"/>
          <w:highlight w:val="none"/>
        </w:rPr>
        <w:t xml:space="preserve"> 甲乙双方同意乙方为本合同的唯一承包方，未经甲方书面授权同意，乙方不得将本合同全部或部分转包或分包给任何第三方。</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2.4 </w:t>
      </w:r>
      <w:r>
        <w:rPr>
          <w:rFonts w:hint="eastAsia" w:ascii="宋体" w:hAnsi="宋体"/>
          <w:color w:val="auto"/>
          <w:sz w:val="24"/>
          <w:highlight w:val="none"/>
        </w:rPr>
        <w:t>本合同的全部附件是本合同不可分割的一部分，与本合同具有同等法律效力。附件文件间有矛盾时，按签署顺序以后者为准；附件与合同有矛盾时，以本合同为准。</w:t>
      </w:r>
    </w:p>
    <w:p>
      <w:pPr>
        <w:snapToGrid w:val="0"/>
        <w:spacing w:before="240" w:line="360" w:lineRule="auto"/>
        <w:ind w:firstLine="482" w:firstLineChars="200"/>
        <w:outlineLvl w:val="1"/>
        <w:rPr>
          <w:rFonts w:ascii="宋体" w:hAnsi="宋体"/>
          <w:b/>
          <w:color w:val="auto"/>
          <w:sz w:val="24"/>
          <w:highlight w:val="none"/>
        </w:rPr>
      </w:pPr>
      <w:bookmarkStart w:id="126" w:name="_Toc289848503"/>
      <w:bookmarkStart w:id="127" w:name="_Toc266529533"/>
      <w:r>
        <w:rPr>
          <w:rFonts w:hint="eastAsia" w:ascii="宋体" w:hAnsi="宋体"/>
          <w:b/>
          <w:color w:val="auto"/>
          <w:sz w:val="24"/>
          <w:highlight w:val="none"/>
        </w:rPr>
        <w:t>第三条. 合同价格</w:t>
      </w:r>
      <w:bookmarkEnd w:id="126"/>
      <w:bookmarkEnd w:id="127"/>
    </w:p>
    <w:p>
      <w:pPr>
        <w:snapToGrid w:val="0"/>
        <w:spacing w:line="360" w:lineRule="auto"/>
        <w:ind w:firstLine="480" w:firstLineChars="200"/>
        <w:rPr>
          <w:rFonts w:ascii="宋体" w:hAnsi="宋体"/>
          <w:color w:val="auto"/>
          <w:sz w:val="24"/>
          <w:highlight w:val="none"/>
        </w:rPr>
      </w:pPr>
      <w:bookmarkStart w:id="128" w:name="_Hlk135746973"/>
      <w:bookmarkStart w:id="129" w:name="_Toc266529534"/>
      <w:bookmarkStart w:id="130" w:name="_Toc289848504"/>
      <w:r>
        <w:rPr>
          <w:rFonts w:ascii="宋体" w:hAnsi="宋体"/>
          <w:color w:val="auto"/>
          <w:sz w:val="24"/>
          <w:highlight w:val="none"/>
        </w:rPr>
        <w:t>3</w:t>
      </w:r>
      <w:r>
        <w:rPr>
          <w:rFonts w:hint="eastAsia" w:ascii="宋体" w:hAnsi="宋体"/>
          <w:color w:val="auto"/>
          <w:sz w:val="24"/>
          <w:highlight w:val="none"/>
        </w:rPr>
        <w:t>.1 合同中载明的合同价格包括乙方为完成合同全部义务应承担的一切成本、费用和支出以及乙方的合理利润。</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 xml:space="preserve">.2 </w:t>
      </w:r>
      <w:r>
        <w:rPr>
          <w:rFonts w:hint="eastAsia" w:ascii="宋体" w:hAnsi="宋体"/>
          <w:color w:val="auto"/>
          <w:sz w:val="24"/>
          <w:highlight w:val="none"/>
        </w:rPr>
        <w:t>本合同价格即合同含税总价，以本合同第二条规定的合同范围及乙方完成对合同下应承担的各项义务为基础，合同含税总价为人民币【】元（大写：人民币【】元整），不含税价为人民币【】元（大写：人民币【】元整），税金为人民币【】元（大写：人民币【】元整）,增值税税率为【】%。</w:t>
      </w:r>
    </w:p>
    <w:bookmarkEnd w:id="128"/>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 xml:space="preserve"> 合同的分项价格详见本合同【附件一】。</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 xml:space="preserve"> 本合同不含税价为固定不变价，在合同执行的过程中，如国家增值税税收政策发生变化，新政策生效日后的结算，其税率和税额均依据新政策执行，不含税（增值税）价不受国家增值税税收政策变化的影响。</w:t>
      </w:r>
    </w:p>
    <w:p>
      <w:pPr>
        <w:snapToGrid w:val="0"/>
        <w:spacing w:before="240" w:line="360" w:lineRule="auto"/>
        <w:ind w:firstLine="482" w:firstLineChars="200"/>
        <w:outlineLvl w:val="1"/>
        <w:rPr>
          <w:rFonts w:ascii="宋体" w:hAnsi="宋体"/>
          <w:b/>
          <w:color w:val="auto"/>
          <w:sz w:val="24"/>
          <w:highlight w:val="none"/>
        </w:rPr>
      </w:pPr>
      <w:r>
        <w:rPr>
          <w:rFonts w:hint="eastAsia" w:ascii="宋体" w:hAnsi="宋体"/>
          <w:b/>
          <w:color w:val="auto"/>
          <w:sz w:val="24"/>
          <w:highlight w:val="none"/>
        </w:rPr>
        <w:t>第四条.</w:t>
      </w:r>
      <w:r>
        <w:rPr>
          <w:rFonts w:hint="eastAsia"/>
          <w:b/>
          <w:color w:val="auto"/>
          <w:sz w:val="24"/>
          <w:highlight w:val="none"/>
        </w:rPr>
        <w:t xml:space="preserve"> </w:t>
      </w:r>
      <w:r>
        <w:rPr>
          <w:rFonts w:hint="eastAsia" w:ascii="宋体" w:hAnsi="宋体"/>
          <w:b/>
          <w:color w:val="auto"/>
          <w:sz w:val="24"/>
          <w:highlight w:val="none"/>
        </w:rPr>
        <w:t>付款方式和付款比例</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.1本合同计价货币为：人民币。</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.2本合同付款方式为：银行支票、转账汇款或银行汇票。</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.3合同价款按下列比例支付:</w:t>
      </w:r>
    </w:p>
    <w:p>
      <w:pPr>
        <w:overflowPunct w:val="0"/>
        <w:autoSpaceDE w:val="0"/>
        <w:autoSpaceDN w:val="0"/>
        <w:adjustRightInd w:val="0"/>
        <w:snapToGrid w:val="0"/>
        <w:spacing w:line="360" w:lineRule="auto"/>
        <w:ind w:firstLine="480" w:firstLineChars="200"/>
        <w:jc w:val="left"/>
        <w:textAlignment w:val="baseline"/>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.3.1 合同签订后，乙方完成本项目设备供货，由甲乙双方组织到货验收合格后，乙方提交合同总价</w:t>
      </w:r>
      <w:r>
        <w:rPr>
          <w:rFonts w:ascii="宋体" w:hAnsi="宋体"/>
          <w:color w:val="auto"/>
          <w:sz w:val="24"/>
          <w:highlight w:val="none"/>
          <w:u w:val="single"/>
        </w:rPr>
        <w:t xml:space="preserve"> 30 </w:t>
      </w:r>
      <w:r>
        <w:rPr>
          <w:rFonts w:ascii="宋体" w:hAnsi="宋体"/>
          <w:color w:val="auto"/>
          <w:sz w:val="24"/>
          <w:highlight w:val="none"/>
        </w:rPr>
        <w:t>%</w:t>
      </w:r>
      <w:r>
        <w:rPr>
          <w:rFonts w:hint="eastAsia" w:ascii="宋体" w:hAnsi="宋体"/>
          <w:color w:val="auto"/>
          <w:sz w:val="24"/>
          <w:highlight w:val="none"/>
        </w:rPr>
        <w:t>的增值税专用发票及验收证明，经甲方审核无误后30个工作日内，甲方向乙方支付合同总价【</w:t>
      </w:r>
      <w:r>
        <w:rPr>
          <w:rFonts w:ascii="宋体" w:hAnsi="宋体"/>
          <w:color w:val="auto"/>
          <w:sz w:val="24"/>
          <w:highlight w:val="none"/>
        </w:rPr>
        <w:t>30</w:t>
      </w:r>
      <w:r>
        <w:rPr>
          <w:rFonts w:hint="eastAsia" w:ascii="宋体" w:hAnsi="宋体"/>
          <w:color w:val="auto"/>
          <w:sz w:val="24"/>
          <w:highlight w:val="none"/>
        </w:rPr>
        <w:t>】%，计人民币【】元（大写：人民币【】元整）的到货款。</w:t>
      </w:r>
    </w:p>
    <w:p>
      <w:pPr>
        <w:overflowPunct w:val="0"/>
        <w:autoSpaceDE w:val="0"/>
        <w:autoSpaceDN w:val="0"/>
        <w:adjustRightInd w:val="0"/>
        <w:snapToGrid w:val="0"/>
        <w:spacing w:line="360" w:lineRule="auto"/>
        <w:ind w:firstLine="480" w:firstLineChars="200"/>
        <w:jc w:val="left"/>
        <w:textAlignment w:val="baseline"/>
        <w:rPr>
          <w:rFonts w:ascii="宋体" w:hAnsi="宋体"/>
          <w:color w:val="auto"/>
          <w:sz w:val="24"/>
          <w:highlight w:val="none"/>
        </w:rPr>
      </w:pPr>
      <w:r>
        <w:rPr>
          <w:rFonts w:ascii="宋体" w:hAnsi="宋体"/>
          <w:color w:val="auto"/>
          <w:sz w:val="24"/>
          <w:highlight w:val="none"/>
        </w:rPr>
        <w:t xml:space="preserve">4.3.2 </w:t>
      </w:r>
      <w:r>
        <w:rPr>
          <w:rFonts w:hint="eastAsia" w:ascii="宋体" w:hAnsi="宋体"/>
          <w:color w:val="auto"/>
          <w:sz w:val="24"/>
          <w:highlight w:val="none"/>
        </w:rPr>
        <w:t>乙方完成设备现场安装调试，经甲方组织验收合格后，乙方提交合同总价</w:t>
      </w:r>
      <w:r>
        <w:rPr>
          <w:rFonts w:ascii="宋体" w:hAnsi="宋体"/>
          <w:color w:val="auto"/>
          <w:sz w:val="24"/>
          <w:highlight w:val="none"/>
          <w:u w:val="single"/>
        </w:rPr>
        <w:t xml:space="preserve">  60  </w:t>
      </w:r>
      <w:r>
        <w:rPr>
          <w:rFonts w:ascii="宋体" w:hAnsi="宋体"/>
          <w:color w:val="auto"/>
          <w:sz w:val="24"/>
          <w:highlight w:val="none"/>
        </w:rPr>
        <w:t>%</w:t>
      </w:r>
      <w:r>
        <w:rPr>
          <w:rFonts w:hint="eastAsia" w:ascii="宋体" w:hAnsi="宋体"/>
          <w:color w:val="auto"/>
          <w:sz w:val="24"/>
          <w:highlight w:val="none"/>
        </w:rPr>
        <w:t>的增值税专用发票及验收证明，经甲方审核无误后30个工作日内，甲方向乙方支付合同总价【</w:t>
      </w:r>
      <w:r>
        <w:rPr>
          <w:rFonts w:ascii="宋体" w:hAnsi="宋体"/>
          <w:color w:val="auto"/>
          <w:sz w:val="24"/>
          <w:highlight w:val="none"/>
        </w:rPr>
        <w:t>60</w:t>
      </w:r>
      <w:r>
        <w:rPr>
          <w:rFonts w:hint="eastAsia" w:ascii="宋体" w:hAnsi="宋体"/>
          <w:color w:val="auto"/>
          <w:sz w:val="24"/>
          <w:highlight w:val="none"/>
        </w:rPr>
        <w:t>】</w:t>
      </w:r>
      <w:r>
        <w:rPr>
          <w:rFonts w:ascii="宋体" w:hAnsi="宋体"/>
          <w:color w:val="auto"/>
          <w:sz w:val="24"/>
          <w:highlight w:val="none"/>
        </w:rPr>
        <w:t>%</w:t>
      </w:r>
      <w:r>
        <w:rPr>
          <w:rFonts w:hint="eastAsia" w:ascii="宋体" w:hAnsi="宋体"/>
          <w:color w:val="auto"/>
          <w:sz w:val="24"/>
          <w:highlight w:val="none"/>
        </w:rPr>
        <w:t>，计人民币【】元（大写：人民币【】元整）的验收款。</w:t>
      </w:r>
    </w:p>
    <w:p>
      <w:pPr>
        <w:overflowPunct w:val="0"/>
        <w:autoSpaceDE w:val="0"/>
        <w:autoSpaceDN w:val="0"/>
        <w:adjustRightInd w:val="0"/>
        <w:snapToGrid w:val="0"/>
        <w:spacing w:line="360" w:lineRule="auto"/>
        <w:ind w:firstLine="480" w:firstLineChars="200"/>
        <w:jc w:val="left"/>
        <w:textAlignment w:val="baseline"/>
        <w:rPr>
          <w:rFonts w:ascii="宋体" w:hAnsi="宋体"/>
          <w:color w:val="auto"/>
          <w:sz w:val="24"/>
          <w:highlight w:val="none"/>
        </w:rPr>
      </w:pPr>
      <w:r>
        <w:rPr>
          <w:rFonts w:ascii="宋体" w:hAnsi="宋体"/>
          <w:color w:val="auto"/>
          <w:sz w:val="24"/>
          <w:highlight w:val="none"/>
        </w:rPr>
        <w:t>4.3.3</w:t>
      </w:r>
      <w:r>
        <w:rPr>
          <w:rFonts w:hint="eastAsia"/>
          <w:color w:val="auto"/>
          <w:highlight w:val="none"/>
        </w:rPr>
        <w:t xml:space="preserve"> </w:t>
      </w:r>
      <w:r>
        <w:rPr>
          <w:color w:val="auto"/>
          <w:highlight w:val="none"/>
        </w:rPr>
        <w:t xml:space="preserve"> </w:t>
      </w:r>
      <w:r>
        <w:rPr>
          <w:rFonts w:hint="eastAsia" w:ascii="宋体" w:hAnsi="宋体"/>
          <w:color w:val="auto"/>
          <w:sz w:val="24"/>
          <w:highlight w:val="none"/>
        </w:rPr>
        <w:t>待全部合同设备质保期满没有质量问题，乙方提交合同总价</w:t>
      </w:r>
      <w:r>
        <w:rPr>
          <w:rFonts w:ascii="宋体" w:hAnsi="宋体"/>
          <w:color w:val="auto"/>
          <w:sz w:val="24"/>
          <w:highlight w:val="none"/>
          <w:u w:val="single"/>
        </w:rPr>
        <w:t xml:space="preserve"> 10  </w:t>
      </w:r>
      <w:r>
        <w:rPr>
          <w:rFonts w:ascii="宋体" w:hAnsi="宋体"/>
          <w:color w:val="auto"/>
          <w:sz w:val="24"/>
          <w:highlight w:val="none"/>
        </w:rPr>
        <w:t>%</w:t>
      </w:r>
      <w:r>
        <w:rPr>
          <w:rFonts w:hint="eastAsia" w:ascii="宋体" w:hAnsi="宋体"/>
          <w:color w:val="auto"/>
          <w:sz w:val="24"/>
          <w:highlight w:val="none"/>
        </w:rPr>
        <w:t>的增值税专用发票及最终验收证明或最终结清支付函，经甲方审核无误且乙方已完成甲方提出的索赔和赔偿（如有）后30个工作日内，甲方支付给乙方合同价格</w:t>
      </w:r>
      <w:r>
        <w:rPr>
          <w:rFonts w:hint="eastAsia" w:ascii="宋体" w:hAnsi="宋体"/>
          <w:color w:val="auto"/>
          <w:sz w:val="24"/>
          <w:highlight w:val="none"/>
          <w:u w:val="single"/>
        </w:rPr>
        <w:t>10</w:t>
      </w:r>
      <w:r>
        <w:rPr>
          <w:rFonts w:hint="eastAsia" w:ascii="宋体" w:hAnsi="宋体"/>
          <w:color w:val="auto"/>
          <w:sz w:val="24"/>
          <w:highlight w:val="none"/>
        </w:rPr>
        <w:t>%的质保金，如有问题，乙方应向甲方支付费用的，甲方有权从未结清款中直接扣除该笔费用。</w:t>
      </w:r>
    </w:p>
    <w:p>
      <w:pPr>
        <w:overflowPunct w:val="0"/>
        <w:autoSpaceDE w:val="0"/>
        <w:autoSpaceDN w:val="0"/>
        <w:adjustRightInd w:val="0"/>
        <w:snapToGrid w:val="0"/>
        <w:spacing w:line="360" w:lineRule="auto"/>
        <w:ind w:firstLine="480" w:firstLineChars="200"/>
        <w:jc w:val="left"/>
        <w:textAlignment w:val="baseline"/>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 xml:space="preserve">.4 </w:t>
      </w:r>
      <w:r>
        <w:rPr>
          <w:rFonts w:hint="eastAsia" w:ascii="宋体" w:hAnsi="宋体"/>
          <w:color w:val="auto"/>
          <w:sz w:val="24"/>
          <w:highlight w:val="none"/>
          <w:lang w:eastAsia="zh-Hans"/>
        </w:rPr>
        <w:t>每笔合同款项的付款日期以甲方银行支票</w:t>
      </w:r>
      <w:r>
        <w:rPr>
          <w:rFonts w:hint="eastAsia" w:ascii="宋体" w:hAnsi="宋体"/>
          <w:color w:val="auto"/>
          <w:sz w:val="24"/>
          <w:highlight w:val="none"/>
        </w:rPr>
        <w:t>、汇票</w:t>
      </w:r>
      <w:r>
        <w:rPr>
          <w:rFonts w:hint="eastAsia" w:ascii="宋体" w:hAnsi="宋体"/>
          <w:color w:val="auto"/>
          <w:sz w:val="24"/>
          <w:highlight w:val="none"/>
          <w:lang w:eastAsia="zh-Hans"/>
        </w:rPr>
        <w:t>或转账汇款的日期为准</w:t>
      </w:r>
      <w:r>
        <w:rPr>
          <w:rFonts w:hint="eastAsia" w:ascii="宋体" w:hAnsi="宋体"/>
          <w:color w:val="auto"/>
          <w:sz w:val="24"/>
          <w:highlight w:val="none"/>
        </w:rPr>
        <w:t>。甲方有权从合同款中扣除协议规定乙方有责任支付的罚款或赔偿金。</w:t>
      </w:r>
    </w:p>
    <w:p>
      <w:pPr>
        <w:overflowPunct w:val="0"/>
        <w:autoSpaceDE w:val="0"/>
        <w:autoSpaceDN w:val="0"/>
        <w:adjustRightInd w:val="0"/>
        <w:snapToGrid w:val="0"/>
        <w:spacing w:line="360" w:lineRule="auto"/>
        <w:ind w:firstLine="480" w:firstLineChars="200"/>
        <w:jc w:val="left"/>
        <w:textAlignment w:val="baseline"/>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 xml:space="preserve">.5 </w:t>
      </w:r>
      <w:bookmarkStart w:id="131" w:name="_Hlk139286862"/>
      <w:r>
        <w:rPr>
          <w:rFonts w:hint="eastAsia" w:ascii="宋体" w:hAnsi="宋体"/>
          <w:color w:val="auto"/>
          <w:sz w:val="24"/>
          <w:highlight w:val="none"/>
        </w:rPr>
        <w:t>合同项下甲方支付的合同款均支付至合同中约定的乙方账户。乙方账户信息有变化的，需提前【15】个工作日书面通知甲方，因乙方未及时通知导致甲方支付错误的，由乙方自行承担相应责任。</w:t>
      </w:r>
      <w:bookmarkEnd w:id="131"/>
    </w:p>
    <w:p>
      <w:pPr>
        <w:overflowPunct w:val="0"/>
        <w:autoSpaceDE w:val="0"/>
        <w:autoSpaceDN w:val="0"/>
        <w:adjustRightInd w:val="0"/>
        <w:snapToGrid w:val="0"/>
        <w:spacing w:line="360" w:lineRule="auto"/>
        <w:ind w:firstLine="480" w:firstLineChars="200"/>
        <w:jc w:val="left"/>
        <w:textAlignment w:val="baseline"/>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 xml:space="preserve">.6 </w:t>
      </w:r>
      <w:r>
        <w:rPr>
          <w:rFonts w:hint="eastAsia" w:ascii="宋体" w:hAnsi="宋体"/>
          <w:color w:val="auto"/>
          <w:sz w:val="24"/>
          <w:highlight w:val="none"/>
        </w:rPr>
        <w:t>甲方扣款的权利</w:t>
      </w:r>
    </w:p>
    <w:p>
      <w:pPr>
        <w:overflowPunct w:val="0"/>
        <w:autoSpaceDE w:val="0"/>
        <w:autoSpaceDN w:val="0"/>
        <w:adjustRightInd w:val="0"/>
        <w:snapToGrid w:val="0"/>
        <w:spacing w:line="360" w:lineRule="auto"/>
        <w:ind w:firstLine="480" w:firstLineChars="200"/>
        <w:jc w:val="left"/>
        <w:textAlignment w:val="baseline"/>
        <w:rPr>
          <w:rFonts w:ascii="宋体" w:hAnsi="宋体"/>
          <w:color w:val="auto"/>
          <w:sz w:val="24"/>
          <w:highlight w:val="none"/>
        </w:rPr>
      </w:pPr>
      <w:r>
        <w:rPr>
          <w:rFonts w:hint="eastAsia" w:ascii="宋体" w:hAnsi="宋体"/>
          <w:color w:val="auto"/>
          <w:sz w:val="24"/>
          <w:highlight w:val="none"/>
        </w:rPr>
        <w:t>根据本合同第</w:t>
      </w:r>
      <w:r>
        <w:rPr>
          <w:rFonts w:ascii="宋体" w:hAnsi="宋体"/>
          <w:color w:val="auto"/>
          <w:sz w:val="24"/>
          <w:highlight w:val="none"/>
        </w:rPr>
        <w:t>6、8、9、10、13</w:t>
      </w:r>
      <w:r>
        <w:rPr>
          <w:rFonts w:hint="eastAsia" w:ascii="宋体" w:hAnsi="宋体"/>
          <w:color w:val="auto"/>
          <w:sz w:val="24"/>
          <w:highlight w:val="none"/>
        </w:rPr>
        <w:t>条的规定，如乙方向甲方支付损坏赔偿费、现场加工及代采购费、违约金时，乙方应在接到甲方的书面索赔通知后一个月内，将款项支付给甲方。如逾期不交，甲方有权在本合同项下的任何一期应支付给乙方的款项中将这部分索赔金额及其银行同期贷款利息直接扣除并不承担任何责任。</w:t>
      </w:r>
    </w:p>
    <w:p>
      <w:pPr>
        <w:snapToGrid w:val="0"/>
        <w:spacing w:before="240" w:line="360" w:lineRule="auto"/>
        <w:ind w:firstLine="482" w:firstLineChars="200"/>
        <w:outlineLvl w:val="1"/>
        <w:rPr>
          <w:rFonts w:ascii="宋体" w:hAnsi="宋体"/>
          <w:b/>
          <w:color w:val="auto"/>
          <w:sz w:val="24"/>
          <w:highlight w:val="none"/>
        </w:rPr>
      </w:pPr>
      <w:r>
        <w:rPr>
          <w:rFonts w:hint="eastAsia" w:ascii="宋体" w:hAnsi="宋体"/>
          <w:b/>
          <w:color w:val="auto"/>
          <w:sz w:val="24"/>
          <w:highlight w:val="none"/>
        </w:rPr>
        <w:t>第五条</w:t>
      </w:r>
      <w:r>
        <w:rPr>
          <w:rFonts w:ascii="宋体" w:hAnsi="宋体"/>
          <w:b/>
          <w:color w:val="auto"/>
          <w:sz w:val="24"/>
          <w:highlight w:val="none"/>
        </w:rPr>
        <w:t>. 包装、标记、运输和交付</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5.1 </w:t>
      </w:r>
      <w:r>
        <w:rPr>
          <w:rFonts w:ascii="宋体" w:hAnsi="宋体"/>
          <w:color w:val="auto"/>
          <w:sz w:val="24"/>
          <w:highlight w:val="none"/>
        </w:rPr>
        <w:t>包装</w:t>
      </w:r>
    </w:p>
    <w:p>
      <w:pPr>
        <w:spacing w:line="360" w:lineRule="auto"/>
        <w:ind w:firstLine="480" w:firstLineChars="200"/>
        <w:rPr>
          <w:rFonts w:ascii="宋体" w:hAnsi="宋体"/>
          <w:color w:val="auto"/>
          <w:sz w:val="24"/>
          <w:highlight w:val="none"/>
        </w:rPr>
      </w:pPr>
      <w:r>
        <w:rPr>
          <w:rFonts w:ascii="宋体" w:hAnsi="宋体"/>
          <w:color w:val="auto"/>
          <w:sz w:val="24"/>
          <w:highlight w:val="none"/>
        </w:rPr>
        <w:t>5.1.1 乙方应对合同设备进行妥善包装，以满足合同设备运至施工场地及在施工场地保管的需要。包装应采取防潮、防晒、防锈、防腐蚀、防震动及防止其它损坏的必要保护措施，从而保护合同设备能够经受多次搬运、装卸、长途运输并适宜保管。</w:t>
      </w:r>
    </w:p>
    <w:p>
      <w:pPr>
        <w:spacing w:line="360" w:lineRule="auto"/>
        <w:ind w:firstLine="480" w:firstLineChars="200"/>
        <w:rPr>
          <w:rFonts w:ascii="宋体" w:hAnsi="宋体"/>
          <w:color w:val="auto"/>
          <w:sz w:val="24"/>
          <w:highlight w:val="none"/>
        </w:rPr>
      </w:pPr>
      <w:r>
        <w:rPr>
          <w:rFonts w:ascii="宋体" w:hAnsi="宋体"/>
          <w:color w:val="auto"/>
          <w:sz w:val="24"/>
          <w:highlight w:val="none"/>
        </w:rPr>
        <w:t>5.1.2 每个独立包装箱内应附装箱清单、质量合格证、装配图、说明书、操作指南等资料。</w:t>
      </w:r>
    </w:p>
    <w:p>
      <w:pPr>
        <w:spacing w:line="360" w:lineRule="auto"/>
        <w:ind w:firstLine="480" w:firstLineChars="200"/>
        <w:rPr>
          <w:rFonts w:ascii="宋体" w:hAnsi="宋体"/>
          <w:color w:val="auto"/>
          <w:sz w:val="24"/>
          <w:highlight w:val="none"/>
        </w:rPr>
      </w:pPr>
      <w:r>
        <w:rPr>
          <w:rFonts w:ascii="宋体" w:hAnsi="宋体"/>
          <w:color w:val="auto"/>
          <w:sz w:val="24"/>
          <w:highlight w:val="none"/>
        </w:rPr>
        <w:t>5.1.3甲方无需将包装物退还给乙方。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5.2 </w:t>
      </w:r>
      <w:r>
        <w:rPr>
          <w:rFonts w:ascii="宋体" w:hAnsi="宋体"/>
          <w:color w:val="auto"/>
          <w:sz w:val="24"/>
          <w:highlight w:val="none"/>
        </w:rPr>
        <w:t>标记</w:t>
      </w:r>
    </w:p>
    <w:p>
      <w:pPr>
        <w:spacing w:line="360" w:lineRule="auto"/>
        <w:ind w:firstLine="480" w:firstLineChars="200"/>
        <w:rPr>
          <w:rFonts w:ascii="宋体" w:hAnsi="宋体"/>
          <w:color w:val="auto"/>
          <w:sz w:val="24"/>
          <w:highlight w:val="none"/>
        </w:rPr>
      </w:pPr>
      <w:r>
        <w:rPr>
          <w:rFonts w:ascii="宋体" w:hAnsi="宋体"/>
          <w:color w:val="auto"/>
          <w:sz w:val="24"/>
          <w:highlight w:val="none"/>
        </w:rPr>
        <w:t>5.2.1乙方应在每一包装箱相邻的四个侧面以不可擦除的、明显的方式标记必要的装运信息和标记，以满足合同设备运输和保管的需要。</w:t>
      </w:r>
    </w:p>
    <w:p>
      <w:pPr>
        <w:spacing w:line="360" w:lineRule="auto"/>
        <w:ind w:firstLine="480" w:firstLineChars="200"/>
        <w:rPr>
          <w:rFonts w:ascii="宋体" w:hAnsi="宋体"/>
          <w:color w:val="auto"/>
          <w:sz w:val="24"/>
          <w:highlight w:val="none"/>
        </w:rPr>
      </w:pPr>
      <w:r>
        <w:rPr>
          <w:rFonts w:ascii="宋体" w:hAnsi="宋体"/>
          <w:color w:val="auto"/>
          <w:sz w:val="24"/>
          <w:highlight w:val="none"/>
        </w:rPr>
        <w:t>5.2.2 根据合同设备的特点和运输、保管的不同要求，乙方应在包装箱上清楚地标注“小心轻放”、“此端朝上，请勿倒置”、“保持干燥”等字样和其他适当标记。对于合同条款约定的超大超重件，乙方应在包装箱两侧标注“重心”和“起吊点”以便装卸和搬运。如果发运合同设备中含有易燃易爆物品、腐蚀物品、放射性物质等危险品，则应在包装箱上标明危险品标志。</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5.3 </w:t>
      </w:r>
      <w:r>
        <w:rPr>
          <w:rFonts w:ascii="宋体" w:hAnsi="宋体"/>
          <w:color w:val="auto"/>
          <w:sz w:val="24"/>
          <w:highlight w:val="none"/>
        </w:rPr>
        <w:t>运输</w:t>
      </w:r>
    </w:p>
    <w:p>
      <w:pPr>
        <w:spacing w:line="360" w:lineRule="auto"/>
        <w:ind w:firstLine="480" w:firstLineChars="200"/>
        <w:rPr>
          <w:rFonts w:ascii="宋体" w:hAnsi="宋体"/>
          <w:color w:val="auto"/>
          <w:sz w:val="24"/>
          <w:highlight w:val="none"/>
        </w:rPr>
      </w:pPr>
      <w:r>
        <w:rPr>
          <w:rFonts w:ascii="宋体" w:hAnsi="宋体"/>
          <w:color w:val="auto"/>
          <w:sz w:val="24"/>
          <w:highlight w:val="none"/>
        </w:rPr>
        <w:t>5.3.1 乙方应自行选择适宜的运输工具及线路安排合同设备运输。</w:t>
      </w:r>
    </w:p>
    <w:p>
      <w:pPr>
        <w:spacing w:line="360" w:lineRule="auto"/>
        <w:ind w:firstLine="480" w:firstLineChars="200"/>
        <w:rPr>
          <w:rFonts w:ascii="宋体" w:hAnsi="宋体"/>
          <w:color w:val="auto"/>
          <w:sz w:val="24"/>
          <w:highlight w:val="none"/>
        </w:rPr>
      </w:pPr>
      <w:r>
        <w:rPr>
          <w:rFonts w:ascii="宋体" w:hAnsi="宋体"/>
          <w:color w:val="auto"/>
          <w:sz w:val="24"/>
          <w:highlight w:val="none"/>
        </w:rPr>
        <w:t>5.3.2乙方应在合同设备预计启运 7 日前，将合同设备名称、数量、箱数、总毛重、总体积（用m3表示）、每箱尺寸（长×宽×高）、装运合同设备总金额、运输方式、预计交付日期和合同设备在运输、装卸、保管中的注意事项等预通知甲方，并在合同设备启运后24小时之内正式</w:t>
      </w:r>
      <w:r>
        <w:rPr>
          <w:rFonts w:hint="eastAsia" w:ascii="宋体" w:hAnsi="宋体"/>
          <w:color w:val="auto"/>
          <w:sz w:val="24"/>
          <w:highlight w:val="none"/>
        </w:rPr>
        <w:t>书面形式</w:t>
      </w:r>
      <w:r>
        <w:rPr>
          <w:rFonts w:ascii="宋体" w:hAnsi="宋体"/>
          <w:color w:val="auto"/>
          <w:sz w:val="24"/>
          <w:highlight w:val="none"/>
        </w:rPr>
        <w:t>通知甲方。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5.4 </w:t>
      </w:r>
      <w:r>
        <w:rPr>
          <w:rFonts w:ascii="宋体" w:hAnsi="宋体"/>
          <w:color w:val="auto"/>
          <w:sz w:val="24"/>
          <w:highlight w:val="none"/>
        </w:rPr>
        <w:t>交付</w:t>
      </w:r>
    </w:p>
    <w:p>
      <w:pPr>
        <w:spacing w:line="360" w:lineRule="auto"/>
        <w:ind w:firstLine="480" w:firstLineChars="200"/>
        <w:rPr>
          <w:rFonts w:ascii="宋体" w:hAnsi="宋体"/>
          <w:color w:val="auto"/>
          <w:sz w:val="24"/>
          <w:highlight w:val="none"/>
        </w:rPr>
      </w:pPr>
      <w:r>
        <w:rPr>
          <w:rFonts w:ascii="宋体" w:hAnsi="宋体"/>
          <w:color w:val="auto"/>
          <w:sz w:val="24"/>
          <w:highlight w:val="none"/>
        </w:rPr>
        <w:t>5.4.1乙方应根据合同约定的交付时间和批次在</w:t>
      </w:r>
      <w:r>
        <w:rPr>
          <w:rFonts w:hint="eastAsia" w:ascii="宋体" w:hAnsi="宋体"/>
          <w:color w:val="auto"/>
          <w:sz w:val="24"/>
          <w:highlight w:val="none"/>
        </w:rPr>
        <w:t>甲方指定地点</w:t>
      </w:r>
      <w:r>
        <w:rPr>
          <w:rFonts w:ascii="宋体" w:hAnsi="宋体"/>
          <w:color w:val="auto"/>
          <w:sz w:val="24"/>
          <w:highlight w:val="none"/>
        </w:rPr>
        <w:t>将合同设备交付给甲方</w:t>
      </w:r>
      <w:r>
        <w:rPr>
          <w:rFonts w:hint="eastAsia" w:ascii="宋体" w:hAnsi="宋体"/>
          <w:color w:val="auto"/>
          <w:sz w:val="24"/>
          <w:highlight w:val="none"/>
        </w:rPr>
        <w:t>，乙方负责卸货并承担相应费用及风险</w:t>
      </w:r>
      <w:r>
        <w:rPr>
          <w:rFonts w:ascii="宋体" w:hAnsi="宋体"/>
          <w:color w:val="auto"/>
          <w:sz w:val="24"/>
          <w:highlight w:val="none"/>
        </w:rPr>
        <w:t>。甲方对乙方交付的包装的合同设备的外观及件数进行清点核验后应签发收货清单</w:t>
      </w:r>
      <w:r>
        <w:rPr>
          <w:rFonts w:hint="eastAsia" w:ascii="宋体" w:hAnsi="宋体"/>
          <w:color w:val="auto"/>
          <w:sz w:val="24"/>
          <w:highlight w:val="none"/>
        </w:rPr>
        <w:t>，</w:t>
      </w:r>
      <w:r>
        <w:rPr>
          <w:rFonts w:ascii="宋体" w:hAnsi="宋体"/>
          <w:color w:val="auto"/>
          <w:sz w:val="24"/>
          <w:highlight w:val="none"/>
        </w:rPr>
        <w:t>甲方签发收货清单不代表对合同设备的接受，双方还应按合同约定进行后续的检验和验收。</w:t>
      </w:r>
    </w:p>
    <w:p>
      <w:pPr>
        <w:spacing w:line="360" w:lineRule="auto"/>
        <w:ind w:firstLine="480" w:firstLineChars="200"/>
        <w:rPr>
          <w:rFonts w:ascii="宋体" w:hAnsi="宋体"/>
          <w:color w:val="auto"/>
          <w:sz w:val="24"/>
          <w:highlight w:val="none"/>
        </w:rPr>
      </w:pPr>
      <w:r>
        <w:rPr>
          <w:rFonts w:ascii="宋体" w:hAnsi="宋体"/>
          <w:color w:val="auto"/>
          <w:sz w:val="24"/>
          <w:highlight w:val="none"/>
        </w:rPr>
        <w:t>5.4.2合同设备交付给甲方之前包括运输在内的所有风险均由乙方承担。</w:t>
      </w:r>
    </w:p>
    <w:p>
      <w:pPr>
        <w:spacing w:line="360" w:lineRule="auto"/>
        <w:ind w:firstLine="480" w:firstLineChars="200"/>
        <w:rPr>
          <w:rFonts w:ascii="宋体" w:hAnsi="宋体"/>
          <w:color w:val="auto"/>
          <w:sz w:val="24"/>
          <w:highlight w:val="none"/>
        </w:rPr>
      </w:pPr>
      <w:r>
        <w:rPr>
          <w:rFonts w:ascii="宋体" w:hAnsi="宋体"/>
          <w:color w:val="auto"/>
          <w:sz w:val="24"/>
          <w:highlight w:val="none"/>
        </w:rPr>
        <w:t>5.4.3甲方如果发现技术资料存在短缺和（或）损坏，乙方应在收到甲方的通知后7日内免费补齐短缺和（或）损坏的部分。如果甲方发现乙方提供的技术资料有误，乙方应在收到甲方通知后7日内免费替换。</w:t>
      </w:r>
    </w:p>
    <w:p>
      <w:pPr>
        <w:snapToGrid w:val="0"/>
        <w:spacing w:before="240" w:line="360" w:lineRule="auto"/>
        <w:ind w:firstLine="482" w:firstLineChars="200"/>
        <w:outlineLvl w:val="1"/>
        <w:rPr>
          <w:rFonts w:ascii="宋体" w:hAnsi="宋体"/>
          <w:b/>
          <w:color w:val="auto"/>
          <w:sz w:val="24"/>
          <w:highlight w:val="none"/>
        </w:rPr>
      </w:pPr>
      <w:bookmarkStart w:id="132" w:name="_Toc115210844"/>
      <w:bookmarkStart w:id="133" w:name="_Toc101546085"/>
      <w:bookmarkStart w:id="134" w:name="_Toc99281615"/>
      <w:bookmarkStart w:id="135" w:name="_Toc4117"/>
      <w:r>
        <w:rPr>
          <w:rFonts w:hint="eastAsia" w:ascii="宋体" w:hAnsi="宋体"/>
          <w:b/>
          <w:color w:val="auto"/>
          <w:sz w:val="24"/>
          <w:highlight w:val="none"/>
        </w:rPr>
        <w:t>第六条</w:t>
      </w:r>
      <w:r>
        <w:rPr>
          <w:rFonts w:ascii="宋体" w:hAnsi="宋体"/>
          <w:b/>
          <w:color w:val="auto"/>
          <w:sz w:val="24"/>
          <w:highlight w:val="none"/>
        </w:rPr>
        <w:t>. 开箱检验、安装、调试、考核、验收</w:t>
      </w:r>
      <w:bookmarkEnd w:id="132"/>
      <w:bookmarkEnd w:id="133"/>
      <w:bookmarkEnd w:id="134"/>
      <w:bookmarkEnd w:id="135"/>
    </w:p>
    <w:p>
      <w:pPr>
        <w:spacing w:line="360" w:lineRule="auto"/>
        <w:ind w:firstLine="480" w:firstLineChars="200"/>
        <w:rPr>
          <w:rFonts w:ascii="宋体" w:hAnsi="宋体"/>
          <w:color w:val="auto"/>
          <w:sz w:val="24"/>
          <w:highlight w:val="none"/>
        </w:rPr>
      </w:pPr>
      <w:r>
        <w:rPr>
          <w:rFonts w:ascii="宋体" w:hAnsi="宋体"/>
          <w:color w:val="auto"/>
          <w:sz w:val="24"/>
          <w:highlight w:val="none"/>
        </w:rPr>
        <w:t>6.1 开箱检验</w:t>
      </w:r>
    </w:p>
    <w:p>
      <w:pPr>
        <w:spacing w:line="360" w:lineRule="auto"/>
        <w:ind w:firstLine="480" w:firstLineChars="200"/>
        <w:rPr>
          <w:rFonts w:ascii="宋体" w:hAnsi="宋体"/>
          <w:color w:val="auto"/>
          <w:sz w:val="24"/>
          <w:highlight w:val="none"/>
        </w:rPr>
      </w:pPr>
      <w:r>
        <w:rPr>
          <w:rFonts w:ascii="宋体" w:hAnsi="宋体"/>
          <w:color w:val="auto"/>
          <w:sz w:val="24"/>
          <w:highlight w:val="none"/>
        </w:rPr>
        <w:t>6.1.1 合同设备交付后应进行开箱检验，即合同设备数量及外观检验。开箱检验</w:t>
      </w:r>
      <w:r>
        <w:rPr>
          <w:rFonts w:hint="eastAsia" w:ascii="宋体" w:hAnsi="宋体"/>
          <w:color w:val="auto"/>
          <w:sz w:val="24"/>
          <w:highlight w:val="none"/>
        </w:rPr>
        <w:t>可按</w:t>
      </w:r>
      <w:r>
        <w:rPr>
          <w:rFonts w:ascii="宋体" w:hAnsi="宋体"/>
          <w:color w:val="auto"/>
          <w:sz w:val="24"/>
          <w:highlight w:val="none"/>
        </w:rPr>
        <w:t>下列任一种时间进行：</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（1）合同设备交付时；</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（2）合同设备交付后的一定期限内。</w:t>
      </w:r>
    </w:p>
    <w:p>
      <w:pPr>
        <w:spacing w:line="360" w:lineRule="auto"/>
        <w:ind w:firstLine="480" w:firstLineChars="200"/>
        <w:rPr>
          <w:rFonts w:ascii="宋体" w:hAnsi="宋体"/>
          <w:color w:val="auto"/>
          <w:sz w:val="24"/>
          <w:highlight w:val="none"/>
        </w:rPr>
      </w:pPr>
      <w:r>
        <w:rPr>
          <w:rFonts w:ascii="宋体" w:hAnsi="宋体"/>
          <w:color w:val="auto"/>
          <w:sz w:val="24"/>
          <w:highlight w:val="none"/>
        </w:rPr>
        <w:t>如开箱检验不在</w:t>
      </w:r>
      <w:r>
        <w:rPr>
          <w:rFonts w:hint="eastAsia" w:ascii="宋体" w:hAnsi="宋体"/>
          <w:color w:val="auto"/>
          <w:sz w:val="24"/>
          <w:highlight w:val="none"/>
        </w:rPr>
        <w:t>6</w:t>
      </w:r>
      <w:r>
        <w:rPr>
          <w:rFonts w:ascii="宋体" w:hAnsi="宋体"/>
          <w:color w:val="auto"/>
          <w:sz w:val="24"/>
          <w:highlight w:val="none"/>
        </w:rPr>
        <w:t>.1.1</w:t>
      </w:r>
      <w:r>
        <w:rPr>
          <w:rFonts w:hint="eastAsia" w:ascii="宋体" w:hAnsi="宋体"/>
          <w:color w:val="auto"/>
          <w:sz w:val="24"/>
          <w:highlight w:val="none"/>
        </w:rPr>
        <w:t>（1）</w:t>
      </w:r>
      <w:r>
        <w:rPr>
          <w:rFonts w:ascii="宋体" w:hAnsi="宋体"/>
          <w:color w:val="auto"/>
          <w:sz w:val="24"/>
          <w:highlight w:val="none"/>
        </w:rPr>
        <w:t>合同设备交付时进行，甲方应在开箱检验3日前将开箱检验的时间和地点通知乙方。</w:t>
      </w:r>
    </w:p>
    <w:p>
      <w:pPr>
        <w:spacing w:line="360" w:lineRule="auto"/>
        <w:ind w:firstLine="480" w:firstLineChars="200"/>
        <w:rPr>
          <w:rFonts w:ascii="宋体" w:hAnsi="宋体"/>
          <w:color w:val="auto"/>
          <w:sz w:val="24"/>
          <w:highlight w:val="none"/>
        </w:rPr>
      </w:pPr>
      <w:r>
        <w:rPr>
          <w:rFonts w:ascii="宋体" w:hAnsi="宋体"/>
          <w:color w:val="auto"/>
          <w:sz w:val="24"/>
          <w:highlight w:val="none"/>
        </w:rPr>
        <w:t>6.1.2 除合同条款另有约定外，合同设备的开箱检验应在</w:t>
      </w:r>
      <w:r>
        <w:rPr>
          <w:rFonts w:hint="eastAsia" w:ascii="宋体" w:hAnsi="宋体"/>
          <w:color w:val="auto"/>
          <w:sz w:val="24"/>
          <w:highlight w:val="none"/>
        </w:rPr>
        <w:t>甲方指定地点</w:t>
      </w:r>
      <w:r>
        <w:rPr>
          <w:rFonts w:ascii="宋体" w:hAnsi="宋体"/>
          <w:color w:val="auto"/>
          <w:sz w:val="24"/>
          <w:highlight w:val="none"/>
        </w:rPr>
        <w:t>进行。</w:t>
      </w:r>
    </w:p>
    <w:p>
      <w:pPr>
        <w:spacing w:line="360" w:lineRule="auto"/>
        <w:ind w:firstLine="480" w:firstLineChars="200"/>
        <w:rPr>
          <w:rFonts w:ascii="宋体" w:hAnsi="宋体"/>
          <w:color w:val="auto"/>
          <w:sz w:val="24"/>
          <w:highlight w:val="none"/>
        </w:rPr>
      </w:pPr>
      <w:r>
        <w:rPr>
          <w:rFonts w:ascii="宋体" w:hAnsi="宋体"/>
          <w:color w:val="auto"/>
          <w:sz w:val="24"/>
          <w:highlight w:val="none"/>
        </w:rPr>
        <w:t>6.1.3 开箱检验由甲乙双方共同进行，乙方应自负费用</w:t>
      </w:r>
      <w:r>
        <w:rPr>
          <w:rFonts w:hint="eastAsia" w:ascii="宋体" w:hAnsi="宋体"/>
          <w:color w:val="auto"/>
          <w:sz w:val="24"/>
          <w:highlight w:val="none"/>
        </w:rPr>
        <w:t>外</w:t>
      </w:r>
      <w:r>
        <w:rPr>
          <w:rFonts w:ascii="宋体" w:hAnsi="宋体"/>
          <w:color w:val="auto"/>
          <w:sz w:val="24"/>
          <w:highlight w:val="none"/>
        </w:rPr>
        <w:t>派代表到场参加开箱检验。</w:t>
      </w:r>
    </w:p>
    <w:p>
      <w:pPr>
        <w:spacing w:line="360" w:lineRule="auto"/>
        <w:ind w:firstLine="480" w:firstLineChars="200"/>
        <w:rPr>
          <w:rFonts w:ascii="宋体" w:hAnsi="宋体"/>
          <w:color w:val="auto"/>
          <w:sz w:val="24"/>
          <w:highlight w:val="none"/>
        </w:rPr>
      </w:pPr>
      <w:r>
        <w:rPr>
          <w:rFonts w:ascii="宋体" w:hAnsi="宋体"/>
          <w:color w:val="auto"/>
          <w:sz w:val="24"/>
          <w:highlight w:val="none"/>
        </w:rPr>
        <w:t>6.1.4 在开箱检验中，甲方和乙方应共同签署数量、外观检验报告，报告应列明检验结果，包括检验合格或发现的任何短缺、损坏或其它与合同约定不符的情形。</w:t>
      </w:r>
    </w:p>
    <w:p>
      <w:pPr>
        <w:spacing w:line="360" w:lineRule="auto"/>
        <w:ind w:firstLine="480" w:firstLineChars="200"/>
        <w:rPr>
          <w:rFonts w:ascii="宋体" w:hAnsi="宋体"/>
          <w:color w:val="auto"/>
          <w:sz w:val="24"/>
          <w:highlight w:val="none"/>
        </w:rPr>
      </w:pPr>
      <w:r>
        <w:rPr>
          <w:rFonts w:ascii="宋体" w:hAnsi="宋体"/>
          <w:color w:val="auto"/>
          <w:sz w:val="24"/>
          <w:highlight w:val="none"/>
        </w:rPr>
        <w:t>6.1.5 如果乙方代表未能依约或按甲方通知到场参加开箱检验，甲方有权在乙方代表未在场的情况下进行开箱检验，并签署数量、外观检验报告，对于该检验报告和检验结果，视为乙方已接受，但乙方确有合理理由且事先与甲方协商推迟开箱检验时间的除外。</w:t>
      </w:r>
    </w:p>
    <w:p>
      <w:pPr>
        <w:spacing w:line="360" w:lineRule="auto"/>
        <w:ind w:firstLine="480" w:firstLineChars="200"/>
        <w:rPr>
          <w:rFonts w:ascii="宋体" w:hAnsi="宋体"/>
          <w:color w:val="auto"/>
          <w:sz w:val="24"/>
          <w:highlight w:val="none"/>
        </w:rPr>
      </w:pPr>
      <w:r>
        <w:rPr>
          <w:rFonts w:ascii="宋体" w:hAnsi="宋体"/>
          <w:color w:val="auto"/>
          <w:sz w:val="24"/>
          <w:highlight w:val="none"/>
        </w:rPr>
        <w:t>6.1.6 如开箱检验不在合同设备交付时进行，则合同设备交付以后到开箱检验之前，开箱检验中发现的合同设备的短缺、损坏或其它与合同约定不符的情形，由乙方负责，乙方应补齐、更换及采取其他补救措施。</w:t>
      </w:r>
    </w:p>
    <w:p>
      <w:pPr>
        <w:spacing w:line="360" w:lineRule="auto"/>
        <w:ind w:firstLine="480" w:firstLineChars="200"/>
        <w:rPr>
          <w:rFonts w:ascii="宋体" w:hAnsi="宋体"/>
          <w:color w:val="auto"/>
          <w:sz w:val="24"/>
          <w:highlight w:val="none"/>
        </w:rPr>
      </w:pPr>
      <w:r>
        <w:rPr>
          <w:rFonts w:ascii="宋体" w:hAnsi="宋体"/>
          <w:color w:val="auto"/>
          <w:sz w:val="24"/>
          <w:highlight w:val="none"/>
        </w:rPr>
        <w:t>6.1.7 如双方在合同条款和（或）供货要求等合同文件中约定由第三方检测机构对合同设备进行开箱检验或在开箱检验过程中另行约定由第三方检验的，则第三方检测机构的检验结果对双方均具有约束力</w:t>
      </w:r>
      <w:r>
        <w:rPr>
          <w:rFonts w:hint="eastAsia" w:ascii="宋体" w:hAnsi="宋体"/>
          <w:color w:val="auto"/>
          <w:sz w:val="24"/>
          <w:highlight w:val="none"/>
        </w:rPr>
        <w:t>，第三方检验费用由乙方承担</w:t>
      </w:r>
      <w:r>
        <w:rPr>
          <w:rFonts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ascii="宋体" w:hAnsi="宋体"/>
          <w:color w:val="auto"/>
          <w:sz w:val="24"/>
          <w:highlight w:val="none"/>
        </w:rPr>
        <w:t>6.1.8 开箱检验的检验结果不能对抗在合同设备的安装、调试、考核、验收中及质量保证期内发现的合同设备质量问题，也不能免除或影响乙方依照合同约定对甲方负有的包括合同设备质量在内的任何义务或责任。</w:t>
      </w:r>
    </w:p>
    <w:p>
      <w:pPr>
        <w:spacing w:line="360" w:lineRule="auto"/>
        <w:ind w:firstLine="480" w:firstLineChars="200"/>
        <w:rPr>
          <w:rFonts w:ascii="宋体" w:hAnsi="宋体"/>
          <w:color w:val="auto"/>
          <w:sz w:val="24"/>
          <w:highlight w:val="none"/>
        </w:rPr>
      </w:pPr>
      <w:r>
        <w:rPr>
          <w:rFonts w:ascii="宋体" w:hAnsi="宋体"/>
          <w:color w:val="auto"/>
          <w:sz w:val="24"/>
          <w:highlight w:val="none"/>
        </w:rPr>
        <w:t>6.2 安装、调试</w:t>
      </w:r>
    </w:p>
    <w:p>
      <w:pPr>
        <w:spacing w:line="360" w:lineRule="auto"/>
        <w:ind w:firstLine="480" w:firstLineChars="200"/>
        <w:rPr>
          <w:rFonts w:ascii="宋体" w:hAnsi="宋体"/>
          <w:color w:val="auto"/>
          <w:sz w:val="24"/>
          <w:highlight w:val="none"/>
        </w:rPr>
      </w:pPr>
      <w:r>
        <w:rPr>
          <w:rFonts w:ascii="宋体" w:hAnsi="宋体"/>
          <w:color w:val="auto"/>
          <w:sz w:val="24"/>
          <w:highlight w:val="none"/>
        </w:rPr>
        <w:t>6.2.1 开箱检验完成后，双方应对合同设备进行安装、调试，以使其具备考核的状态。乙方按照合同约定完成合同设备的安装、调试工作</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6.2.2 </w:t>
      </w:r>
      <w:bookmarkStart w:id="136" w:name="_Hlk136264067"/>
      <w:r>
        <w:rPr>
          <w:rFonts w:ascii="宋体" w:hAnsi="宋体"/>
          <w:color w:val="auto"/>
          <w:sz w:val="24"/>
          <w:highlight w:val="none"/>
        </w:rPr>
        <w:t>双方应对合同设备的安装、调试情况共同及时进行记录</w:t>
      </w:r>
      <w:bookmarkEnd w:id="136"/>
      <w:r>
        <w:rPr>
          <w:rFonts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6.3 </w:t>
      </w:r>
      <w:r>
        <w:rPr>
          <w:rFonts w:ascii="宋体" w:hAnsi="宋体"/>
          <w:color w:val="auto"/>
          <w:sz w:val="24"/>
          <w:highlight w:val="none"/>
        </w:rPr>
        <w:t>考核</w:t>
      </w:r>
    </w:p>
    <w:p>
      <w:pPr>
        <w:spacing w:line="360" w:lineRule="auto"/>
        <w:ind w:firstLine="480" w:firstLineChars="200"/>
        <w:rPr>
          <w:rFonts w:ascii="宋体" w:hAnsi="宋体"/>
          <w:color w:val="auto"/>
          <w:sz w:val="24"/>
          <w:highlight w:val="none"/>
        </w:rPr>
      </w:pPr>
      <w:r>
        <w:rPr>
          <w:rFonts w:ascii="宋体" w:hAnsi="宋体"/>
          <w:color w:val="auto"/>
          <w:sz w:val="24"/>
          <w:highlight w:val="none"/>
        </w:rPr>
        <w:t>6.3.1 安装、调试完成后，双方应对合同设备进行考核，以确定合同设备是否达到</w:t>
      </w:r>
      <w:r>
        <w:rPr>
          <w:rFonts w:hint="eastAsia" w:ascii="宋体" w:hAnsi="宋体"/>
          <w:color w:val="auto"/>
          <w:sz w:val="24"/>
          <w:highlight w:val="none"/>
        </w:rPr>
        <w:t>技术协议中</w:t>
      </w:r>
      <w:r>
        <w:rPr>
          <w:rFonts w:ascii="宋体" w:hAnsi="宋体"/>
          <w:color w:val="auto"/>
          <w:sz w:val="24"/>
          <w:highlight w:val="none"/>
        </w:rPr>
        <w:t>约定的技术性能考核指标</w:t>
      </w:r>
      <w:r>
        <w:rPr>
          <w:rFonts w:hint="eastAsia" w:ascii="宋体" w:hAnsi="宋体"/>
          <w:color w:val="auto"/>
          <w:sz w:val="24"/>
          <w:highlight w:val="none"/>
        </w:rPr>
        <w:t>，考核结果应做书面记录，并经双方签字确认</w:t>
      </w:r>
      <w:r>
        <w:rPr>
          <w:rFonts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ascii="宋体" w:hAnsi="宋体"/>
          <w:color w:val="auto"/>
          <w:sz w:val="24"/>
          <w:highlight w:val="none"/>
        </w:rPr>
        <w:t>6.3.2 如由于乙方原因合同设备在考核中未能达到</w:t>
      </w:r>
      <w:r>
        <w:rPr>
          <w:rFonts w:hint="eastAsia" w:ascii="宋体" w:hAnsi="宋体"/>
          <w:color w:val="auto"/>
          <w:sz w:val="24"/>
          <w:highlight w:val="none"/>
        </w:rPr>
        <w:t>技术协议中</w:t>
      </w:r>
      <w:r>
        <w:rPr>
          <w:rFonts w:ascii="宋体" w:hAnsi="宋体"/>
          <w:color w:val="auto"/>
          <w:sz w:val="24"/>
          <w:highlight w:val="none"/>
        </w:rPr>
        <w:t>合同约定的技术性能考核指标，则乙方应在双方同意的期限内采取措施消除合同设备中存在的缺陷，并在缺陷消除以后，尽快进行再次考核。</w:t>
      </w:r>
    </w:p>
    <w:p>
      <w:pPr>
        <w:spacing w:line="360" w:lineRule="auto"/>
        <w:ind w:firstLine="480" w:firstLineChars="200"/>
        <w:rPr>
          <w:rFonts w:ascii="宋体" w:hAnsi="宋体"/>
          <w:color w:val="auto"/>
          <w:sz w:val="24"/>
          <w:highlight w:val="none"/>
        </w:rPr>
      </w:pPr>
      <w:r>
        <w:rPr>
          <w:rFonts w:ascii="宋体" w:hAnsi="宋体"/>
          <w:color w:val="auto"/>
          <w:sz w:val="24"/>
          <w:highlight w:val="none"/>
        </w:rPr>
        <w:t>6.3.3 由于乙方原因</w:t>
      </w:r>
      <w:r>
        <w:rPr>
          <w:rFonts w:hint="eastAsia" w:ascii="宋体" w:hAnsi="宋体"/>
          <w:color w:val="auto"/>
          <w:sz w:val="24"/>
          <w:highlight w:val="none"/>
        </w:rPr>
        <w:t>合同设备</w:t>
      </w:r>
      <w:r>
        <w:rPr>
          <w:rFonts w:ascii="宋体" w:hAnsi="宋体"/>
          <w:color w:val="auto"/>
          <w:sz w:val="24"/>
          <w:highlight w:val="none"/>
        </w:rPr>
        <w:t>未能达到</w:t>
      </w:r>
      <w:r>
        <w:rPr>
          <w:rFonts w:hint="eastAsia" w:ascii="宋体" w:hAnsi="宋体"/>
          <w:color w:val="auto"/>
          <w:sz w:val="24"/>
          <w:highlight w:val="none"/>
        </w:rPr>
        <w:t>技术协议中</w:t>
      </w:r>
      <w:r>
        <w:rPr>
          <w:rFonts w:ascii="宋体" w:hAnsi="宋体"/>
          <w:color w:val="auto"/>
          <w:sz w:val="24"/>
          <w:highlight w:val="none"/>
        </w:rPr>
        <w:t>合同约定的技术性能考核指标时，为乙方进行</w:t>
      </w:r>
      <w:r>
        <w:rPr>
          <w:rFonts w:hint="eastAsia" w:ascii="宋体" w:hAnsi="宋体"/>
          <w:color w:val="auto"/>
          <w:sz w:val="24"/>
          <w:highlight w:val="none"/>
        </w:rPr>
        <w:t>重新</w:t>
      </w:r>
      <w:r>
        <w:rPr>
          <w:rFonts w:ascii="宋体" w:hAnsi="宋体"/>
          <w:color w:val="auto"/>
          <w:sz w:val="24"/>
          <w:highlight w:val="none"/>
        </w:rPr>
        <w:t>考核的机会不超过</w:t>
      </w:r>
      <w:r>
        <w:rPr>
          <w:rFonts w:hint="eastAsia" w:ascii="宋体" w:hAnsi="宋体"/>
          <w:color w:val="auto"/>
          <w:sz w:val="24"/>
          <w:highlight w:val="none"/>
        </w:rPr>
        <w:t>两</w:t>
      </w:r>
      <w:r>
        <w:rPr>
          <w:rFonts w:ascii="宋体" w:hAnsi="宋体"/>
          <w:color w:val="auto"/>
          <w:sz w:val="24"/>
          <w:highlight w:val="none"/>
        </w:rPr>
        <w:t>次。如果由于乙方原因，</w:t>
      </w:r>
      <w:r>
        <w:rPr>
          <w:rFonts w:hint="eastAsia" w:ascii="宋体" w:hAnsi="宋体"/>
          <w:color w:val="auto"/>
          <w:sz w:val="24"/>
          <w:highlight w:val="none"/>
        </w:rPr>
        <w:t>两</w:t>
      </w:r>
      <w:r>
        <w:rPr>
          <w:rFonts w:ascii="宋体" w:hAnsi="宋体"/>
          <w:color w:val="auto"/>
          <w:sz w:val="24"/>
          <w:highlight w:val="none"/>
        </w:rPr>
        <w:t>次</w:t>
      </w:r>
      <w:r>
        <w:rPr>
          <w:rFonts w:hint="eastAsia" w:ascii="宋体" w:hAnsi="宋体"/>
          <w:color w:val="auto"/>
          <w:sz w:val="24"/>
          <w:highlight w:val="none"/>
        </w:rPr>
        <w:t>重新</w:t>
      </w:r>
      <w:r>
        <w:rPr>
          <w:rFonts w:ascii="宋体" w:hAnsi="宋体"/>
          <w:color w:val="auto"/>
          <w:sz w:val="24"/>
          <w:highlight w:val="none"/>
        </w:rPr>
        <w:t>考核均未能达到合同约定的技术性能考核指标，则甲乙双方应就合同的后续履行进行协商，协商不成的，甲方有权解除合同</w:t>
      </w:r>
      <w:r>
        <w:rPr>
          <w:rFonts w:hint="eastAsia" w:ascii="宋体" w:hAnsi="宋体"/>
          <w:color w:val="auto"/>
          <w:sz w:val="24"/>
          <w:highlight w:val="none"/>
        </w:rPr>
        <w:t>并不承担任何责任</w:t>
      </w:r>
      <w:r>
        <w:rPr>
          <w:rFonts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ascii="宋体" w:hAnsi="宋体"/>
          <w:color w:val="auto"/>
          <w:sz w:val="24"/>
          <w:highlight w:val="none"/>
        </w:rPr>
        <w:t>6.3.4对于未达到技术性能考核指标的，</w:t>
      </w:r>
      <w:r>
        <w:rPr>
          <w:rFonts w:hint="eastAsia" w:ascii="宋体" w:hAnsi="宋体"/>
          <w:color w:val="auto"/>
          <w:sz w:val="24"/>
          <w:highlight w:val="none"/>
        </w:rPr>
        <w:t>应由乙方负责如实记录</w:t>
      </w:r>
      <w:r>
        <w:rPr>
          <w:rFonts w:ascii="宋体" w:hAnsi="宋体"/>
          <w:color w:val="auto"/>
          <w:sz w:val="24"/>
          <w:highlight w:val="none"/>
        </w:rPr>
        <w:t>设备表现、可能原因及处理情况等</w:t>
      </w:r>
      <w:r>
        <w:rPr>
          <w:rFonts w:hint="eastAsia" w:ascii="宋体" w:hAnsi="宋体"/>
          <w:color w:val="auto"/>
          <w:sz w:val="24"/>
          <w:highlight w:val="none"/>
        </w:rPr>
        <w:t>情况，并交由甲方签字确认</w:t>
      </w:r>
      <w:r>
        <w:rPr>
          <w:rFonts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6.4 </w:t>
      </w:r>
      <w:r>
        <w:rPr>
          <w:rFonts w:ascii="宋体" w:hAnsi="宋体"/>
          <w:color w:val="auto"/>
          <w:sz w:val="24"/>
          <w:highlight w:val="none"/>
        </w:rPr>
        <w:t>验收</w:t>
      </w:r>
    </w:p>
    <w:p>
      <w:pPr>
        <w:spacing w:line="360" w:lineRule="auto"/>
        <w:ind w:firstLine="480" w:firstLineChars="200"/>
        <w:rPr>
          <w:rFonts w:ascii="宋体" w:hAnsi="宋体"/>
          <w:color w:val="auto"/>
          <w:sz w:val="24"/>
          <w:highlight w:val="none"/>
        </w:rPr>
      </w:pPr>
      <w:r>
        <w:rPr>
          <w:rFonts w:ascii="宋体" w:hAnsi="宋体"/>
          <w:color w:val="auto"/>
          <w:sz w:val="24"/>
          <w:highlight w:val="none"/>
        </w:rPr>
        <w:t>6.4.1 如合同设备在考核中达到或</w:t>
      </w:r>
      <w:r>
        <w:rPr>
          <w:rFonts w:hint="eastAsia" w:ascii="宋体" w:hAnsi="宋体"/>
          <w:color w:val="auto"/>
          <w:sz w:val="24"/>
          <w:highlight w:val="none"/>
        </w:rPr>
        <w:t>甲方</w:t>
      </w:r>
      <w:r>
        <w:rPr>
          <w:rFonts w:ascii="宋体" w:hAnsi="宋体"/>
          <w:color w:val="auto"/>
          <w:sz w:val="24"/>
          <w:highlight w:val="none"/>
        </w:rPr>
        <w:t>视为达到技术性能考核指标，则甲乙双方应在考核完成后7日内或合同条款另行约定的时间内签署合同设备</w:t>
      </w:r>
      <w:r>
        <w:rPr>
          <w:rFonts w:hint="eastAsia" w:ascii="宋体" w:hAnsi="宋体"/>
          <w:color w:val="auto"/>
          <w:sz w:val="24"/>
          <w:highlight w:val="none"/>
        </w:rPr>
        <w:t>验收单</w:t>
      </w:r>
      <w:r>
        <w:rPr>
          <w:rFonts w:ascii="宋体" w:hAnsi="宋体"/>
          <w:color w:val="auto"/>
          <w:sz w:val="24"/>
          <w:highlight w:val="none"/>
        </w:rPr>
        <w:t>一式二份，双方各持一份。</w:t>
      </w:r>
    </w:p>
    <w:p>
      <w:pPr>
        <w:spacing w:line="360" w:lineRule="auto"/>
        <w:ind w:firstLine="480" w:firstLineChars="200"/>
        <w:rPr>
          <w:rFonts w:ascii="宋体" w:hAnsi="宋体"/>
          <w:color w:val="auto"/>
          <w:sz w:val="24"/>
          <w:highlight w:val="none"/>
        </w:rPr>
      </w:pPr>
      <w:r>
        <w:rPr>
          <w:rFonts w:ascii="宋体" w:hAnsi="宋体"/>
          <w:color w:val="auto"/>
          <w:sz w:val="24"/>
          <w:highlight w:val="none"/>
        </w:rPr>
        <w:t>6.4.2合同设备</w:t>
      </w:r>
      <w:r>
        <w:rPr>
          <w:rFonts w:hint="eastAsia" w:ascii="宋体" w:hAnsi="宋体"/>
          <w:color w:val="auto"/>
          <w:sz w:val="24"/>
          <w:highlight w:val="none"/>
        </w:rPr>
        <w:t>验收单</w:t>
      </w:r>
      <w:r>
        <w:rPr>
          <w:rFonts w:ascii="宋体" w:hAnsi="宋体"/>
          <w:color w:val="auto"/>
          <w:sz w:val="24"/>
          <w:highlight w:val="none"/>
        </w:rPr>
        <w:t>的签署不能免除乙方在质量保证期内对合同设备应承担的保证责任。</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6.4.3 </w:t>
      </w:r>
      <w:r>
        <w:rPr>
          <w:rFonts w:hint="eastAsia" w:ascii="宋体" w:hAnsi="宋体"/>
          <w:color w:val="auto"/>
          <w:sz w:val="24"/>
          <w:highlight w:val="none"/>
        </w:rPr>
        <w:t>合同内容涉及现场施工时，须严格遵守国家电投集团公司及电投数科公司安全生产管理要求，甲乙双方应明确安全生产责任，签订《安全生产协议》。</w:t>
      </w:r>
    </w:p>
    <w:p>
      <w:pPr>
        <w:snapToGrid w:val="0"/>
        <w:spacing w:before="240" w:line="360" w:lineRule="auto"/>
        <w:ind w:firstLine="482" w:firstLineChars="200"/>
        <w:outlineLvl w:val="1"/>
        <w:rPr>
          <w:rFonts w:ascii="宋体" w:hAnsi="宋体"/>
          <w:b/>
          <w:color w:val="auto"/>
          <w:sz w:val="24"/>
          <w:highlight w:val="none"/>
        </w:rPr>
      </w:pPr>
      <w:bookmarkStart w:id="137" w:name="_Toc115210845"/>
      <w:bookmarkStart w:id="138" w:name="_Toc101546086"/>
      <w:bookmarkStart w:id="139" w:name="_Toc99281616"/>
      <w:bookmarkStart w:id="140" w:name="_Toc13210"/>
      <w:r>
        <w:rPr>
          <w:rFonts w:hint="eastAsia" w:ascii="宋体" w:hAnsi="宋体"/>
          <w:b/>
          <w:color w:val="auto"/>
          <w:sz w:val="24"/>
          <w:highlight w:val="none"/>
        </w:rPr>
        <w:t>第七条</w:t>
      </w:r>
      <w:r>
        <w:rPr>
          <w:rFonts w:ascii="宋体" w:hAnsi="宋体"/>
          <w:b/>
          <w:color w:val="auto"/>
          <w:sz w:val="24"/>
          <w:highlight w:val="none"/>
        </w:rPr>
        <w:t xml:space="preserve">. </w:t>
      </w:r>
      <w:r>
        <w:rPr>
          <w:rFonts w:hint="eastAsia" w:ascii="宋体" w:hAnsi="宋体"/>
          <w:b/>
          <w:color w:val="auto"/>
          <w:sz w:val="24"/>
          <w:highlight w:val="none"/>
        </w:rPr>
        <w:t>技术服务</w:t>
      </w:r>
      <w:bookmarkEnd w:id="137"/>
      <w:bookmarkEnd w:id="138"/>
      <w:bookmarkEnd w:id="139"/>
      <w:bookmarkEnd w:id="140"/>
    </w:p>
    <w:p>
      <w:pPr>
        <w:spacing w:line="360" w:lineRule="auto"/>
        <w:ind w:firstLine="480" w:firstLineChars="200"/>
        <w:rPr>
          <w:rFonts w:ascii="宋体" w:hAnsi="宋体"/>
          <w:color w:val="auto"/>
          <w:sz w:val="24"/>
          <w:highlight w:val="none"/>
        </w:rPr>
      </w:pPr>
      <w:r>
        <w:rPr>
          <w:rFonts w:ascii="宋体" w:hAnsi="宋体"/>
          <w:color w:val="auto"/>
          <w:sz w:val="24"/>
          <w:highlight w:val="none"/>
        </w:rPr>
        <w:t>7.1 乙方应</w:t>
      </w:r>
      <w:r>
        <w:rPr>
          <w:rFonts w:hint="eastAsia" w:ascii="宋体" w:hAnsi="宋体"/>
          <w:color w:val="auto"/>
          <w:sz w:val="24"/>
          <w:highlight w:val="none"/>
        </w:rPr>
        <w:t>外</w:t>
      </w:r>
      <w:r>
        <w:rPr>
          <w:rFonts w:ascii="宋体" w:hAnsi="宋体"/>
          <w:color w:val="auto"/>
          <w:sz w:val="24"/>
          <w:highlight w:val="none"/>
        </w:rPr>
        <w:t>派技术熟练、称职的技术人员到施工场地为甲方提供技术服务。乙方的技术服务应符合合同的约定。</w:t>
      </w:r>
    </w:p>
    <w:p>
      <w:pPr>
        <w:spacing w:line="360" w:lineRule="auto"/>
        <w:ind w:firstLine="480" w:firstLineChars="200"/>
        <w:rPr>
          <w:rFonts w:ascii="宋体" w:hAnsi="宋体"/>
          <w:color w:val="auto"/>
          <w:sz w:val="24"/>
          <w:highlight w:val="none"/>
        </w:rPr>
      </w:pPr>
      <w:r>
        <w:rPr>
          <w:rFonts w:ascii="宋体" w:hAnsi="宋体"/>
          <w:color w:val="auto"/>
          <w:sz w:val="24"/>
          <w:highlight w:val="none"/>
        </w:rPr>
        <w:t>7.2 甲方应免费为乙方技术人员提供工作条件及便利，包括但不限于必要的办公场所、技术资料及出入许可等。除合同条款另有约定外，乙方技术人员的交通、食宿费用由乙方承担。</w:t>
      </w:r>
    </w:p>
    <w:p>
      <w:pPr>
        <w:spacing w:line="360" w:lineRule="auto"/>
        <w:ind w:firstLine="480" w:firstLineChars="200"/>
        <w:rPr>
          <w:rFonts w:ascii="宋体" w:hAnsi="宋体"/>
          <w:color w:val="auto"/>
          <w:sz w:val="24"/>
          <w:highlight w:val="none"/>
        </w:rPr>
      </w:pPr>
      <w:r>
        <w:rPr>
          <w:rFonts w:ascii="宋体" w:hAnsi="宋体"/>
          <w:color w:val="auto"/>
          <w:sz w:val="24"/>
          <w:highlight w:val="none"/>
        </w:rPr>
        <w:t>7.3 乙方技术人员应遵守甲方施工现场的各项规章制度和安全操作规程，并服从甲方的现场管理。</w:t>
      </w:r>
    </w:p>
    <w:p>
      <w:pPr>
        <w:spacing w:line="360" w:lineRule="auto"/>
        <w:ind w:firstLine="480" w:firstLineChars="200"/>
        <w:rPr>
          <w:rFonts w:ascii="宋体" w:hAnsi="宋体"/>
          <w:color w:val="auto"/>
          <w:sz w:val="24"/>
          <w:highlight w:val="none"/>
        </w:rPr>
      </w:pPr>
      <w:r>
        <w:rPr>
          <w:rFonts w:ascii="宋体" w:hAnsi="宋体"/>
          <w:color w:val="auto"/>
          <w:sz w:val="24"/>
          <w:highlight w:val="none"/>
        </w:rPr>
        <w:t>7.4 如果任何技术人员不合格，甲方有权要求乙方撤换，因撤换而产生的费用应由乙方承担。在不影响技术服务并且征得甲方</w:t>
      </w:r>
      <w:r>
        <w:rPr>
          <w:rFonts w:hint="eastAsia" w:ascii="宋体" w:hAnsi="宋体"/>
          <w:color w:val="auto"/>
          <w:sz w:val="24"/>
          <w:highlight w:val="none"/>
        </w:rPr>
        <w:t>书面</w:t>
      </w:r>
      <w:r>
        <w:rPr>
          <w:rFonts w:ascii="宋体" w:hAnsi="宋体"/>
          <w:color w:val="auto"/>
          <w:sz w:val="24"/>
          <w:highlight w:val="none"/>
        </w:rPr>
        <w:t>同意的条件下，乙方也可自负费用更换其技术人员。</w:t>
      </w:r>
    </w:p>
    <w:p>
      <w:pPr>
        <w:snapToGrid w:val="0"/>
        <w:spacing w:before="240" w:line="360" w:lineRule="auto"/>
        <w:ind w:firstLine="482" w:firstLineChars="200"/>
        <w:outlineLvl w:val="1"/>
        <w:rPr>
          <w:rFonts w:ascii="宋体" w:hAnsi="宋体"/>
          <w:b/>
          <w:color w:val="auto"/>
          <w:sz w:val="24"/>
          <w:highlight w:val="none"/>
        </w:rPr>
      </w:pPr>
      <w:bookmarkStart w:id="141" w:name="_Toc101546087"/>
      <w:bookmarkStart w:id="142" w:name="_Toc3741"/>
      <w:bookmarkStart w:id="143" w:name="_Toc115210846"/>
      <w:bookmarkStart w:id="144" w:name="_Toc99281617"/>
      <w:r>
        <w:rPr>
          <w:rFonts w:hint="eastAsia" w:ascii="宋体" w:hAnsi="宋体"/>
          <w:b/>
          <w:color w:val="auto"/>
          <w:sz w:val="24"/>
          <w:highlight w:val="none"/>
        </w:rPr>
        <w:t>第八条</w:t>
      </w:r>
      <w:r>
        <w:rPr>
          <w:rFonts w:ascii="宋体" w:hAnsi="宋体"/>
          <w:b/>
          <w:color w:val="auto"/>
          <w:sz w:val="24"/>
          <w:highlight w:val="none"/>
        </w:rPr>
        <w:t xml:space="preserve">. </w:t>
      </w:r>
      <w:r>
        <w:rPr>
          <w:rFonts w:hint="eastAsia" w:ascii="宋体" w:hAnsi="宋体"/>
          <w:b/>
          <w:color w:val="auto"/>
          <w:sz w:val="24"/>
          <w:highlight w:val="none"/>
        </w:rPr>
        <w:t>质量保证期</w:t>
      </w:r>
      <w:bookmarkEnd w:id="141"/>
      <w:bookmarkEnd w:id="142"/>
      <w:bookmarkEnd w:id="143"/>
      <w:bookmarkEnd w:id="144"/>
    </w:p>
    <w:p>
      <w:pPr>
        <w:spacing w:line="360" w:lineRule="auto"/>
        <w:ind w:firstLine="480" w:firstLineChars="200"/>
        <w:rPr>
          <w:rFonts w:ascii="宋体" w:hAnsi="宋体"/>
          <w:color w:val="auto"/>
          <w:sz w:val="24"/>
          <w:highlight w:val="none"/>
        </w:rPr>
      </w:pPr>
      <w:r>
        <w:rPr>
          <w:rFonts w:ascii="宋体" w:hAnsi="宋体"/>
          <w:color w:val="auto"/>
          <w:sz w:val="24"/>
          <w:highlight w:val="none"/>
        </w:rPr>
        <w:t>8.1 在质量保证期内如果合同设备出现故障，乙方应自负费用提供质保期服务，对相关合同设备进行修理或更换以消除故障。更换的合同设备和（或）关键部件的质量保证期应重新计算</w:t>
      </w:r>
      <w:r>
        <w:rPr>
          <w:rFonts w:hint="eastAsia" w:ascii="宋体" w:hAnsi="宋体"/>
          <w:color w:val="auto"/>
          <w:sz w:val="24"/>
          <w:highlight w:val="none"/>
        </w:rPr>
        <w:t>，乙方应保证更换的合同设备和（或）关键部件为最新生产日期，非库存产品</w:t>
      </w:r>
      <w:r>
        <w:rPr>
          <w:rFonts w:ascii="宋体" w:hAnsi="宋体"/>
          <w:color w:val="auto"/>
          <w:sz w:val="24"/>
          <w:highlight w:val="none"/>
        </w:rPr>
        <w:t>。但如果合同设备的故障是由于甲方原因造成的，则对合同设备进行修理和更换的费用应由甲方承担。</w:t>
      </w:r>
    </w:p>
    <w:p>
      <w:pPr>
        <w:spacing w:line="360" w:lineRule="auto"/>
        <w:ind w:firstLine="480" w:firstLineChars="200"/>
        <w:rPr>
          <w:rFonts w:ascii="宋体" w:hAnsi="宋体"/>
          <w:color w:val="auto"/>
          <w:sz w:val="24"/>
          <w:highlight w:val="none"/>
        </w:rPr>
      </w:pPr>
      <w:r>
        <w:rPr>
          <w:rFonts w:ascii="宋体" w:hAnsi="宋体"/>
          <w:color w:val="auto"/>
          <w:sz w:val="24"/>
          <w:highlight w:val="none"/>
        </w:rPr>
        <w:t>8.2 质量保证期届满后，甲方应在7</w:t>
      </w:r>
      <w:r>
        <w:rPr>
          <w:rFonts w:hint="eastAsia" w:ascii="宋体" w:hAnsi="宋体"/>
          <w:color w:val="auto"/>
          <w:sz w:val="24"/>
          <w:highlight w:val="none"/>
        </w:rPr>
        <w:t>个工作</w:t>
      </w:r>
      <w:r>
        <w:rPr>
          <w:rFonts w:ascii="宋体" w:hAnsi="宋体"/>
          <w:color w:val="auto"/>
          <w:sz w:val="24"/>
          <w:highlight w:val="none"/>
        </w:rPr>
        <w:t>日内或合同条款另行约定的时间内向乙方出具合同设备的质量保证期届满</w:t>
      </w:r>
      <w:r>
        <w:rPr>
          <w:rFonts w:hint="eastAsia" w:ascii="宋体" w:hAnsi="宋体"/>
          <w:color w:val="auto"/>
          <w:sz w:val="24"/>
          <w:highlight w:val="none"/>
        </w:rPr>
        <w:t>证明</w:t>
      </w:r>
      <w:r>
        <w:rPr>
          <w:rFonts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w:t>
      </w:r>
      <w:r>
        <w:rPr>
          <w:rFonts w:ascii="宋体" w:hAnsi="宋体"/>
          <w:color w:val="auto"/>
          <w:sz w:val="24"/>
          <w:highlight w:val="none"/>
        </w:rPr>
        <w:t xml:space="preserve">.3  </w:t>
      </w:r>
      <w:r>
        <w:rPr>
          <w:rFonts w:hint="eastAsia" w:ascii="宋体" w:hAnsi="宋体"/>
          <w:color w:val="auto"/>
          <w:sz w:val="24"/>
          <w:highlight w:val="none"/>
        </w:rPr>
        <w:t>若因乙方提供的产品存在质量安全问题导致甲方或第三方经济、商誉或人身遭受的损失由乙方全部承担。</w:t>
      </w:r>
    </w:p>
    <w:p>
      <w:pPr>
        <w:snapToGrid w:val="0"/>
        <w:spacing w:before="240" w:line="360" w:lineRule="auto"/>
        <w:ind w:firstLine="482" w:firstLineChars="200"/>
        <w:outlineLvl w:val="1"/>
        <w:rPr>
          <w:rFonts w:ascii="宋体" w:hAnsi="宋体"/>
          <w:b/>
          <w:color w:val="auto"/>
          <w:sz w:val="24"/>
          <w:highlight w:val="none"/>
        </w:rPr>
      </w:pPr>
      <w:bookmarkStart w:id="145" w:name="_Toc99281618"/>
      <w:bookmarkStart w:id="146" w:name="_Toc115210847"/>
      <w:bookmarkStart w:id="147" w:name="_Toc32592"/>
      <w:bookmarkStart w:id="148" w:name="_Toc101546088"/>
      <w:r>
        <w:rPr>
          <w:rFonts w:hint="eastAsia" w:ascii="宋体" w:hAnsi="宋体"/>
          <w:b/>
          <w:color w:val="auto"/>
          <w:sz w:val="24"/>
          <w:highlight w:val="none"/>
        </w:rPr>
        <w:t>第九条</w:t>
      </w:r>
      <w:r>
        <w:rPr>
          <w:rFonts w:ascii="宋体" w:hAnsi="宋体"/>
          <w:b/>
          <w:color w:val="auto"/>
          <w:sz w:val="24"/>
          <w:highlight w:val="none"/>
        </w:rPr>
        <w:t xml:space="preserve">. </w:t>
      </w:r>
      <w:r>
        <w:rPr>
          <w:rFonts w:hint="eastAsia" w:ascii="宋体" w:hAnsi="宋体"/>
          <w:b/>
          <w:color w:val="auto"/>
          <w:sz w:val="24"/>
          <w:highlight w:val="none"/>
        </w:rPr>
        <w:t>质保期服务</w:t>
      </w:r>
      <w:bookmarkEnd w:id="145"/>
      <w:bookmarkEnd w:id="146"/>
      <w:bookmarkEnd w:id="147"/>
      <w:bookmarkEnd w:id="148"/>
    </w:p>
    <w:p>
      <w:pPr>
        <w:spacing w:line="360" w:lineRule="auto"/>
        <w:ind w:firstLine="480" w:firstLineChars="200"/>
        <w:rPr>
          <w:rFonts w:ascii="宋体" w:hAnsi="宋体"/>
          <w:color w:val="auto"/>
          <w:sz w:val="24"/>
          <w:highlight w:val="none"/>
        </w:rPr>
      </w:pPr>
      <w:r>
        <w:rPr>
          <w:rFonts w:ascii="宋体" w:hAnsi="宋体"/>
          <w:color w:val="auto"/>
          <w:sz w:val="24"/>
          <w:highlight w:val="none"/>
        </w:rPr>
        <w:t>9.1 乙方应为质保期服务配备充足的技术人员、工具和备件并保证提供的联系方式畅通。除合同条款和（或）供货要求等合同文件另有约定外，乙方应在收到甲方通知后24小时内做出响应，如需乙方到合同设备现场，乙方应在收到甲方通知后48小时内到达，并在到达后7日内解决合同设备的故障（重大故障除外）</w:t>
      </w:r>
      <w:r>
        <w:rPr>
          <w:rFonts w:hint="eastAsia" w:ascii="宋体" w:hAnsi="宋体"/>
          <w:color w:val="auto"/>
          <w:sz w:val="24"/>
          <w:highlight w:val="none"/>
        </w:rPr>
        <w:t>，由此产生的费用由乙方自行承担</w:t>
      </w:r>
      <w:r>
        <w:rPr>
          <w:rFonts w:ascii="宋体" w:hAnsi="宋体"/>
          <w:color w:val="auto"/>
          <w:sz w:val="24"/>
          <w:highlight w:val="none"/>
        </w:rPr>
        <w:t xml:space="preserve">。如果乙方未在上述时间内作出响应，则甲方有权自行或委托他人解决相关问题或查找和解决合同设备的故障，乙方应承担由此发生的全部费用。 </w:t>
      </w:r>
    </w:p>
    <w:p>
      <w:pPr>
        <w:spacing w:line="360" w:lineRule="auto"/>
        <w:ind w:firstLine="480" w:firstLineChars="200"/>
        <w:rPr>
          <w:rFonts w:ascii="宋体" w:hAnsi="宋体"/>
          <w:color w:val="auto"/>
          <w:sz w:val="24"/>
          <w:highlight w:val="none"/>
        </w:rPr>
      </w:pPr>
      <w:r>
        <w:rPr>
          <w:rFonts w:ascii="宋体" w:hAnsi="宋体"/>
          <w:color w:val="auto"/>
          <w:sz w:val="24"/>
          <w:highlight w:val="none"/>
        </w:rPr>
        <w:t>9.2 如乙方技术人员需到合同设备现场进行质保期服务，则甲方应为乙方技术人员提供工作条件及便利，包括必要的办公场所、技术资料及出入许可等。乙方技术人员的交通、食宿费用由乙方承担。乙方技术人员应遵守甲方施工现场的各项规章制度和安全操作规程，并服从甲方的现场管理。</w:t>
      </w:r>
    </w:p>
    <w:p>
      <w:pPr>
        <w:spacing w:line="360" w:lineRule="auto"/>
        <w:ind w:firstLine="480" w:firstLineChars="200"/>
        <w:rPr>
          <w:rFonts w:ascii="宋体" w:hAnsi="宋体"/>
          <w:color w:val="auto"/>
          <w:sz w:val="24"/>
          <w:highlight w:val="none"/>
        </w:rPr>
      </w:pPr>
      <w:r>
        <w:rPr>
          <w:rFonts w:ascii="宋体" w:hAnsi="宋体"/>
          <w:color w:val="auto"/>
          <w:sz w:val="24"/>
          <w:highlight w:val="none"/>
        </w:rPr>
        <w:t>9.3 如果任何技术人员不合格，甲方有权要求乙方</w:t>
      </w:r>
      <w:r>
        <w:rPr>
          <w:rFonts w:hint="eastAsia" w:ascii="宋体" w:hAnsi="宋体"/>
          <w:color w:val="auto"/>
          <w:sz w:val="24"/>
          <w:highlight w:val="none"/>
        </w:rPr>
        <w:t>在规定时间内</w:t>
      </w:r>
      <w:r>
        <w:rPr>
          <w:rFonts w:ascii="宋体" w:hAnsi="宋体"/>
          <w:color w:val="auto"/>
          <w:sz w:val="24"/>
          <w:highlight w:val="none"/>
        </w:rPr>
        <w:t>撤换，因撤换而产生的费用应由乙方承担。在不影响质保期服务并且征得甲方</w:t>
      </w:r>
      <w:r>
        <w:rPr>
          <w:rFonts w:hint="eastAsia" w:ascii="宋体" w:hAnsi="宋体"/>
          <w:color w:val="auto"/>
          <w:sz w:val="24"/>
          <w:highlight w:val="none"/>
        </w:rPr>
        <w:t>书面</w:t>
      </w:r>
      <w:r>
        <w:rPr>
          <w:rFonts w:ascii="宋体" w:hAnsi="宋体"/>
          <w:color w:val="auto"/>
          <w:sz w:val="24"/>
          <w:highlight w:val="none"/>
        </w:rPr>
        <w:t>同意的条件下，乙方也可自负费用更换其技术人员。</w:t>
      </w:r>
    </w:p>
    <w:p>
      <w:pPr>
        <w:spacing w:line="360" w:lineRule="auto"/>
        <w:ind w:firstLine="480" w:firstLineChars="200"/>
        <w:rPr>
          <w:rFonts w:ascii="宋体" w:hAnsi="宋体"/>
          <w:color w:val="auto"/>
          <w:sz w:val="24"/>
          <w:highlight w:val="none"/>
        </w:rPr>
      </w:pPr>
      <w:r>
        <w:rPr>
          <w:rFonts w:ascii="宋体" w:hAnsi="宋体"/>
          <w:color w:val="auto"/>
          <w:sz w:val="24"/>
          <w:highlight w:val="none"/>
        </w:rPr>
        <w:t>9.4乙方应就在施工现场进行质保期服务的情况进行记录，记载合同设备故障发生的时间、原因及解决情况等，由甲方签字确认，并在质量保证期结束后提交给甲方。</w:t>
      </w:r>
    </w:p>
    <w:p>
      <w:pPr>
        <w:snapToGrid w:val="0"/>
        <w:spacing w:before="240" w:line="360" w:lineRule="auto"/>
        <w:ind w:firstLine="482" w:firstLineChars="200"/>
        <w:outlineLvl w:val="1"/>
        <w:rPr>
          <w:rFonts w:ascii="宋体" w:hAnsi="宋体"/>
          <w:b/>
          <w:color w:val="auto"/>
          <w:sz w:val="24"/>
          <w:highlight w:val="none"/>
        </w:rPr>
      </w:pPr>
      <w:bookmarkStart w:id="149" w:name="_Toc14318"/>
      <w:bookmarkStart w:id="150" w:name="_Toc115210849"/>
      <w:bookmarkStart w:id="151" w:name="_Toc101546090"/>
      <w:bookmarkStart w:id="152" w:name="_Toc99281620"/>
      <w:r>
        <w:rPr>
          <w:rFonts w:hint="eastAsia" w:ascii="宋体" w:hAnsi="宋体"/>
          <w:b/>
          <w:color w:val="auto"/>
          <w:sz w:val="24"/>
          <w:highlight w:val="none"/>
        </w:rPr>
        <w:t>第十条</w:t>
      </w:r>
      <w:r>
        <w:rPr>
          <w:rFonts w:ascii="宋体" w:hAnsi="宋体"/>
          <w:b/>
          <w:color w:val="auto"/>
          <w:sz w:val="24"/>
          <w:highlight w:val="none"/>
        </w:rPr>
        <w:t xml:space="preserve">. </w:t>
      </w:r>
      <w:r>
        <w:rPr>
          <w:rFonts w:hint="eastAsia" w:ascii="宋体" w:hAnsi="宋体"/>
          <w:b/>
          <w:color w:val="auto"/>
          <w:sz w:val="24"/>
          <w:highlight w:val="none"/>
        </w:rPr>
        <w:t>保证</w:t>
      </w:r>
      <w:bookmarkEnd w:id="149"/>
      <w:bookmarkEnd w:id="150"/>
      <w:bookmarkEnd w:id="151"/>
      <w:bookmarkEnd w:id="152"/>
    </w:p>
    <w:p>
      <w:pPr>
        <w:spacing w:line="360" w:lineRule="auto"/>
        <w:ind w:firstLine="480" w:firstLineChars="200"/>
        <w:rPr>
          <w:rFonts w:ascii="宋体" w:hAnsi="宋体"/>
          <w:color w:val="auto"/>
          <w:sz w:val="24"/>
          <w:highlight w:val="none"/>
        </w:rPr>
      </w:pPr>
      <w:r>
        <w:rPr>
          <w:rFonts w:ascii="宋体" w:hAnsi="宋体"/>
          <w:color w:val="auto"/>
          <w:sz w:val="24"/>
          <w:highlight w:val="none"/>
        </w:rPr>
        <w:t>10.1 乙方保证其具有完全的能力</w:t>
      </w:r>
      <w:r>
        <w:rPr>
          <w:rFonts w:hint="eastAsia" w:ascii="宋体" w:hAnsi="宋体"/>
          <w:color w:val="auto"/>
          <w:sz w:val="24"/>
          <w:highlight w:val="none"/>
        </w:rPr>
        <w:t>及相应资质</w:t>
      </w:r>
      <w:r>
        <w:rPr>
          <w:rFonts w:ascii="宋体" w:hAnsi="宋体"/>
          <w:color w:val="auto"/>
          <w:sz w:val="24"/>
          <w:highlight w:val="none"/>
        </w:rPr>
        <w:t>履行本合同项下的全部义务。</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10.2 乙方保证其所提供的合同设备及对合同的履行符合所有应适用的法律、行政法规、地方性法规、自治条例和单行条例、规章及其他规范性文件的强制性规定。</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10.3 乙方保证其对合同设备的销售不损害任何第三方的合法权益和社会公众利益。任何第三方不会因乙方原因而基于所有权、抵押权、留置权或其他任何权利或事由对合同设备主张权利。</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10.4 乙方保证合同设备符合合同约定的规格、标准、技术性能考核指标等，能够安全和稳定地运行，且合同设备（包括全部部件）全新、完整、未使用过，除非合同条款和（或）供货要求等合同文件另有约定。</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10.5 乙方保证，乙方所提供的技术资料完整、清晰、准确，符合合同约定并且能够满足合同设备的安装、调试、考核、操作以及维修和保养的需要。</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10.6 乙方保证合同范围内提供的备品备件能够满足合同设备在质量保证期结束前正常运行及维修的需要，如在质量保证期结束前因乙方原因出现备品备件短缺影响合同设备正常运行的，乙方应免费提供</w:t>
      </w:r>
      <w:r>
        <w:rPr>
          <w:rFonts w:hint="eastAsia" w:ascii="宋体" w:hAnsi="宋体"/>
          <w:color w:val="auto"/>
          <w:sz w:val="24"/>
          <w:highlight w:val="none"/>
        </w:rPr>
        <w:t>合同设备正常运行的全部备品备件</w:t>
      </w:r>
      <w:r>
        <w:rPr>
          <w:rFonts w:ascii="宋体" w:hAnsi="宋体"/>
          <w:color w:val="auto"/>
          <w:sz w:val="24"/>
          <w:highlight w:val="none"/>
        </w:rPr>
        <w:t>。</w:t>
      </w:r>
    </w:p>
    <w:p>
      <w:pPr>
        <w:snapToGrid w:val="0"/>
        <w:spacing w:before="240" w:line="360" w:lineRule="auto"/>
        <w:ind w:firstLine="482" w:firstLineChars="200"/>
        <w:outlineLvl w:val="1"/>
        <w:rPr>
          <w:rFonts w:ascii="宋体" w:hAnsi="宋体"/>
          <w:b/>
          <w:color w:val="auto"/>
          <w:sz w:val="24"/>
          <w:highlight w:val="none"/>
        </w:rPr>
      </w:pPr>
      <w:bookmarkStart w:id="153" w:name="_Toc99281621"/>
      <w:bookmarkStart w:id="154" w:name="_Toc101546091"/>
      <w:bookmarkStart w:id="155" w:name="_Toc115210850"/>
      <w:bookmarkStart w:id="156" w:name="_Toc7727"/>
      <w:r>
        <w:rPr>
          <w:rFonts w:hint="eastAsia" w:ascii="宋体" w:hAnsi="宋体"/>
          <w:b/>
          <w:color w:val="auto"/>
          <w:sz w:val="24"/>
          <w:highlight w:val="none"/>
        </w:rPr>
        <w:t>第十一条</w:t>
      </w:r>
      <w:r>
        <w:rPr>
          <w:rFonts w:ascii="宋体" w:hAnsi="宋体"/>
          <w:b/>
          <w:color w:val="auto"/>
          <w:sz w:val="24"/>
          <w:highlight w:val="none"/>
        </w:rPr>
        <w:t xml:space="preserve">. </w:t>
      </w:r>
      <w:r>
        <w:rPr>
          <w:rFonts w:hint="eastAsia" w:ascii="宋体" w:hAnsi="宋体"/>
          <w:b/>
          <w:color w:val="auto"/>
          <w:sz w:val="24"/>
          <w:highlight w:val="none"/>
        </w:rPr>
        <w:t>知识产权</w:t>
      </w:r>
      <w:bookmarkEnd w:id="153"/>
      <w:bookmarkEnd w:id="154"/>
      <w:bookmarkEnd w:id="155"/>
      <w:bookmarkEnd w:id="156"/>
    </w:p>
    <w:p>
      <w:pPr>
        <w:spacing w:line="360" w:lineRule="auto"/>
        <w:ind w:firstLine="480" w:firstLineChars="200"/>
        <w:rPr>
          <w:rFonts w:ascii="宋体" w:hAnsi="宋体"/>
          <w:color w:val="auto"/>
          <w:sz w:val="24"/>
          <w:highlight w:val="none"/>
        </w:rPr>
      </w:pPr>
      <w:r>
        <w:rPr>
          <w:rFonts w:ascii="宋体" w:hAnsi="宋体"/>
          <w:color w:val="auto"/>
          <w:sz w:val="24"/>
          <w:highlight w:val="none"/>
        </w:rPr>
        <w:t>11.1 甲方在履行合同过程中提供给乙方的全部图纸、文件和其他含有数据和信息的资料，其知识产权属于甲方。</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11.2 除合同条款另有约定外，甲方不因签署和履行合同而享有乙方在履行合同过程中提供给甲方的图纸、文件、配套软件、电子辅助程序和其他含有数据和信息的资料的知识产权。 </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11.3 如合同设备涉及知识产权，则乙方保证甲方在使用合同设备过程中免于受到第三方提出的有关知识产权侵权的主张、索赔或诉讼的伤害。</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11.4 如果甲方收到任何第三方有关知识产权的主张、索赔或诉讼，乙方在收到甲方通知后，应以甲方名义并在甲方的协助下，自负费用处理与第三方的索赔或诉讼，并赔偿甲方因此发生的费用和遭受的损失。除合同条款另有约定外，如果乙方拒绝处理前述索赔或诉讼或在收到甲方通知后28日内未作表示，甲方可以自己的名义进行这些索赔或诉讼，因此发生的费用和遭受的损失均应由乙方承担。</w:t>
      </w:r>
    </w:p>
    <w:p>
      <w:pPr>
        <w:snapToGrid w:val="0"/>
        <w:spacing w:before="240" w:line="360" w:lineRule="auto"/>
        <w:ind w:firstLine="482" w:firstLineChars="200"/>
        <w:outlineLvl w:val="1"/>
        <w:rPr>
          <w:rFonts w:ascii="宋体" w:hAnsi="宋体"/>
          <w:b/>
          <w:color w:val="auto"/>
          <w:sz w:val="24"/>
          <w:highlight w:val="none"/>
        </w:rPr>
      </w:pPr>
      <w:bookmarkStart w:id="157" w:name="_Toc99281622"/>
      <w:bookmarkStart w:id="158" w:name="_Toc115210851"/>
      <w:bookmarkStart w:id="159" w:name="_Toc19753"/>
      <w:bookmarkStart w:id="160" w:name="_Toc101546092"/>
      <w:r>
        <w:rPr>
          <w:rFonts w:hint="eastAsia" w:ascii="宋体" w:hAnsi="宋体"/>
          <w:b/>
          <w:color w:val="auto"/>
          <w:sz w:val="24"/>
          <w:highlight w:val="none"/>
        </w:rPr>
        <w:t>第十二条</w:t>
      </w:r>
      <w:r>
        <w:rPr>
          <w:rFonts w:ascii="宋体" w:hAnsi="宋体"/>
          <w:b/>
          <w:color w:val="auto"/>
          <w:sz w:val="24"/>
          <w:highlight w:val="none"/>
        </w:rPr>
        <w:t xml:space="preserve">. </w:t>
      </w:r>
      <w:r>
        <w:rPr>
          <w:rFonts w:hint="eastAsia" w:ascii="宋体" w:hAnsi="宋体"/>
          <w:b/>
          <w:color w:val="auto"/>
          <w:sz w:val="24"/>
          <w:highlight w:val="none"/>
        </w:rPr>
        <w:t>保密</w:t>
      </w:r>
      <w:bookmarkEnd w:id="157"/>
      <w:bookmarkEnd w:id="158"/>
      <w:bookmarkEnd w:id="159"/>
      <w:bookmarkEnd w:id="160"/>
    </w:p>
    <w:p>
      <w:pPr>
        <w:spacing w:line="360" w:lineRule="auto"/>
        <w:ind w:firstLine="480" w:firstLineChars="200"/>
        <w:rPr>
          <w:rFonts w:ascii="宋体" w:hAnsi="宋体"/>
          <w:color w:val="auto"/>
          <w:sz w:val="24"/>
          <w:highlight w:val="none"/>
        </w:rPr>
      </w:pPr>
      <w:r>
        <w:rPr>
          <w:rFonts w:ascii="宋体" w:hAnsi="宋体"/>
          <w:color w:val="auto"/>
          <w:sz w:val="24"/>
          <w:highlight w:val="none"/>
        </w:rPr>
        <w:t>合同双方应对因履行合同而取得的另一方当事人的信息、资料等予以保密。未经另一方当事人书面同意，任何一方均不得为与履行合同无关的目的使用或向第三方披露另一方当事人提供的信息、资料。</w:t>
      </w:r>
    </w:p>
    <w:p>
      <w:pPr>
        <w:spacing w:line="360" w:lineRule="auto"/>
        <w:ind w:firstLine="480" w:firstLineChars="200"/>
        <w:rPr>
          <w:rFonts w:ascii="宋体" w:hAnsi="宋体"/>
          <w:color w:val="auto"/>
          <w:sz w:val="24"/>
          <w:highlight w:val="none"/>
        </w:rPr>
      </w:pPr>
      <w:r>
        <w:rPr>
          <w:rFonts w:ascii="宋体" w:hAnsi="宋体"/>
          <w:color w:val="auto"/>
          <w:sz w:val="24"/>
          <w:highlight w:val="none"/>
        </w:rPr>
        <w:t>合同当事人的保密义务不适用于下列信息：</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2</w:t>
      </w:r>
      <w:r>
        <w:rPr>
          <w:rFonts w:hint="eastAsia" w:ascii="宋体" w:hAnsi="宋体"/>
          <w:color w:val="auto"/>
          <w:sz w:val="24"/>
          <w:highlight w:val="none"/>
        </w:rPr>
        <w:t xml:space="preserve">.1 </w:t>
      </w:r>
      <w:r>
        <w:rPr>
          <w:rFonts w:ascii="宋体" w:hAnsi="宋体"/>
          <w:color w:val="auto"/>
          <w:sz w:val="24"/>
          <w:highlight w:val="none"/>
        </w:rPr>
        <w:t>非因接受信息一方的过失现在或以后进入公共领域的信息；</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2</w:t>
      </w:r>
      <w:r>
        <w:rPr>
          <w:rFonts w:hint="eastAsia" w:ascii="宋体" w:hAnsi="宋体"/>
          <w:color w:val="auto"/>
          <w:sz w:val="24"/>
          <w:highlight w:val="none"/>
        </w:rPr>
        <w:t xml:space="preserve">.2 </w:t>
      </w:r>
      <w:r>
        <w:rPr>
          <w:rFonts w:ascii="宋体" w:hAnsi="宋体"/>
          <w:color w:val="auto"/>
          <w:sz w:val="24"/>
          <w:highlight w:val="none"/>
        </w:rPr>
        <w:t>接受信息一方当事人合法地从第三方获得并且据其善意了解第三方也不对此承担保密义务的信息；</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2</w:t>
      </w:r>
      <w:r>
        <w:rPr>
          <w:rFonts w:hint="eastAsia" w:ascii="宋体" w:hAnsi="宋体"/>
          <w:color w:val="auto"/>
          <w:sz w:val="24"/>
          <w:highlight w:val="none"/>
        </w:rPr>
        <w:t xml:space="preserve">.3 </w:t>
      </w:r>
      <w:r>
        <w:rPr>
          <w:rFonts w:ascii="宋体" w:hAnsi="宋体"/>
          <w:color w:val="auto"/>
          <w:sz w:val="24"/>
          <w:highlight w:val="none"/>
        </w:rPr>
        <w:t>法律或法律的执行要求披露的信息。</w:t>
      </w:r>
    </w:p>
    <w:p>
      <w:pPr>
        <w:snapToGrid w:val="0"/>
        <w:spacing w:before="240" w:line="360" w:lineRule="auto"/>
        <w:ind w:firstLine="482" w:firstLineChars="200"/>
        <w:outlineLvl w:val="1"/>
        <w:rPr>
          <w:rFonts w:ascii="宋体" w:hAnsi="宋体"/>
          <w:b/>
          <w:color w:val="auto"/>
          <w:sz w:val="24"/>
          <w:highlight w:val="none"/>
        </w:rPr>
      </w:pPr>
      <w:bookmarkStart w:id="161" w:name="_Toc99281623"/>
      <w:bookmarkStart w:id="162" w:name="_Toc115210852"/>
      <w:bookmarkStart w:id="163" w:name="_Toc6841"/>
      <w:bookmarkStart w:id="164" w:name="_Toc101546093"/>
      <w:r>
        <w:rPr>
          <w:rFonts w:hint="eastAsia" w:ascii="宋体" w:hAnsi="宋体"/>
          <w:b/>
          <w:color w:val="auto"/>
          <w:sz w:val="24"/>
          <w:highlight w:val="none"/>
        </w:rPr>
        <w:t>第十三条</w:t>
      </w:r>
      <w:r>
        <w:rPr>
          <w:rFonts w:ascii="宋体" w:hAnsi="宋体"/>
          <w:b/>
          <w:color w:val="auto"/>
          <w:sz w:val="24"/>
          <w:highlight w:val="none"/>
        </w:rPr>
        <w:t xml:space="preserve">. </w:t>
      </w:r>
      <w:r>
        <w:rPr>
          <w:rFonts w:hint="eastAsia" w:ascii="宋体" w:hAnsi="宋体"/>
          <w:b/>
          <w:color w:val="auto"/>
          <w:sz w:val="24"/>
          <w:highlight w:val="none"/>
        </w:rPr>
        <w:t>违约责任</w:t>
      </w:r>
      <w:bookmarkEnd w:id="161"/>
      <w:bookmarkEnd w:id="162"/>
      <w:bookmarkEnd w:id="163"/>
      <w:bookmarkEnd w:id="164"/>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13.1 </w:t>
      </w:r>
      <w:r>
        <w:rPr>
          <w:rFonts w:hint="eastAsia" w:ascii="宋体" w:hAnsi="宋体"/>
          <w:color w:val="auto"/>
          <w:sz w:val="24"/>
          <w:highlight w:val="none"/>
        </w:rPr>
        <w:t>乙方</w:t>
      </w:r>
      <w:r>
        <w:rPr>
          <w:rFonts w:ascii="宋体" w:hAnsi="宋体"/>
          <w:color w:val="auto"/>
          <w:sz w:val="24"/>
          <w:highlight w:val="none"/>
        </w:rPr>
        <w:t>不履行合同义务、履行合同义务不符合约定或者违反合同项下所作保证的，应向</w:t>
      </w:r>
      <w:r>
        <w:rPr>
          <w:rFonts w:hint="eastAsia" w:ascii="宋体" w:hAnsi="宋体"/>
          <w:color w:val="auto"/>
          <w:sz w:val="24"/>
          <w:highlight w:val="none"/>
        </w:rPr>
        <w:t>甲方</w:t>
      </w:r>
      <w:r>
        <w:rPr>
          <w:rFonts w:ascii="宋体" w:hAnsi="宋体"/>
          <w:color w:val="auto"/>
          <w:sz w:val="24"/>
          <w:highlight w:val="none"/>
        </w:rPr>
        <w:t>承担继续履行、采取修理、更换、退货等补救措施</w:t>
      </w:r>
      <w:r>
        <w:rPr>
          <w:rFonts w:hint="eastAsia" w:ascii="宋体" w:hAnsi="宋体"/>
          <w:color w:val="auto"/>
          <w:sz w:val="24"/>
          <w:highlight w:val="none"/>
        </w:rPr>
        <w:t>并按照甲方实际损失进行</w:t>
      </w:r>
      <w:r>
        <w:rPr>
          <w:rFonts w:ascii="宋体" w:hAnsi="宋体"/>
          <w:color w:val="auto"/>
          <w:sz w:val="24"/>
          <w:highlight w:val="none"/>
        </w:rPr>
        <w:t>赔偿损失。</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13.2 乙方未能按时交付合同设备（包括仅迟延交付技术资料但足以导致合同设备安装、调试、考核、验收工作推迟的）的，应向甲方支付迟延交付违约金。除合同条款另有约定外，迟延交付违约金的计算方法如下：</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13.2.1 从迟交的第一周到第四周，每周迟延交付违约金为迟交合同设备价格的</w:t>
      </w:r>
      <w:r>
        <w:rPr>
          <w:rFonts w:hint="eastAsia" w:ascii="宋体" w:hAnsi="宋体"/>
          <w:color w:val="auto"/>
          <w:sz w:val="24"/>
          <w:highlight w:val="none"/>
        </w:rPr>
        <w:t>1</w:t>
      </w:r>
      <w:r>
        <w:rPr>
          <w:rFonts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13.2.2 从迟交的第五周到第八周，每周迟延交付违约金为迟交合同设备价格的</w:t>
      </w:r>
      <w:r>
        <w:rPr>
          <w:rFonts w:hint="eastAsia" w:ascii="宋体" w:hAnsi="宋体"/>
          <w:color w:val="auto"/>
          <w:sz w:val="24"/>
          <w:highlight w:val="none"/>
        </w:rPr>
        <w:t>2</w:t>
      </w:r>
      <w:r>
        <w:rPr>
          <w:rFonts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13.2.3 从迟交第九周起，每周迟延交付违约金为迟交合同设备价格的</w:t>
      </w:r>
      <w:r>
        <w:rPr>
          <w:rFonts w:hint="eastAsia" w:ascii="宋体" w:hAnsi="宋体"/>
          <w:color w:val="auto"/>
          <w:sz w:val="24"/>
          <w:highlight w:val="none"/>
        </w:rPr>
        <w:t>3</w:t>
      </w:r>
      <w:r>
        <w:rPr>
          <w:rFonts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ascii="宋体" w:hAnsi="宋体"/>
          <w:color w:val="auto"/>
          <w:sz w:val="24"/>
          <w:highlight w:val="none"/>
        </w:rPr>
        <w:t>在计算迟延交付违约金时，迟交不足一周的按一周计算。迟延交付违约金的总额不得超过合同价格的</w:t>
      </w:r>
      <w:r>
        <w:rPr>
          <w:rFonts w:hint="eastAsia" w:ascii="宋体" w:hAnsi="宋体"/>
          <w:color w:val="auto"/>
          <w:sz w:val="24"/>
          <w:highlight w:val="none"/>
        </w:rPr>
        <w:t>20</w:t>
      </w:r>
      <w:r>
        <w:rPr>
          <w:rFonts w:ascii="宋体" w:hAnsi="宋体"/>
          <w:color w:val="auto"/>
          <w:sz w:val="24"/>
          <w:highlight w:val="none"/>
        </w:rPr>
        <w:t>%。迟延交付违约金的支付不能免除乙方继续交付相关合同设备的义务，但如迟延交付必然导致合同设备安装、调试、考核、验收工作推迟的，相关工作应相应顺延</w:t>
      </w:r>
      <w:r>
        <w:rPr>
          <w:rFonts w:hint="eastAsia" w:ascii="宋体" w:hAnsi="宋体"/>
          <w:color w:val="auto"/>
          <w:sz w:val="24"/>
          <w:highlight w:val="none"/>
        </w:rPr>
        <w:t>，合同设备质保期也相应顺延</w:t>
      </w:r>
      <w:r>
        <w:rPr>
          <w:rFonts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13.3 甲方未能按合同约定支付</w:t>
      </w:r>
      <w:r>
        <w:rPr>
          <w:rFonts w:hint="eastAsia" w:ascii="宋体" w:hAnsi="宋体"/>
          <w:color w:val="auto"/>
          <w:sz w:val="24"/>
          <w:highlight w:val="none"/>
        </w:rPr>
        <w:t>合同价格</w:t>
      </w:r>
      <w:r>
        <w:rPr>
          <w:rFonts w:ascii="宋体" w:hAnsi="宋体"/>
          <w:color w:val="auto"/>
          <w:sz w:val="24"/>
          <w:highlight w:val="none"/>
        </w:rPr>
        <w:t>的，应向乙方支付延迟付款违约金。除合同条款另有约定外，迟延付款违约金的计算方法如下：</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13.3.1 从迟付的第一周到第四周，每周迟延付款违约金为迟延付款金额的0.5%；</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13.3.2 从迟付的第五周到第八周，每周迟延付款违约金为迟延付款金额的1%；</w:t>
      </w:r>
    </w:p>
    <w:p>
      <w:pPr>
        <w:spacing w:line="360" w:lineRule="auto"/>
        <w:ind w:left="239" w:leftChars="114" w:firstLine="240" w:firstLineChars="100"/>
        <w:rPr>
          <w:rFonts w:ascii="宋体" w:hAnsi="宋体"/>
          <w:color w:val="auto"/>
          <w:sz w:val="24"/>
          <w:highlight w:val="none"/>
        </w:rPr>
      </w:pPr>
      <w:r>
        <w:rPr>
          <w:rFonts w:ascii="宋体" w:hAnsi="宋体"/>
          <w:color w:val="auto"/>
          <w:sz w:val="24"/>
          <w:highlight w:val="none"/>
        </w:rPr>
        <w:t>13.3.3 从迟付第九周起，每周迟延付款违约金为迟延付款金额的1.5%</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ascii="宋体" w:hAnsi="宋体"/>
          <w:color w:val="auto"/>
          <w:sz w:val="24"/>
          <w:highlight w:val="none"/>
        </w:rPr>
        <w:t>在计算迟延付款违约金时，迟付不足一周的按一周计算。迟延付款违约金的总额不得超过合同价格的</w:t>
      </w:r>
      <w:r>
        <w:rPr>
          <w:rFonts w:hint="eastAsia" w:ascii="宋体" w:hAnsi="宋体"/>
          <w:color w:val="auto"/>
          <w:sz w:val="24"/>
          <w:highlight w:val="none"/>
        </w:rPr>
        <w:t>20</w:t>
      </w:r>
      <w:r>
        <w:rPr>
          <w:rFonts w:ascii="宋体" w:hAnsi="宋体"/>
          <w:color w:val="auto"/>
          <w:sz w:val="24"/>
          <w:highlight w:val="none"/>
        </w:rPr>
        <w:t>%。</w:t>
      </w:r>
    </w:p>
    <w:p>
      <w:pPr>
        <w:snapToGrid w:val="0"/>
        <w:spacing w:before="240" w:line="360" w:lineRule="auto"/>
        <w:ind w:firstLine="482" w:firstLineChars="200"/>
        <w:outlineLvl w:val="1"/>
        <w:rPr>
          <w:rFonts w:ascii="宋体" w:hAnsi="宋体"/>
          <w:b/>
          <w:color w:val="auto"/>
          <w:sz w:val="24"/>
          <w:highlight w:val="none"/>
        </w:rPr>
      </w:pPr>
      <w:bookmarkStart w:id="165" w:name="_Toc115210853"/>
      <w:bookmarkStart w:id="166" w:name="_Toc101546094"/>
      <w:bookmarkStart w:id="167" w:name="_Toc25478"/>
      <w:bookmarkStart w:id="168" w:name="_Toc99281624"/>
      <w:r>
        <w:rPr>
          <w:rFonts w:hint="eastAsia" w:ascii="宋体" w:hAnsi="宋体"/>
          <w:b/>
          <w:color w:val="auto"/>
          <w:sz w:val="24"/>
          <w:highlight w:val="none"/>
        </w:rPr>
        <w:t>第十四条</w:t>
      </w:r>
      <w:r>
        <w:rPr>
          <w:rFonts w:ascii="宋体" w:hAnsi="宋体"/>
          <w:b/>
          <w:color w:val="auto"/>
          <w:sz w:val="24"/>
          <w:highlight w:val="none"/>
        </w:rPr>
        <w:t xml:space="preserve">. </w:t>
      </w:r>
      <w:r>
        <w:rPr>
          <w:rFonts w:hint="eastAsia" w:ascii="宋体" w:hAnsi="宋体"/>
          <w:b/>
          <w:color w:val="auto"/>
          <w:sz w:val="24"/>
          <w:highlight w:val="none"/>
        </w:rPr>
        <w:t>合同的解除</w:t>
      </w:r>
      <w:bookmarkEnd w:id="165"/>
      <w:bookmarkEnd w:id="166"/>
      <w:bookmarkEnd w:id="167"/>
      <w:bookmarkEnd w:id="168"/>
    </w:p>
    <w:p>
      <w:pPr>
        <w:spacing w:line="360" w:lineRule="auto"/>
        <w:ind w:firstLine="480" w:firstLineChars="200"/>
        <w:rPr>
          <w:rFonts w:ascii="宋体" w:hAnsi="宋体"/>
          <w:color w:val="auto"/>
          <w:sz w:val="24"/>
          <w:highlight w:val="none"/>
        </w:rPr>
      </w:pPr>
      <w:r>
        <w:rPr>
          <w:rFonts w:ascii="宋体" w:hAnsi="宋体"/>
          <w:color w:val="auto"/>
          <w:sz w:val="24"/>
          <w:highlight w:val="none"/>
        </w:rPr>
        <w:t>除合同条款另有约定外，有下述情形之一，当事人可发出书面通知全部或部分地解除合同，合同自通知到达对方时全部或部分地解除：</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4</w:t>
      </w:r>
      <w:r>
        <w:rPr>
          <w:rFonts w:hint="eastAsia" w:ascii="宋体" w:hAnsi="宋体"/>
          <w:color w:val="auto"/>
          <w:sz w:val="24"/>
          <w:highlight w:val="none"/>
        </w:rPr>
        <w:t xml:space="preserve">.1 </w:t>
      </w:r>
      <w:r>
        <w:rPr>
          <w:rFonts w:ascii="宋体" w:hAnsi="宋体"/>
          <w:color w:val="auto"/>
          <w:sz w:val="24"/>
          <w:highlight w:val="none"/>
        </w:rPr>
        <w:t>乙方迟延交付合同设备超过3个月；</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4</w:t>
      </w:r>
      <w:r>
        <w:rPr>
          <w:rFonts w:hint="eastAsia" w:ascii="宋体" w:hAnsi="宋体"/>
          <w:color w:val="auto"/>
          <w:sz w:val="24"/>
          <w:highlight w:val="none"/>
        </w:rPr>
        <w:t>.2 根据6</w:t>
      </w:r>
      <w:r>
        <w:rPr>
          <w:rFonts w:ascii="宋体" w:hAnsi="宋体"/>
          <w:color w:val="auto"/>
          <w:sz w:val="24"/>
          <w:highlight w:val="none"/>
        </w:rPr>
        <w:t>.3.3</w:t>
      </w:r>
      <w:r>
        <w:rPr>
          <w:rFonts w:hint="eastAsia" w:ascii="宋体" w:hAnsi="宋体"/>
          <w:color w:val="auto"/>
          <w:sz w:val="24"/>
          <w:highlight w:val="none"/>
        </w:rPr>
        <w:t>条，</w:t>
      </w:r>
      <w:r>
        <w:rPr>
          <w:rFonts w:ascii="宋体" w:hAnsi="宋体"/>
          <w:color w:val="auto"/>
          <w:sz w:val="24"/>
          <w:highlight w:val="none"/>
        </w:rPr>
        <w:t>合同设备由于乙方原因</w:t>
      </w:r>
      <w:r>
        <w:rPr>
          <w:rFonts w:hint="eastAsia" w:ascii="宋体" w:hAnsi="宋体"/>
          <w:color w:val="auto"/>
          <w:sz w:val="24"/>
          <w:highlight w:val="none"/>
        </w:rPr>
        <w:t>两</w:t>
      </w:r>
      <w:r>
        <w:rPr>
          <w:rFonts w:ascii="宋体" w:hAnsi="宋体"/>
          <w:color w:val="auto"/>
          <w:sz w:val="24"/>
          <w:highlight w:val="none"/>
        </w:rPr>
        <w:t>次考核均未能达到技术性能考核指标或在合同约定了或双方在考核中另行达成了最低技术性能考核指标时均未能达到最低技术性能考核指标，且甲乙双方未就合同的后续履行协商达成一致；</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14.3 甲方迟延付款超过3个月；</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4</w:t>
      </w:r>
      <w:r>
        <w:rPr>
          <w:rFonts w:hint="eastAsia" w:ascii="宋体" w:hAnsi="宋体"/>
          <w:color w:val="auto"/>
          <w:sz w:val="24"/>
          <w:highlight w:val="none"/>
        </w:rPr>
        <w:t xml:space="preserve">.4 </w:t>
      </w:r>
      <w:r>
        <w:rPr>
          <w:rFonts w:ascii="宋体" w:hAnsi="宋体"/>
          <w:color w:val="auto"/>
          <w:sz w:val="24"/>
          <w:highlight w:val="none"/>
        </w:rPr>
        <w:t>合同一方当事人未能履行合同项下任何其它义务（细微义务除外），或在未事先征得另一方当事人同意的情况下，从事任何可能在实质上不利影响其履行合同能力的活动，经另一方当事人书面通知后 14 日内或在合同条款约定的其他期限内未能对其行为作出补救；</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4</w:t>
      </w:r>
      <w:r>
        <w:rPr>
          <w:rFonts w:hint="eastAsia" w:ascii="宋体" w:hAnsi="宋体"/>
          <w:color w:val="auto"/>
          <w:sz w:val="24"/>
          <w:highlight w:val="none"/>
        </w:rPr>
        <w:t xml:space="preserve">.5 </w:t>
      </w:r>
      <w:r>
        <w:rPr>
          <w:rFonts w:ascii="宋体" w:hAnsi="宋体"/>
          <w:color w:val="auto"/>
          <w:sz w:val="24"/>
          <w:highlight w:val="none"/>
        </w:rPr>
        <w:t>合同一方当事人出现破产、清算、资不抵债、成为失信被执行人等可能丧失履约能力的情形，且未能提供令对方满意的履约保证金。</w:t>
      </w:r>
    </w:p>
    <w:p>
      <w:pPr>
        <w:snapToGrid w:val="0"/>
        <w:spacing w:before="240" w:line="360" w:lineRule="auto"/>
        <w:ind w:firstLine="482" w:firstLineChars="200"/>
        <w:outlineLvl w:val="1"/>
        <w:rPr>
          <w:rFonts w:ascii="宋体" w:hAnsi="宋体"/>
          <w:b/>
          <w:color w:val="auto"/>
          <w:sz w:val="24"/>
          <w:highlight w:val="none"/>
        </w:rPr>
      </w:pPr>
      <w:bookmarkStart w:id="169" w:name="_Toc99281625"/>
      <w:bookmarkStart w:id="170" w:name="_Toc29143"/>
      <w:bookmarkStart w:id="171" w:name="_Toc115210854"/>
      <w:bookmarkStart w:id="172" w:name="_Toc101546095"/>
      <w:r>
        <w:rPr>
          <w:rFonts w:hint="eastAsia" w:ascii="宋体" w:hAnsi="宋体"/>
          <w:b/>
          <w:color w:val="auto"/>
          <w:sz w:val="24"/>
          <w:highlight w:val="none"/>
        </w:rPr>
        <w:t>第十五条</w:t>
      </w:r>
      <w:r>
        <w:rPr>
          <w:rFonts w:ascii="宋体" w:hAnsi="宋体"/>
          <w:b/>
          <w:color w:val="auto"/>
          <w:sz w:val="24"/>
          <w:highlight w:val="none"/>
        </w:rPr>
        <w:t xml:space="preserve">. </w:t>
      </w:r>
      <w:r>
        <w:rPr>
          <w:rFonts w:hint="eastAsia" w:ascii="宋体" w:hAnsi="宋体"/>
          <w:b/>
          <w:color w:val="auto"/>
          <w:sz w:val="24"/>
          <w:highlight w:val="none"/>
        </w:rPr>
        <w:t>不可抗力</w:t>
      </w:r>
      <w:bookmarkEnd w:id="169"/>
      <w:bookmarkEnd w:id="170"/>
      <w:bookmarkEnd w:id="171"/>
      <w:bookmarkEnd w:id="172"/>
    </w:p>
    <w:p>
      <w:pPr>
        <w:spacing w:line="360" w:lineRule="auto"/>
        <w:ind w:firstLine="480" w:firstLineChars="200"/>
        <w:rPr>
          <w:rFonts w:ascii="宋体" w:hAnsi="宋体"/>
          <w:color w:val="auto"/>
          <w:sz w:val="24"/>
          <w:highlight w:val="none"/>
        </w:rPr>
      </w:pPr>
      <w:r>
        <w:rPr>
          <w:rFonts w:ascii="宋体" w:hAnsi="宋体"/>
          <w:color w:val="auto"/>
          <w:sz w:val="24"/>
          <w:highlight w:val="none"/>
        </w:rPr>
        <w:t>15.1 如果任何一方当事人受到不能预见、不能避免且不能克服的不可抗力事件的影响，例如战争、严重的火灾、台风、地震、洪水和合同条款约定的其他情形，而无法履行合同项下的任何义务，则受影响的一方当事人应立即将此类事件的发生通知另一方当事人，并应在不可抗力事件发生后28日内将有关当局或机构出具的证明文件提交给另一方当事人。</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15.2 受不可抗力事件影响的一方当事人对于不可抗力事件导致的任何合同义务的迟延履行或不能履行不承担违约责任。但该方当事人应尽快将不可抗力事件结束或消除的情况通知另一方当事人。</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15.3 双方当事人应在不可抗力事件结束或其影响消除后立即继续履行其合同义务，合同期限也应相应顺延。除合同条款另有约定外，如果不可抗力事件的影响持续超过140日，则任何一方当事人均有权以书面通知解除合同。</w:t>
      </w:r>
    </w:p>
    <w:p>
      <w:pPr>
        <w:snapToGrid w:val="0"/>
        <w:spacing w:before="240" w:line="360" w:lineRule="auto"/>
        <w:ind w:firstLine="482" w:firstLineChars="200"/>
        <w:outlineLvl w:val="1"/>
        <w:rPr>
          <w:rFonts w:ascii="宋体" w:hAnsi="宋体"/>
          <w:b/>
          <w:color w:val="auto"/>
          <w:sz w:val="24"/>
          <w:highlight w:val="none"/>
        </w:rPr>
      </w:pPr>
      <w:bookmarkStart w:id="173" w:name="_Toc21805"/>
      <w:bookmarkStart w:id="174" w:name="_Toc99281626"/>
      <w:bookmarkStart w:id="175" w:name="_Toc115210855"/>
      <w:bookmarkStart w:id="176" w:name="_Toc101546096"/>
      <w:r>
        <w:rPr>
          <w:rFonts w:hint="eastAsia" w:ascii="宋体" w:hAnsi="宋体"/>
          <w:b/>
          <w:color w:val="auto"/>
          <w:sz w:val="24"/>
          <w:highlight w:val="none"/>
        </w:rPr>
        <w:t>第十六条</w:t>
      </w:r>
      <w:r>
        <w:rPr>
          <w:rFonts w:ascii="宋体" w:hAnsi="宋体"/>
          <w:b/>
          <w:color w:val="auto"/>
          <w:sz w:val="24"/>
          <w:highlight w:val="none"/>
        </w:rPr>
        <w:t xml:space="preserve">. </w:t>
      </w:r>
      <w:r>
        <w:rPr>
          <w:rFonts w:hint="eastAsia" w:ascii="宋体" w:hAnsi="宋体"/>
          <w:b/>
          <w:color w:val="auto"/>
          <w:sz w:val="24"/>
          <w:highlight w:val="none"/>
        </w:rPr>
        <w:t>争议的解决</w:t>
      </w:r>
      <w:bookmarkEnd w:id="173"/>
      <w:bookmarkEnd w:id="174"/>
      <w:bookmarkEnd w:id="175"/>
      <w:bookmarkEnd w:id="176"/>
    </w:p>
    <w:p>
      <w:pPr>
        <w:spacing w:line="360" w:lineRule="auto"/>
        <w:ind w:firstLine="480" w:firstLineChars="200"/>
        <w:rPr>
          <w:rFonts w:ascii="宋体" w:hAnsi="宋体"/>
          <w:color w:val="auto"/>
          <w:sz w:val="24"/>
          <w:highlight w:val="none"/>
        </w:rPr>
      </w:pPr>
      <w:r>
        <w:rPr>
          <w:rFonts w:ascii="宋体" w:hAnsi="宋体"/>
          <w:color w:val="auto"/>
          <w:sz w:val="24"/>
          <w:highlight w:val="none"/>
        </w:rPr>
        <w:t>因本合同引起的或与本合同有关的任何争议,双方可通过友好协商解决。友好协商解决不成的，向</w:t>
      </w:r>
      <w:r>
        <w:rPr>
          <w:rFonts w:hint="eastAsia" w:ascii="宋体" w:hAnsi="宋体"/>
          <w:color w:val="auto"/>
          <w:sz w:val="24"/>
          <w:highlight w:val="none"/>
        </w:rPr>
        <w:t>甲方所在地有管辖权</w:t>
      </w:r>
      <w:r>
        <w:rPr>
          <w:rFonts w:ascii="宋体" w:hAnsi="宋体"/>
          <w:color w:val="auto"/>
          <w:sz w:val="24"/>
          <w:highlight w:val="none"/>
        </w:rPr>
        <w:t>的人民法院提起诉讼。</w:t>
      </w:r>
    </w:p>
    <w:p>
      <w:pPr>
        <w:numPr>
          <w:ilvl w:val="0"/>
          <w:numId w:val="3"/>
        </w:numPr>
        <w:snapToGrid w:val="0"/>
        <w:spacing w:before="240" w:line="360" w:lineRule="auto"/>
        <w:ind w:firstLine="482" w:firstLineChars="200"/>
        <w:outlineLvl w:val="1"/>
        <w:rPr>
          <w:rFonts w:ascii="宋体" w:hAnsi="宋体"/>
          <w:b/>
          <w:color w:val="auto"/>
          <w:sz w:val="24"/>
          <w:highlight w:val="none"/>
        </w:rPr>
      </w:pPr>
      <w:r>
        <w:rPr>
          <w:rFonts w:hint="eastAsia" w:ascii="宋体" w:hAnsi="宋体"/>
          <w:b/>
          <w:color w:val="auto"/>
          <w:sz w:val="24"/>
          <w:highlight w:val="none"/>
        </w:rPr>
        <w:t>合同生效与终止</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17.1本合同生效须满足下列条件：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本合同经甲乙双方法定代表人或授权代表（后者须经法定代表人书面授权委托，并留存书面授权委托书原件）签字；并加盖公司公章或合同专用章后生效。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17.2本合同有效期自合同生效之日起至本合同双方全部权利义务履行完毕之日止。</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17.3本合同一式陆份，甲乙双方各执叁份，每份具有同等法律效力。</w:t>
      </w:r>
    </w:p>
    <w:p>
      <w:pPr>
        <w:spacing w:line="360" w:lineRule="auto"/>
        <w:ind w:firstLine="480" w:firstLineChars="200"/>
        <w:rPr>
          <w:color w:val="auto"/>
          <w:highlight w:val="none"/>
        </w:rPr>
      </w:pPr>
      <w:r>
        <w:rPr>
          <w:rFonts w:hint="eastAsia" w:ascii="宋体" w:hAnsi="宋体"/>
          <w:color w:val="auto"/>
          <w:sz w:val="24"/>
          <w:highlight w:val="none"/>
        </w:rPr>
        <w:t>17.4甲方可以根据其实际需要无条件单方解除合同，但合同解除后甲方应对乙方已发生的费用进行合理补偿。</w:t>
      </w:r>
    </w:p>
    <w:bookmarkEnd w:id="129"/>
    <w:bookmarkEnd w:id="130"/>
    <w:p>
      <w:pPr>
        <w:snapToGrid w:val="0"/>
        <w:spacing w:before="240" w:line="360" w:lineRule="auto"/>
        <w:ind w:firstLine="482" w:firstLineChars="200"/>
        <w:outlineLvl w:val="1"/>
        <w:rPr>
          <w:rFonts w:ascii="宋体" w:hAnsi="宋体"/>
          <w:b/>
          <w:color w:val="auto"/>
          <w:sz w:val="24"/>
          <w:highlight w:val="none"/>
        </w:rPr>
      </w:pPr>
      <w:r>
        <w:rPr>
          <w:rFonts w:hint="eastAsia" w:ascii="宋体" w:hAnsi="宋体"/>
          <w:b/>
          <w:color w:val="auto"/>
          <w:sz w:val="24"/>
          <w:highlight w:val="none"/>
        </w:rPr>
        <w:t>第十八条</w:t>
      </w:r>
      <w:r>
        <w:rPr>
          <w:rFonts w:ascii="宋体" w:hAnsi="宋体"/>
          <w:b/>
          <w:color w:val="auto"/>
          <w:sz w:val="24"/>
          <w:highlight w:val="none"/>
        </w:rPr>
        <w:t>.</w:t>
      </w:r>
      <w:r>
        <w:rPr>
          <w:rFonts w:hint="eastAsia" w:ascii="宋体" w:hAnsi="宋体"/>
          <w:b/>
          <w:color w:val="auto"/>
          <w:sz w:val="24"/>
          <w:highlight w:val="none"/>
        </w:rPr>
        <w:t xml:space="preserve"> 合同附件</w:t>
      </w:r>
    </w:p>
    <w:p>
      <w:pPr>
        <w:snapToGrid w:val="0"/>
        <w:spacing w:before="120" w:line="360" w:lineRule="auto"/>
        <w:ind w:right="24" w:firstLine="540"/>
        <w:rPr>
          <w:rFonts w:ascii="宋体" w:hAnsi="宋体" w:cs="宋体"/>
          <w:color w:val="auto"/>
          <w:sz w:val="24"/>
          <w:highlight w:val="none"/>
        </w:rPr>
      </w:pPr>
      <w:bookmarkStart w:id="177" w:name="_Hlk135747095"/>
      <w:r>
        <w:rPr>
          <w:rFonts w:hint="eastAsia" w:ascii="宋体" w:hAnsi="宋体" w:cs="宋体"/>
          <w:color w:val="auto"/>
          <w:sz w:val="24"/>
          <w:highlight w:val="none"/>
          <w:lang w:bidi="ar"/>
        </w:rPr>
        <w:t>附件一：合同内容、范围及分项价格</w:t>
      </w:r>
    </w:p>
    <w:p>
      <w:pPr>
        <w:snapToGrid w:val="0"/>
        <w:spacing w:before="120" w:line="360" w:lineRule="auto"/>
        <w:ind w:right="24" w:firstLine="540"/>
        <w:rPr>
          <w:rFonts w:ascii="宋体" w:hAnsi="宋体" w:cs="宋体"/>
          <w:color w:val="auto"/>
          <w:sz w:val="24"/>
          <w:highlight w:val="none"/>
          <w:lang w:bidi="ar"/>
        </w:rPr>
      </w:pPr>
      <w:r>
        <w:rPr>
          <w:rFonts w:hint="eastAsia" w:ascii="宋体" w:hAnsi="宋体" w:cs="宋体"/>
          <w:color w:val="auto"/>
          <w:sz w:val="24"/>
          <w:highlight w:val="none"/>
          <w:lang w:bidi="ar"/>
        </w:rPr>
        <w:t>附件二：工作说明书</w:t>
      </w:r>
    </w:p>
    <w:p>
      <w:pPr>
        <w:snapToGrid w:val="0"/>
        <w:spacing w:before="120" w:line="360" w:lineRule="auto"/>
        <w:ind w:right="24" w:firstLine="540"/>
        <w:rPr>
          <w:rFonts w:ascii="宋体" w:hAnsi="宋体" w:cs="宋体"/>
          <w:color w:val="auto"/>
          <w:sz w:val="24"/>
          <w:highlight w:val="none"/>
          <w:lang w:bidi="ar"/>
        </w:rPr>
      </w:pPr>
      <w:r>
        <w:rPr>
          <w:rFonts w:hint="eastAsia" w:ascii="宋体" w:hAnsi="宋体" w:cs="宋体"/>
          <w:color w:val="auto"/>
          <w:sz w:val="24"/>
          <w:highlight w:val="none"/>
          <w:lang w:bidi="ar"/>
        </w:rPr>
        <w:t>附件三：保密协议</w:t>
      </w:r>
    </w:p>
    <w:p>
      <w:pPr>
        <w:snapToGrid w:val="0"/>
        <w:spacing w:before="120" w:line="360" w:lineRule="auto"/>
        <w:ind w:right="24" w:firstLine="540"/>
        <w:rPr>
          <w:rFonts w:ascii="宋体" w:hAnsi="宋体" w:cs="宋体"/>
          <w:color w:val="auto"/>
          <w:sz w:val="24"/>
          <w:highlight w:val="none"/>
          <w:lang w:bidi="ar"/>
        </w:rPr>
      </w:pPr>
      <w:r>
        <w:rPr>
          <w:rFonts w:hint="eastAsia" w:ascii="宋体" w:hAnsi="宋体" w:cs="宋体"/>
          <w:color w:val="auto"/>
          <w:sz w:val="24"/>
          <w:highlight w:val="none"/>
          <w:lang w:bidi="ar"/>
        </w:rPr>
        <w:t>附件四：保廉合同</w:t>
      </w:r>
    </w:p>
    <w:p>
      <w:pPr>
        <w:pStyle w:val="2"/>
        <w:rPr>
          <w:color w:val="auto"/>
          <w:highlight w:val="none"/>
        </w:rPr>
      </w:pP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bidi="ar"/>
        </w:rPr>
        <w:t>（以下无正文，仅续《2022年工信部数据字典项目TC220807A电力设备数据字典测试床的算法训练和测试设备采购合同》的签字盖章页）</w:t>
      </w:r>
    </w:p>
    <w:p>
      <w:pPr>
        <w:spacing w:line="360" w:lineRule="auto"/>
        <w:ind w:right="-218" w:rightChars="-104" w:firstLine="480"/>
        <w:jc w:val="left"/>
        <w:rPr>
          <w:rFonts w:ascii="宋体" w:hAnsi="宋体" w:cs="宋体"/>
          <w:color w:val="auto"/>
          <w:szCs w:val="21"/>
          <w:highlight w:val="none"/>
        </w:rPr>
      </w:pPr>
    </w:p>
    <w:bookmarkEnd w:id="177"/>
    <w:p>
      <w:pPr>
        <w:pStyle w:val="9"/>
        <w:ind w:left="0" w:leftChars="0" w:firstLine="0"/>
        <w:rPr>
          <w:rFonts w:ascii="宋体" w:hAnsi="宋体" w:cs="宋体"/>
          <w:color w:val="auto"/>
          <w:szCs w:val="21"/>
          <w:highlight w:val="none"/>
          <w:lang w:bidi="ar"/>
        </w:rPr>
      </w:pPr>
      <w:r>
        <w:rPr>
          <w:rFonts w:ascii="宋体" w:hAnsi="宋体" w:cs="宋体"/>
          <w:color w:val="auto"/>
          <w:szCs w:val="21"/>
          <w:highlight w:val="none"/>
          <w:lang w:bidi="ar"/>
        </w:rPr>
        <w:br w:type="page"/>
      </w:r>
    </w:p>
    <w:p>
      <w:pPr>
        <w:pStyle w:val="9"/>
        <w:ind w:left="0" w:leftChars="0" w:firstLine="0"/>
        <w:rPr>
          <w:rFonts w:ascii="宋体" w:hAnsi="宋体" w:cs="宋体"/>
          <w:color w:val="auto"/>
          <w:szCs w:val="21"/>
          <w:highlight w:val="none"/>
        </w:rPr>
      </w:pPr>
      <w:r>
        <w:rPr>
          <w:rFonts w:hint="eastAsia" w:ascii="宋体" w:hAnsi="宋体" w:cs="宋体"/>
          <w:color w:val="auto"/>
          <w:szCs w:val="21"/>
          <w:highlight w:val="none"/>
          <w:lang w:bidi="ar"/>
        </w:rPr>
        <w:t>（本页无正文，仅为《2022年工信部数据字典项目TC220807A电力设备数据字典测试床的算法训练和测试设备采购合同》的签字盖章页）</w:t>
      </w:r>
    </w:p>
    <w:tbl>
      <w:tblPr>
        <w:tblStyle w:val="27"/>
        <w:tblW w:w="9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5"/>
        <w:gridCol w:w="4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jc w:val="center"/>
        </w:trPr>
        <w:tc>
          <w:tcPr>
            <w:tcW w:w="4615" w:type="dxa"/>
            <w:tcBorders>
              <w:top w:val="single" w:color="auto" w:sz="4" w:space="0"/>
              <w:left w:val="single" w:color="auto" w:sz="4" w:space="0"/>
              <w:bottom w:val="single" w:color="auto" w:sz="4" w:space="0"/>
              <w:right w:val="single" w:color="auto" w:sz="4" w:space="0"/>
            </w:tcBorders>
            <w:vAlign w:val="center"/>
          </w:tcPr>
          <w:p>
            <w:pPr>
              <w:spacing w:after="160" w:line="254" w:lineRule="auto"/>
              <w:rPr>
                <w:rFonts w:ascii="宋体" w:hAnsi="宋体" w:cs="宋体"/>
                <w:bCs/>
                <w:color w:val="auto"/>
                <w:szCs w:val="21"/>
                <w:highlight w:val="none"/>
                <w:lang w:bidi="ar"/>
              </w:rPr>
            </w:pPr>
          </w:p>
          <w:p>
            <w:pPr>
              <w:spacing w:after="160" w:line="254" w:lineRule="auto"/>
              <w:rPr>
                <w:rFonts w:ascii="宋体" w:hAnsi="宋体" w:cs="宋体"/>
                <w:bCs/>
                <w:color w:val="auto"/>
                <w:szCs w:val="21"/>
                <w:highlight w:val="none"/>
                <w:lang w:bidi="ar"/>
              </w:rPr>
            </w:pPr>
            <w:r>
              <w:rPr>
                <w:rFonts w:hint="eastAsia" w:ascii="宋体" w:hAnsi="宋体" w:cs="宋体"/>
                <w:bCs/>
                <w:color w:val="auto"/>
                <w:szCs w:val="21"/>
                <w:highlight w:val="none"/>
                <w:lang w:bidi="ar"/>
              </w:rPr>
              <w:t xml:space="preserve">甲方：国家电投集团数字科技有限公司       </w:t>
            </w:r>
          </w:p>
          <w:p>
            <w:pPr>
              <w:spacing w:after="160" w:line="254" w:lineRule="auto"/>
              <w:rPr>
                <w:rFonts w:ascii="宋体" w:hAnsi="宋体" w:cs="宋体"/>
                <w:color w:val="auto"/>
                <w:szCs w:val="21"/>
                <w:highlight w:val="none"/>
              </w:rPr>
            </w:pPr>
            <w:r>
              <w:rPr>
                <w:rFonts w:hint="eastAsia" w:ascii="宋体" w:hAnsi="宋体" w:cs="宋体"/>
                <w:bCs/>
                <w:color w:val="auto"/>
                <w:szCs w:val="21"/>
                <w:highlight w:val="none"/>
                <w:lang w:bidi="ar"/>
              </w:rPr>
              <w:t>（盖章）</w:t>
            </w:r>
          </w:p>
          <w:p>
            <w:pPr>
              <w:spacing w:after="160" w:line="254" w:lineRule="auto"/>
              <w:rPr>
                <w:rFonts w:ascii="宋体" w:hAnsi="宋体" w:cs="宋体"/>
                <w:color w:val="auto"/>
                <w:szCs w:val="21"/>
                <w:highlight w:val="none"/>
              </w:rPr>
            </w:pPr>
          </w:p>
          <w:p>
            <w:pPr>
              <w:spacing w:after="160" w:line="254" w:lineRule="auto"/>
              <w:rPr>
                <w:rFonts w:ascii="宋体" w:hAnsi="宋体" w:cs="宋体"/>
                <w:color w:val="auto"/>
                <w:szCs w:val="21"/>
                <w:highlight w:val="none"/>
              </w:rPr>
            </w:pPr>
          </w:p>
        </w:tc>
        <w:tc>
          <w:tcPr>
            <w:tcW w:w="4434" w:type="dxa"/>
            <w:tcBorders>
              <w:top w:val="single" w:color="auto" w:sz="4" w:space="0"/>
              <w:left w:val="single" w:color="auto" w:sz="4" w:space="0"/>
              <w:bottom w:val="single" w:color="auto" w:sz="4" w:space="0"/>
              <w:right w:val="single" w:color="auto" w:sz="4" w:space="0"/>
            </w:tcBorders>
            <w:vAlign w:val="center"/>
          </w:tcPr>
          <w:p>
            <w:pPr>
              <w:spacing w:after="160" w:line="254" w:lineRule="auto"/>
              <w:rPr>
                <w:rFonts w:ascii="宋体" w:hAnsi="宋体" w:cs="宋体"/>
                <w:bCs/>
                <w:color w:val="auto"/>
                <w:szCs w:val="21"/>
                <w:highlight w:val="none"/>
                <w:lang w:bidi="ar"/>
              </w:rPr>
            </w:pPr>
          </w:p>
          <w:p>
            <w:pPr>
              <w:spacing w:after="160" w:line="254" w:lineRule="auto"/>
              <w:rPr>
                <w:rFonts w:ascii="宋体" w:hAnsi="宋体" w:cs="宋体"/>
                <w:bCs/>
                <w:color w:val="auto"/>
                <w:szCs w:val="21"/>
                <w:highlight w:val="none"/>
                <w:lang w:bidi="ar"/>
              </w:rPr>
            </w:pPr>
            <w:r>
              <w:rPr>
                <w:rFonts w:hint="eastAsia" w:ascii="宋体" w:hAnsi="宋体" w:cs="宋体"/>
                <w:bCs/>
                <w:color w:val="auto"/>
                <w:szCs w:val="21"/>
                <w:highlight w:val="none"/>
                <w:lang w:bidi="ar"/>
              </w:rPr>
              <w:t>乙方：</w:t>
            </w:r>
          </w:p>
          <w:p>
            <w:pPr>
              <w:spacing w:after="160" w:line="254" w:lineRule="auto"/>
              <w:rPr>
                <w:rFonts w:ascii="宋体" w:hAnsi="宋体" w:cs="宋体"/>
                <w:bCs/>
                <w:color w:val="auto"/>
                <w:szCs w:val="21"/>
                <w:highlight w:val="none"/>
              </w:rPr>
            </w:pPr>
            <w:r>
              <w:rPr>
                <w:rFonts w:hint="eastAsia" w:ascii="宋体" w:hAnsi="宋体" w:cs="宋体"/>
                <w:bCs/>
                <w:color w:val="auto"/>
                <w:szCs w:val="21"/>
                <w:highlight w:val="none"/>
                <w:lang w:bidi="ar"/>
              </w:rPr>
              <w:t>（盖章）</w:t>
            </w:r>
          </w:p>
          <w:p>
            <w:pPr>
              <w:spacing w:after="160" w:line="254" w:lineRule="auto"/>
              <w:rPr>
                <w:rFonts w:ascii="宋体" w:hAnsi="宋体" w:cs="宋体"/>
                <w:bCs/>
                <w:color w:val="auto"/>
                <w:szCs w:val="21"/>
                <w:highlight w:val="none"/>
              </w:rPr>
            </w:pPr>
          </w:p>
          <w:p>
            <w:pPr>
              <w:spacing w:after="160" w:line="254" w:lineRule="auto"/>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4615" w:type="dxa"/>
            <w:tcBorders>
              <w:top w:val="single" w:color="auto" w:sz="4" w:space="0"/>
              <w:left w:val="single" w:color="auto" w:sz="4" w:space="0"/>
              <w:bottom w:val="single" w:color="auto" w:sz="4" w:space="0"/>
              <w:right w:val="single" w:color="auto" w:sz="4" w:space="0"/>
            </w:tcBorders>
            <w:vAlign w:val="center"/>
          </w:tcPr>
          <w:p>
            <w:pPr>
              <w:spacing w:after="160"/>
              <w:rPr>
                <w:rFonts w:ascii="宋体" w:hAnsi="宋体" w:cs="宋体"/>
                <w:color w:val="auto"/>
                <w:szCs w:val="21"/>
                <w:highlight w:val="none"/>
              </w:rPr>
            </w:pPr>
            <w:r>
              <w:rPr>
                <w:rFonts w:hint="eastAsia" w:ascii="宋体" w:hAnsi="宋体" w:cs="宋体"/>
                <w:color w:val="auto"/>
                <w:szCs w:val="21"/>
                <w:highlight w:val="none"/>
                <w:lang w:bidi="ar"/>
              </w:rPr>
              <w:t>法人代表或授权代表（签字）：</w:t>
            </w:r>
          </w:p>
          <w:p>
            <w:pPr>
              <w:spacing w:after="160"/>
              <w:rPr>
                <w:rFonts w:ascii="宋体" w:hAnsi="宋体" w:cs="宋体"/>
                <w:color w:val="auto"/>
                <w:szCs w:val="21"/>
                <w:highlight w:val="none"/>
              </w:rPr>
            </w:pPr>
          </w:p>
          <w:p>
            <w:pPr>
              <w:spacing w:after="160"/>
              <w:rPr>
                <w:rFonts w:ascii="宋体" w:hAnsi="宋体" w:cs="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 xml:space="preserve">公司注册地址：北京市昌平区科技园区创新路7号1号楼2106号 </w:t>
            </w:r>
          </w:p>
          <w:p>
            <w:pPr>
              <w:spacing w:line="360" w:lineRule="auto"/>
              <w:rPr>
                <w:rFonts w:ascii="宋体" w:hAnsi="宋体"/>
                <w:color w:val="auto"/>
                <w:szCs w:val="21"/>
                <w:highlight w:val="none"/>
              </w:rPr>
            </w:pPr>
            <w:r>
              <w:rPr>
                <w:rFonts w:hint="eastAsia" w:ascii="宋体" w:hAnsi="宋体"/>
                <w:color w:val="auto"/>
                <w:szCs w:val="21"/>
                <w:highlight w:val="none"/>
              </w:rPr>
              <w:t>公司办公地址：北京市昌平区北七家镇北七家东路9号院国家电投院内C座</w:t>
            </w:r>
          </w:p>
          <w:p>
            <w:pPr>
              <w:spacing w:line="360" w:lineRule="auto"/>
              <w:rPr>
                <w:rFonts w:ascii="宋体" w:hAnsi="宋体"/>
                <w:color w:val="auto"/>
                <w:szCs w:val="21"/>
                <w:highlight w:val="none"/>
              </w:rPr>
            </w:pPr>
            <w:r>
              <w:rPr>
                <w:rFonts w:hint="eastAsia" w:ascii="宋体" w:hAnsi="宋体"/>
                <w:color w:val="auto"/>
                <w:szCs w:val="21"/>
                <w:highlight w:val="none"/>
              </w:rPr>
              <w:t>电话：010-56118000</w:t>
            </w:r>
          </w:p>
          <w:p>
            <w:pPr>
              <w:spacing w:line="360" w:lineRule="auto"/>
              <w:rPr>
                <w:rFonts w:ascii="宋体" w:hAnsi="宋体"/>
                <w:color w:val="auto"/>
                <w:szCs w:val="21"/>
                <w:highlight w:val="none"/>
              </w:rPr>
            </w:pPr>
            <w:r>
              <w:rPr>
                <w:rFonts w:hint="eastAsia" w:ascii="宋体" w:hAnsi="宋体"/>
                <w:color w:val="auto"/>
                <w:szCs w:val="21"/>
                <w:highlight w:val="none"/>
              </w:rPr>
              <w:t>传真：010-56118000-6127</w:t>
            </w:r>
          </w:p>
          <w:p>
            <w:pPr>
              <w:spacing w:line="360" w:lineRule="auto"/>
              <w:rPr>
                <w:rFonts w:ascii="宋体" w:hAnsi="宋体"/>
                <w:color w:val="auto"/>
                <w:szCs w:val="21"/>
                <w:highlight w:val="none"/>
              </w:rPr>
            </w:pPr>
            <w:r>
              <w:rPr>
                <w:rFonts w:hint="eastAsia" w:ascii="宋体" w:hAnsi="宋体"/>
                <w:color w:val="auto"/>
                <w:szCs w:val="21"/>
                <w:highlight w:val="none"/>
              </w:rPr>
              <w:t>邮编：102209</w:t>
            </w:r>
          </w:p>
          <w:p>
            <w:pPr>
              <w:spacing w:line="360" w:lineRule="auto"/>
              <w:rPr>
                <w:rFonts w:ascii="宋体" w:hAnsi="宋体"/>
                <w:color w:val="auto"/>
                <w:szCs w:val="21"/>
                <w:highlight w:val="none"/>
              </w:rPr>
            </w:pPr>
            <w:r>
              <w:rPr>
                <w:rFonts w:hint="eastAsia" w:ascii="宋体" w:hAnsi="宋体"/>
                <w:color w:val="auto"/>
                <w:szCs w:val="21"/>
                <w:highlight w:val="none"/>
              </w:rPr>
              <w:t>开户银行：中国工商银行股份有限公司北京海淀支行</w:t>
            </w:r>
          </w:p>
          <w:p>
            <w:pPr>
              <w:spacing w:line="360" w:lineRule="auto"/>
              <w:rPr>
                <w:rFonts w:ascii="宋体" w:hAnsi="宋体"/>
                <w:color w:val="auto"/>
                <w:szCs w:val="21"/>
                <w:highlight w:val="none"/>
              </w:rPr>
            </w:pPr>
            <w:r>
              <w:rPr>
                <w:rFonts w:hint="eastAsia" w:ascii="宋体" w:hAnsi="宋体"/>
                <w:color w:val="auto"/>
                <w:szCs w:val="21"/>
                <w:highlight w:val="none"/>
              </w:rPr>
              <w:t>银行账号：0200049609200980394</w:t>
            </w:r>
          </w:p>
          <w:p>
            <w:pPr>
              <w:spacing w:after="160"/>
              <w:rPr>
                <w:rFonts w:ascii="宋体" w:hAnsi="宋体" w:cs="宋体"/>
                <w:color w:val="auto"/>
                <w:szCs w:val="21"/>
                <w:highlight w:val="none"/>
              </w:rPr>
            </w:pPr>
            <w:r>
              <w:rPr>
                <w:rFonts w:hint="eastAsia" w:ascii="宋体" w:hAnsi="宋体"/>
                <w:color w:val="auto"/>
                <w:szCs w:val="21"/>
                <w:highlight w:val="none"/>
              </w:rPr>
              <w:t>税号：91110000717837561F</w:t>
            </w:r>
          </w:p>
        </w:tc>
        <w:tc>
          <w:tcPr>
            <w:tcW w:w="4434" w:type="dxa"/>
            <w:tcBorders>
              <w:top w:val="single" w:color="auto" w:sz="4" w:space="0"/>
              <w:left w:val="single" w:color="auto" w:sz="4" w:space="0"/>
              <w:bottom w:val="single" w:color="auto" w:sz="4" w:space="0"/>
              <w:right w:val="single" w:color="auto" w:sz="4" w:space="0"/>
            </w:tcBorders>
            <w:vAlign w:val="center"/>
          </w:tcPr>
          <w:p>
            <w:pPr>
              <w:spacing w:after="160"/>
              <w:rPr>
                <w:rFonts w:ascii="宋体" w:hAnsi="宋体" w:cs="宋体"/>
                <w:color w:val="auto"/>
                <w:szCs w:val="21"/>
                <w:highlight w:val="none"/>
              </w:rPr>
            </w:pPr>
            <w:r>
              <w:rPr>
                <w:rFonts w:hint="eastAsia" w:ascii="宋体" w:hAnsi="宋体" w:cs="宋体"/>
                <w:color w:val="auto"/>
                <w:szCs w:val="21"/>
                <w:highlight w:val="none"/>
                <w:lang w:bidi="ar"/>
              </w:rPr>
              <w:t>法人代表或授权代表（签字）：</w:t>
            </w:r>
          </w:p>
          <w:p>
            <w:pPr>
              <w:spacing w:after="160"/>
              <w:rPr>
                <w:rFonts w:ascii="宋体" w:hAnsi="宋体" w:cs="宋体"/>
                <w:color w:val="auto"/>
                <w:szCs w:val="21"/>
                <w:highlight w:val="none"/>
              </w:rPr>
            </w:pPr>
          </w:p>
          <w:p>
            <w:pPr>
              <w:spacing w:after="160"/>
              <w:rPr>
                <w:rFonts w:ascii="宋体" w:hAnsi="宋体" w:cs="宋体"/>
                <w:color w:val="auto"/>
                <w:szCs w:val="21"/>
                <w:highlight w:val="none"/>
              </w:rPr>
            </w:pPr>
          </w:p>
          <w:p>
            <w:pPr>
              <w:spacing w:after="160"/>
              <w:rPr>
                <w:rFonts w:ascii="宋体" w:hAnsi="宋体" w:cs="宋体"/>
                <w:color w:val="auto"/>
                <w:szCs w:val="21"/>
                <w:highlight w:val="none"/>
                <w:lang w:bidi="ar"/>
              </w:rPr>
            </w:pPr>
            <w:r>
              <w:rPr>
                <w:rFonts w:hint="eastAsia" w:ascii="宋体" w:hAnsi="宋体" w:cs="宋体"/>
                <w:color w:val="auto"/>
                <w:szCs w:val="21"/>
                <w:highlight w:val="none"/>
                <w:lang w:bidi="ar"/>
              </w:rPr>
              <w:t>地址：</w:t>
            </w:r>
          </w:p>
          <w:p>
            <w:pPr>
              <w:spacing w:after="160"/>
              <w:rPr>
                <w:rFonts w:ascii="宋体" w:hAnsi="宋体" w:cs="宋体"/>
                <w:color w:val="auto"/>
                <w:szCs w:val="21"/>
                <w:highlight w:val="none"/>
              </w:rPr>
            </w:pPr>
            <w:r>
              <w:rPr>
                <w:rFonts w:hint="eastAsia" w:ascii="宋体" w:hAnsi="宋体" w:cs="宋体"/>
                <w:color w:val="auto"/>
                <w:szCs w:val="21"/>
                <w:highlight w:val="none"/>
                <w:lang w:bidi="ar"/>
              </w:rPr>
              <w:t>电话：</w:t>
            </w:r>
          </w:p>
          <w:p>
            <w:pPr>
              <w:spacing w:after="160"/>
              <w:rPr>
                <w:rFonts w:ascii="宋体" w:hAnsi="宋体" w:cs="宋体"/>
                <w:color w:val="auto"/>
                <w:szCs w:val="21"/>
                <w:highlight w:val="none"/>
              </w:rPr>
            </w:pPr>
            <w:r>
              <w:rPr>
                <w:rFonts w:hint="eastAsia" w:ascii="宋体" w:hAnsi="宋体" w:cs="宋体"/>
                <w:color w:val="auto"/>
                <w:szCs w:val="21"/>
                <w:highlight w:val="none"/>
                <w:lang w:bidi="ar"/>
              </w:rPr>
              <w:t>传真：</w:t>
            </w:r>
            <w:r>
              <w:rPr>
                <w:rFonts w:ascii="宋体" w:hAnsi="宋体" w:cs="宋体"/>
                <w:color w:val="auto"/>
                <w:szCs w:val="21"/>
                <w:highlight w:val="none"/>
                <w:lang w:bidi="ar"/>
              </w:rPr>
              <w:t xml:space="preserve"> </w:t>
            </w:r>
          </w:p>
          <w:p>
            <w:pPr>
              <w:spacing w:after="160"/>
              <w:rPr>
                <w:rFonts w:ascii="宋体" w:hAnsi="宋体" w:cs="宋体"/>
                <w:color w:val="auto"/>
                <w:szCs w:val="21"/>
                <w:highlight w:val="none"/>
                <w:lang w:bidi="ar"/>
              </w:rPr>
            </w:pPr>
            <w:r>
              <w:rPr>
                <w:rFonts w:hint="eastAsia" w:ascii="宋体" w:hAnsi="宋体" w:cs="宋体"/>
                <w:color w:val="auto"/>
                <w:szCs w:val="21"/>
                <w:highlight w:val="none"/>
                <w:lang w:bidi="ar"/>
              </w:rPr>
              <w:t>邮编：</w:t>
            </w:r>
          </w:p>
          <w:p>
            <w:pPr>
              <w:spacing w:after="160"/>
              <w:rPr>
                <w:rFonts w:ascii="宋体" w:hAnsi="宋体" w:cs="宋体"/>
                <w:color w:val="auto"/>
                <w:szCs w:val="21"/>
                <w:highlight w:val="none"/>
                <w:lang w:bidi="ar"/>
              </w:rPr>
            </w:pPr>
            <w:r>
              <w:rPr>
                <w:rFonts w:hint="eastAsia" w:ascii="宋体" w:hAnsi="宋体" w:cs="宋体"/>
                <w:color w:val="auto"/>
                <w:szCs w:val="21"/>
                <w:highlight w:val="none"/>
                <w:lang w:bidi="ar"/>
              </w:rPr>
              <w:t>开户银行：</w:t>
            </w:r>
            <w:r>
              <w:rPr>
                <w:rFonts w:ascii="宋体" w:hAnsi="宋体" w:cs="宋体"/>
                <w:color w:val="auto"/>
                <w:szCs w:val="21"/>
                <w:highlight w:val="none"/>
                <w:lang w:bidi="ar"/>
              </w:rPr>
              <w:t xml:space="preserve"> </w:t>
            </w:r>
          </w:p>
          <w:p>
            <w:pPr>
              <w:spacing w:after="160"/>
              <w:rPr>
                <w:rFonts w:ascii="宋体" w:hAnsi="宋体" w:cs="宋体"/>
                <w:color w:val="auto"/>
                <w:szCs w:val="21"/>
                <w:highlight w:val="none"/>
              </w:rPr>
            </w:pPr>
            <w:r>
              <w:rPr>
                <w:rFonts w:hint="eastAsia" w:ascii="宋体" w:hAnsi="宋体" w:cs="宋体"/>
                <w:color w:val="auto"/>
                <w:szCs w:val="21"/>
                <w:highlight w:val="none"/>
                <w:lang w:bidi="ar"/>
              </w:rPr>
              <w:t>开户名称：</w:t>
            </w:r>
            <w:r>
              <w:rPr>
                <w:rFonts w:ascii="宋体" w:hAnsi="宋体" w:cs="宋体"/>
                <w:color w:val="auto"/>
                <w:szCs w:val="21"/>
                <w:highlight w:val="none"/>
                <w:lang w:bidi="ar"/>
              </w:rPr>
              <w:t xml:space="preserve"> </w:t>
            </w:r>
          </w:p>
          <w:p>
            <w:pPr>
              <w:spacing w:after="160"/>
              <w:rPr>
                <w:rFonts w:ascii="宋体" w:hAnsi="宋体" w:cs="宋体"/>
                <w:color w:val="auto"/>
                <w:szCs w:val="21"/>
                <w:highlight w:val="none"/>
              </w:rPr>
            </w:pPr>
            <w:r>
              <w:rPr>
                <w:rFonts w:hint="eastAsia" w:ascii="宋体" w:hAnsi="宋体" w:cs="宋体"/>
                <w:color w:val="auto"/>
                <w:szCs w:val="21"/>
                <w:highlight w:val="none"/>
                <w:lang w:bidi="ar"/>
              </w:rPr>
              <w:t>银行账号：</w:t>
            </w:r>
            <w:r>
              <w:rPr>
                <w:rFonts w:ascii="宋体" w:hAnsi="宋体" w:cs="宋体"/>
                <w:color w:val="auto"/>
                <w:szCs w:val="21"/>
                <w:highlight w:val="none"/>
                <w:lang w:bidi="ar"/>
              </w:rPr>
              <w:t xml:space="preserve"> </w:t>
            </w:r>
          </w:p>
          <w:p>
            <w:pPr>
              <w:spacing w:after="160"/>
              <w:rPr>
                <w:rFonts w:ascii="宋体" w:hAnsi="宋体" w:cs="宋体"/>
                <w:color w:val="auto"/>
                <w:szCs w:val="21"/>
                <w:highlight w:val="none"/>
              </w:rPr>
            </w:pPr>
            <w:r>
              <w:rPr>
                <w:rFonts w:hint="eastAsia" w:ascii="宋体" w:hAnsi="宋体" w:cs="宋体"/>
                <w:color w:val="auto"/>
                <w:szCs w:val="21"/>
                <w:highlight w:val="none"/>
                <w:lang w:bidi="ar"/>
              </w:rPr>
              <w:t>税号：</w:t>
            </w:r>
            <w:r>
              <w:rPr>
                <w:rFonts w:ascii="宋体" w:hAnsi="宋体" w:cs="宋体"/>
                <w:color w:val="auto"/>
                <w:szCs w:val="21"/>
                <w:highlight w:val="non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4615" w:type="dxa"/>
            <w:tcBorders>
              <w:top w:val="single" w:color="auto" w:sz="4" w:space="0"/>
              <w:left w:val="single" w:color="auto" w:sz="4" w:space="0"/>
              <w:bottom w:val="single" w:color="auto" w:sz="4" w:space="0"/>
              <w:right w:val="single" w:color="auto" w:sz="4" w:space="0"/>
            </w:tcBorders>
            <w:vAlign w:val="center"/>
          </w:tcPr>
          <w:p>
            <w:pPr>
              <w:spacing w:line="255" w:lineRule="auto"/>
              <w:jc w:val="right"/>
              <w:rPr>
                <w:rFonts w:ascii="宋体" w:hAnsi="宋体" w:cs="宋体"/>
                <w:color w:val="auto"/>
                <w:szCs w:val="21"/>
                <w:highlight w:val="none"/>
              </w:rPr>
            </w:pPr>
            <w:r>
              <w:rPr>
                <w:rFonts w:hint="eastAsia" w:ascii="宋体" w:hAnsi="宋体" w:cs="宋体"/>
                <w:color w:val="auto"/>
                <w:szCs w:val="21"/>
                <w:highlight w:val="none"/>
                <w:lang w:bidi="ar"/>
              </w:rPr>
              <w:t>2024年    月    日</w:t>
            </w:r>
          </w:p>
        </w:tc>
        <w:tc>
          <w:tcPr>
            <w:tcW w:w="4434" w:type="dxa"/>
            <w:tcBorders>
              <w:top w:val="single" w:color="auto" w:sz="4" w:space="0"/>
              <w:left w:val="single" w:color="auto" w:sz="4" w:space="0"/>
              <w:bottom w:val="single" w:color="auto" w:sz="4" w:space="0"/>
              <w:right w:val="single" w:color="auto" w:sz="4" w:space="0"/>
            </w:tcBorders>
            <w:vAlign w:val="center"/>
          </w:tcPr>
          <w:p>
            <w:pPr>
              <w:spacing w:line="255" w:lineRule="auto"/>
              <w:jc w:val="right"/>
              <w:rPr>
                <w:rFonts w:ascii="宋体" w:hAnsi="宋体" w:cs="宋体"/>
                <w:color w:val="auto"/>
                <w:szCs w:val="21"/>
                <w:highlight w:val="none"/>
              </w:rPr>
            </w:pPr>
            <w:r>
              <w:rPr>
                <w:rFonts w:hint="eastAsia" w:ascii="宋体" w:hAnsi="宋体" w:cs="宋体"/>
                <w:color w:val="auto"/>
                <w:szCs w:val="21"/>
                <w:highlight w:val="none"/>
                <w:lang w:bidi="ar"/>
              </w:rPr>
              <w:t>2024年    月    日</w:t>
            </w:r>
          </w:p>
        </w:tc>
      </w:tr>
    </w:tbl>
    <w:p>
      <w:pPr>
        <w:spacing w:line="360" w:lineRule="auto"/>
        <w:jc w:val="left"/>
        <w:rPr>
          <w:rFonts w:ascii="宋体" w:hAnsi="宋体" w:cs="宋体"/>
          <w:color w:val="auto"/>
          <w:szCs w:val="21"/>
          <w:highlight w:val="none"/>
        </w:rPr>
      </w:pPr>
    </w:p>
    <w:p>
      <w:pPr>
        <w:snapToGrid w:val="0"/>
        <w:spacing w:before="120" w:line="360" w:lineRule="auto"/>
        <w:ind w:right="24"/>
        <w:rPr>
          <w:rFonts w:ascii="宋体" w:hAnsi="宋体" w:cs="宋体"/>
          <w:b/>
          <w:bCs/>
          <w:color w:val="auto"/>
          <w:szCs w:val="21"/>
          <w:highlight w:val="none"/>
          <w:lang w:bidi="ar"/>
        </w:rPr>
        <w:sectPr>
          <w:footerReference r:id="rId5" w:type="default"/>
          <w:pgSz w:w="11906" w:h="16838"/>
          <w:pgMar w:top="1440" w:right="1800" w:bottom="1440" w:left="1800" w:header="851" w:footer="992" w:gutter="0"/>
          <w:cols w:space="720" w:num="1"/>
          <w:docGrid w:type="lines" w:linePitch="312" w:charSpace="0"/>
        </w:sectPr>
      </w:pPr>
    </w:p>
    <w:p>
      <w:pPr>
        <w:keepNext/>
        <w:keepLines/>
        <w:tabs>
          <w:tab w:val="left" w:pos="0"/>
        </w:tabs>
        <w:spacing w:before="159" w:beforeLines="50" w:line="360" w:lineRule="auto"/>
        <w:outlineLvl w:val="2"/>
        <w:rPr>
          <w:rFonts w:ascii="宋体" w:hAnsi="宋体" w:cs="宋体"/>
          <w:b/>
          <w:bCs/>
          <w:color w:val="auto"/>
          <w:szCs w:val="21"/>
          <w:highlight w:val="none"/>
          <w:lang w:bidi="ar"/>
        </w:rPr>
      </w:pPr>
      <w:bookmarkStart w:id="178" w:name="_Hlk135747130"/>
      <w:r>
        <w:rPr>
          <w:rFonts w:hint="eastAsia" w:ascii="宋体" w:hAnsi="宋体" w:cs="宋体"/>
          <w:b/>
          <w:bCs/>
          <w:color w:val="auto"/>
          <w:szCs w:val="21"/>
          <w:highlight w:val="none"/>
          <w:lang w:bidi="ar"/>
        </w:rPr>
        <w:t>附件一：合同内容、范围及分项价格</w:t>
      </w:r>
    </w:p>
    <w:p>
      <w:pPr>
        <w:pStyle w:val="65"/>
        <w:ind w:firstLine="480"/>
        <w:rPr>
          <w:color w:val="auto"/>
          <w:highlight w:val="none"/>
        </w:rPr>
      </w:pP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1"/>
        <w:gridCol w:w="1516"/>
        <w:gridCol w:w="1827"/>
        <w:gridCol w:w="584"/>
        <w:gridCol w:w="660"/>
        <w:gridCol w:w="1175"/>
        <w:gridCol w:w="1305"/>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385" w:type="dxa"/>
            <w:tcMar>
              <w:top w:w="15" w:type="dxa"/>
              <w:left w:w="15" w:type="dxa"/>
              <w:right w:w="15" w:type="dxa"/>
            </w:tcMar>
            <w:vAlign w:val="center"/>
          </w:tcPr>
          <w:p>
            <w:pPr>
              <w:widowControl/>
              <w:jc w:val="center"/>
              <w:textAlignment w:val="center"/>
              <w:rPr>
                <w:rFonts w:ascii="宋体" w:hAnsi="宋体"/>
                <w:b/>
                <w:bCs/>
                <w:color w:val="auto"/>
                <w:kern w:val="0"/>
                <w:szCs w:val="21"/>
                <w:highlight w:val="none"/>
                <w:lang w:bidi="ar"/>
              </w:rPr>
            </w:pPr>
            <w:r>
              <w:rPr>
                <w:rFonts w:hint="eastAsia" w:ascii="宋体" w:hAnsi="宋体"/>
                <w:b/>
                <w:bCs/>
                <w:color w:val="auto"/>
                <w:kern w:val="0"/>
                <w:szCs w:val="21"/>
                <w:highlight w:val="none"/>
                <w:lang w:bidi="ar"/>
              </w:rPr>
              <w:t>序号</w:t>
            </w:r>
          </w:p>
        </w:tc>
        <w:tc>
          <w:tcPr>
            <w:tcW w:w="1385" w:type="dxa"/>
            <w:tcMar>
              <w:top w:w="15" w:type="dxa"/>
              <w:left w:w="15" w:type="dxa"/>
              <w:right w:w="15" w:type="dxa"/>
            </w:tcMar>
            <w:vAlign w:val="center"/>
          </w:tcPr>
          <w:p>
            <w:pPr>
              <w:widowControl/>
              <w:jc w:val="center"/>
              <w:textAlignment w:val="center"/>
              <w:rPr>
                <w:rFonts w:ascii="宋体" w:hAnsi="宋体"/>
                <w:b/>
                <w:bCs/>
                <w:color w:val="auto"/>
                <w:kern w:val="0"/>
                <w:szCs w:val="21"/>
                <w:highlight w:val="none"/>
                <w:lang w:bidi="ar"/>
              </w:rPr>
            </w:pPr>
            <w:r>
              <w:rPr>
                <w:rFonts w:hint="eastAsia" w:ascii="宋体" w:hAnsi="宋体"/>
                <w:b/>
                <w:bCs/>
                <w:color w:val="auto"/>
                <w:kern w:val="0"/>
                <w:szCs w:val="21"/>
                <w:highlight w:val="none"/>
                <w:lang w:bidi="ar"/>
              </w:rPr>
              <w:t>设备名称</w:t>
            </w:r>
          </w:p>
        </w:tc>
        <w:tc>
          <w:tcPr>
            <w:tcW w:w="1669" w:type="dxa"/>
            <w:vAlign w:val="center"/>
          </w:tcPr>
          <w:p>
            <w:pPr>
              <w:widowControl/>
              <w:jc w:val="center"/>
              <w:textAlignment w:val="center"/>
              <w:rPr>
                <w:rFonts w:ascii="宋体" w:hAnsi="宋体"/>
                <w:b/>
                <w:bCs/>
                <w:color w:val="auto"/>
                <w:kern w:val="0"/>
                <w:szCs w:val="21"/>
                <w:highlight w:val="none"/>
                <w:lang w:bidi="ar"/>
              </w:rPr>
            </w:pPr>
            <w:r>
              <w:rPr>
                <w:rFonts w:hint="eastAsia" w:ascii="宋体" w:hAnsi="宋体"/>
                <w:b/>
                <w:bCs/>
                <w:color w:val="auto"/>
                <w:kern w:val="0"/>
                <w:szCs w:val="21"/>
                <w:highlight w:val="none"/>
                <w:lang w:bidi="ar"/>
              </w:rPr>
              <w:t>规格型号</w:t>
            </w:r>
          </w:p>
        </w:tc>
        <w:tc>
          <w:tcPr>
            <w:tcW w:w="534" w:type="dxa"/>
            <w:vAlign w:val="center"/>
          </w:tcPr>
          <w:p>
            <w:pPr>
              <w:widowControl/>
              <w:jc w:val="center"/>
              <w:textAlignment w:val="center"/>
              <w:rPr>
                <w:rFonts w:ascii="宋体" w:hAnsi="宋体"/>
                <w:b/>
                <w:bCs/>
                <w:color w:val="auto"/>
                <w:kern w:val="0"/>
                <w:szCs w:val="21"/>
                <w:highlight w:val="none"/>
                <w:lang w:bidi="ar"/>
              </w:rPr>
            </w:pPr>
            <w:r>
              <w:rPr>
                <w:rFonts w:hint="eastAsia" w:ascii="宋体" w:hAnsi="宋体"/>
                <w:b/>
                <w:bCs/>
                <w:color w:val="auto"/>
                <w:kern w:val="0"/>
                <w:szCs w:val="21"/>
                <w:highlight w:val="none"/>
                <w:lang w:bidi="ar"/>
              </w:rPr>
              <w:t>单位</w:t>
            </w:r>
          </w:p>
        </w:tc>
        <w:tc>
          <w:tcPr>
            <w:tcW w:w="603" w:type="dxa"/>
            <w:vAlign w:val="center"/>
          </w:tcPr>
          <w:p>
            <w:pPr>
              <w:widowControl/>
              <w:jc w:val="center"/>
              <w:textAlignment w:val="center"/>
              <w:rPr>
                <w:rFonts w:ascii="宋体" w:hAnsi="宋体"/>
                <w:b/>
                <w:bCs/>
                <w:color w:val="auto"/>
                <w:kern w:val="0"/>
                <w:szCs w:val="21"/>
                <w:highlight w:val="none"/>
                <w:lang w:bidi="ar"/>
              </w:rPr>
            </w:pPr>
            <w:r>
              <w:rPr>
                <w:rFonts w:hint="eastAsia" w:ascii="宋体" w:hAnsi="宋体"/>
                <w:b/>
                <w:bCs/>
                <w:color w:val="auto"/>
                <w:kern w:val="0"/>
                <w:szCs w:val="21"/>
                <w:highlight w:val="none"/>
                <w:lang w:bidi="ar"/>
              </w:rPr>
              <w:t>数量</w:t>
            </w:r>
          </w:p>
        </w:tc>
        <w:tc>
          <w:tcPr>
            <w:tcW w:w="1074" w:type="dxa"/>
            <w:vAlign w:val="center"/>
          </w:tcPr>
          <w:p>
            <w:pPr>
              <w:widowControl/>
              <w:jc w:val="center"/>
              <w:textAlignment w:val="center"/>
              <w:rPr>
                <w:rFonts w:ascii="宋体" w:hAnsi="宋体"/>
                <w:b/>
                <w:bCs/>
                <w:color w:val="auto"/>
                <w:kern w:val="0"/>
                <w:szCs w:val="21"/>
                <w:highlight w:val="none"/>
                <w:lang w:bidi="ar"/>
              </w:rPr>
            </w:pPr>
            <w:r>
              <w:rPr>
                <w:rFonts w:hint="eastAsia" w:ascii="宋体" w:hAnsi="宋体"/>
                <w:b/>
                <w:bCs/>
                <w:color w:val="auto"/>
                <w:kern w:val="0"/>
                <w:szCs w:val="21"/>
                <w:highlight w:val="none"/>
                <w:lang w:bidi="ar"/>
              </w:rPr>
              <w:t>单价（元）</w:t>
            </w:r>
          </w:p>
        </w:tc>
        <w:tc>
          <w:tcPr>
            <w:tcW w:w="1192" w:type="dxa"/>
            <w:vAlign w:val="center"/>
          </w:tcPr>
          <w:p>
            <w:pPr>
              <w:widowControl/>
              <w:jc w:val="center"/>
              <w:textAlignment w:val="center"/>
              <w:rPr>
                <w:rFonts w:ascii="宋体" w:hAnsi="宋体"/>
                <w:b/>
                <w:bCs/>
                <w:color w:val="auto"/>
                <w:kern w:val="0"/>
                <w:szCs w:val="21"/>
                <w:highlight w:val="none"/>
                <w:lang w:bidi="ar"/>
              </w:rPr>
            </w:pPr>
            <w:r>
              <w:rPr>
                <w:rFonts w:hint="eastAsia" w:ascii="宋体" w:hAnsi="宋体"/>
                <w:b/>
                <w:bCs/>
                <w:color w:val="auto"/>
                <w:kern w:val="0"/>
                <w:szCs w:val="21"/>
                <w:highlight w:val="none"/>
                <w:lang w:bidi="ar"/>
              </w:rPr>
              <w:t>价格小计（元）</w:t>
            </w:r>
          </w:p>
        </w:tc>
        <w:tc>
          <w:tcPr>
            <w:tcW w:w="769" w:type="dxa"/>
            <w:tcMar>
              <w:top w:w="15" w:type="dxa"/>
              <w:left w:w="15" w:type="dxa"/>
              <w:right w:w="15" w:type="dxa"/>
            </w:tcMar>
            <w:vAlign w:val="center"/>
          </w:tcPr>
          <w:p>
            <w:pPr>
              <w:widowControl/>
              <w:tabs>
                <w:tab w:val="left" w:pos="467"/>
              </w:tabs>
              <w:jc w:val="center"/>
              <w:textAlignment w:val="center"/>
              <w:rPr>
                <w:rFonts w:ascii="宋体" w:hAnsi="宋体"/>
                <w:b/>
                <w:bCs/>
                <w:color w:val="auto"/>
                <w:kern w:val="0"/>
                <w:szCs w:val="21"/>
                <w:highlight w:val="none"/>
                <w:lang w:bidi="ar"/>
              </w:rPr>
            </w:pPr>
            <w:r>
              <w:rPr>
                <w:rFonts w:hint="eastAsia" w:ascii="宋体" w:hAnsi="宋体"/>
                <w:b/>
                <w:bCs/>
                <w:color w:val="auto"/>
                <w:kern w:val="0"/>
                <w:szCs w:val="21"/>
                <w:highlight w:val="none"/>
                <w:lang w:bidi="ar"/>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 w:hRule="atLeast"/>
          <w:jc w:val="center"/>
        </w:trPr>
        <w:tc>
          <w:tcPr>
            <w:tcW w:w="385" w:type="dxa"/>
            <w:tcMar>
              <w:top w:w="15" w:type="dxa"/>
              <w:left w:w="15" w:type="dxa"/>
              <w:right w:w="15" w:type="dxa"/>
            </w:tcMar>
            <w:vAlign w:val="center"/>
          </w:tcPr>
          <w:p>
            <w:pPr>
              <w:widowControl/>
              <w:jc w:val="center"/>
              <w:textAlignment w:val="center"/>
              <w:rPr>
                <w:rFonts w:ascii="宋体" w:hAnsi="宋体"/>
                <w:color w:val="auto"/>
                <w:kern w:val="0"/>
                <w:szCs w:val="21"/>
                <w:highlight w:val="none"/>
                <w:lang w:bidi="ar"/>
              </w:rPr>
            </w:pPr>
            <w:r>
              <w:rPr>
                <w:rFonts w:hint="eastAsia" w:ascii="宋体" w:hAnsi="宋体"/>
                <w:color w:val="auto"/>
                <w:kern w:val="0"/>
                <w:szCs w:val="21"/>
                <w:highlight w:val="none"/>
                <w:lang w:bidi="ar"/>
              </w:rPr>
              <w:t>1</w:t>
            </w:r>
          </w:p>
        </w:tc>
        <w:tc>
          <w:tcPr>
            <w:tcW w:w="1385" w:type="dxa"/>
            <w:tcMar>
              <w:top w:w="15" w:type="dxa"/>
              <w:left w:w="15" w:type="dxa"/>
              <w:right w:w="15" w:type="dxa"/>
            </w:tcMar>
            <w:vAlign w:val="center"/>
          </w:tcPr>
          <w:p>
            <w:pPr>
              <w:widowControl/>
              <w:jc w:val="center"/>
              <w:textAlignment w:val="center"/>
              <w:rPr>
                <w:rFonts w:ascii="宋体" w:hAnsi="宋体"/>
                <w:color w:val="auto"/>
                <w:kern w:val="0"/>
                <w:szCs w:val="21"/>
                <w:highlight w:val="none"/>
                <w:lang w:bidi="ar"/>
              </w:rPr>
            </w:pPr>
            <w:r>
              <w:rPr>
                <w:rFonts w:hint="eastAsia" w:ascii="宋体" w:hAnsi="宋体" w:eastAsia="宋体"/>
                <w:color w:val="auto"/>
                <w:kern w:val="0"/>
                <w:sz w:val="21"/>
                <w:szCs w:val="21"/>
                <w:highlight w:val="none"/>
                <w:lang w:bidi="ar"/>
              </w:rPr>
              <w:t>塔式工作站</w:t>
            </w:r>
          </w:p>
        </w:tc>
        <w:tc>
          <w:tcPr>
            <w:tcW w:w="1669" w:type="dxa"/>
            <w:vAlign w:val="center"/>
          </w:tcPr>
          <w:p>
            <w:pPr>
              <w:widowControl/>
              <w:jc w:val="center"/>
              <w:textAlignment w:val="center"/>
              <w:rPr>
                <w:rFonts w:ascii="宋体" w:hAnsi="宋体"/>
                <w:color w:val="auto"/>
                <w:kern w:val="0"/>
                <w:szCs w:val="21"/>
                <w:highlight w:val="none"/>
                <w:lang w:bidi="ar"/>
              </w:rPr>
            </w:pPr>
          </w:p>
        </w:tc>
        <w:tc>
          <w:tcPr>
            <w:tcW w:w="534" w:type="dxa"/>
            <w:vAlign w:val="center"/>
          </w:tcPr>
          <w:p>
            <w:pPr>
              <w:widowControl/>
              <w:jc w:val="center"/>
              <w:textAlignment w:val="center"/>
              <w:rPr>
                <w:rFonts w:ascii="宋体" w:hAnsi="宋体"/>
                <w:color w:val="auto"/>
                <w:kern w:val="0"/>
                <w:szCs w:val="21"/>
                <w:highlight w:val="none"/>
                <w:lang w:bidi="ar"/>
              </w:rPr>
            </w:pPr>
            <w:r>
              <w:rPr>
                <w:rFonts w:hint="eastAsia" w:ascii="宋体" w:hAnsi="宋体"/>
                <w:color w:val="auto"/>
                <w:kern w:val="0"/>
                <w:szCs w:val="21"/>
                <w:highlight w:val="none"/>
                <w:lang w:bidi="ar"/>
              </w:rPr>
              <w:t>台</w:t>
            </w:r>
          </w:p>
        </w:tc>
        <w:tc>
          <w:tcPr>
            <w:tcW w:w="603" w:type="dxa"/>
            <w:vAlign w:val="center"/>
          </w:tcPr>
          <w:p>
            <w:pPr>
              <w:widowControl/>
              <w:jc w:val="center"/>
              <w:textAlignment w:val="center"/>
              <w:rPr>
                <w:rFonts w:ascii="宋体" w:hAnsi="宋体"/>
                <w:color w:val="auto"/>
                <w:kern w:val="0"/>
                <w:szCs w:val="21"/>
                <w:highlight w:val="none"/>
                <w:lang w:bidi="ar"/>
              </w:rPr>
            </w:pPr>
            <w:r>
              <w:rPr>
                <w:rFonts w:hint="eastAsia" w:ascii="宋体" w:hAnsi="宋体"/>
                <w:color w:val="auto"/>
                <w:kern w:val="0"/>
                <w:szCs w:val="21"/>
                <w:highlight w:val="none"/>
                <w:lang w:bidi="ar"/>
              </w:rPr>
              <w:t>6</w:t>
            </w:r>
          </w:p>
        </w:tc>
        <w:tc>
          <w:tcPr>
            <w:tcW w:w="1074" w:type="dxa"/>
            <w:vAlign w:val="center"/>
          </w:tcPr>
          <w:p>
            <w:pPr>
              <w:widowControl/>
              <w:jc w:val="center"/>
              <w:textAlignment w:val="center"/>
              <w:rPr>
                <w:rFonts w:ascii="宋体" w:hAnsi="宋体" w:cs="宋体"/>
                <w:color w:val="auto"/>
                <w:kern w:val="0"/>
                <w:szCs w:val="21"/>
                <w:highlight w:val="none"/>
                <w:lang w:bidi="ar"/>
              </w:rPr>
            </w:pPr>
          </w:p>
        </w:tc>
        <w:tc>
          <w:tcPr>
            <w:tcW w:w="1192" w:type="dxa"/>
            <w:vAlign w:val="center"/>
          </w:tcPr>
          <w:p>
            <w:pPr>
              <w:widowControl/>
              <w:jc w:val="center"/>
              <w:textAlignment w:val="center"/>
              <w:rPr>
                <w:rFonts w:ascii="宋体" w:hAnsi="宋体" w:cs="宋体"/>
                <w:color w:val="auto"/>
                <w:kern w:val="0"/>
                <w:szCs w:val="21"/>
                <w:highlight w:val="none"/>
                <w:lang w:bidi="ar"/>
              </w:rPr>
            </w:pPr>
          </w:p>
        </w:tc>
        <w:tc>
          <w:tcPr>
            <w:tcW w:w="769" w:type="dxa"/>
            <w:tcMar>
              <w:top w:w="15" w:type="dxa"/>
              <w:left w:w="15" w:type="dxa"/>
              <w:right w:w="15" w:type="dxa"/>
            </w:tcMar>
            <w:vAlign w:val="center"/>
          </w:tcPr>
          <w:p>
            <w:pPr>
              <w:widowControl/>
              <w:jc w:val="center"/>
              <w:textAlignment w:val="center"/>
              <w:rPr>
                <w:rFonts w:ascii="宋体" w:hAnsi="宋体"/>
                <w:b/>
                <w:color w:val="auto"/>
                <w:kern w:val="0"/>
                <w:szCs w:val="21"/>
                <w:highlight w:val="none"/>
                <w:lang w:bidi="ar"/>
              </w:rPr>
            </w:pPr>
            <w:r>
              <w:rPr>
                <w:rFonts w:hint="eastAsia" w:ascii="Arial Narrow" w:hAnsi="Arial Narrow"/>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1" w:hRule="atLeast"/>
          <w:jc w:val="center"/>
        </w:trPr>
        <w:tc>
          <w:tcPr>
            <w:tcW w:w="385" w:type="dxa"/>
            <w:tcMar>
              <w:top w:w="15" w:type="dxa"/>
              <w:left w:w="15" w:type="dxa"/>
              <w:right w:w="15" w:type="dxa"/>
            </w:tcMar>
            <w:vAlign w:val="center"/>
          </w:tcPr>
          <w:p>
            <w:pPr>
              <w:widowControl/>
              <w:jc w:val="center"/>
              <w:textAlignment w:val="center"/>
              <w:rPr>
                <w:rFonts w:ascii="宋体" w:hAnsi="宋体"/>
                <w:b/>
                <w:color w:val="auto"/>
                <w:kern w:val="0"/>
                <w:szCs w:val="21"/>
                <w:highlight w:val="none"/>
                <w:lang w:bidi="ar"/>
              </w:rPr>
            </w:pPr>
          </w:p>
        </w:tc>
        <w:tc>
          <w:tcPr>
            <w:tcW w:w="1385" w:type="dxa"/>
            <w:tcMar>
              <w:top w:w="15" w:type="dxa"/>
              <w:left w:w="15" w:type="dxa"/>
              <w:right w:w="15" w:type="dxa"/>
            </w:tcMar>
            <w:vAlign w:val="center"/>
          </w:tcPr>
          <w:p>
            <w:pPr>
              <w:widowControl/>
              <w:jc w:val="center"/>
              <w:textAlignment w:val="center"/>
              <w:rPr>
                <w:rFonts w:ascii="宋体" w:hAnsi="宋体"/>
                <w:color w:val="auto"/>
                <w:kern w:val="0"/>
                <w:szCs w:val="21"/>
                <w:highlight w:val="none"/>
                <w:lang w:bidi="ar"/>
              </w:rPr>
            </w:pPr>
            <w:r>
              <w:rPr>
                <w:rFonts w:hint="eastAsia" w:ascii="宋体" w:hAnsi="宋体"/>
                <w:b/>
                <w:color w:val="auto"/>
                <w:kern w:val="0"/>
                <w:szCs w:val="21"/>
                <w:highlight w:val="none"/>
                <w:lang w:bidi="ar"/>
              </w:rPr>
              <w:t>合计（元）</w:t>
            </w:r>
          </w:p>
        </w:tc>
        <w:tc>
          <w:tcPr>
            <w:tcW w:w="1669" w:type="dxa"/>
          </w:tcPr>
          <w:p>
            <w:pPr>
              <w:widowControl/>
              <w:jc w:val="center"/>
              <w:textAlignment w:val="center"/>
              <w:rPr>
                <w:rFonts w:ascii="宋体" w:hAnsi="宋体"/>
                <w:b/>
                <w:color w:val="auto"/>
                <w:kern w:val="0"/>
                <w:szCs w:val="21"/>
                <w:highlight w:val="none"/>
                <w:lang w:bidi="ar"/>
              </w:rPr>
            </w:pPr>
          </w:p>
        </w:tc>
        <w:tc>
          <w:tcPr>
            <w:tcW w:w="534" w:type="dxa"/>
          </w:tcPr>
          <w:p>
            <w:pPr>
              <w:widowControl/>
              <w:jc w:val="center"/>
              <w:textAlignment w:val="center"/>
              <w:rPr>
                <w:rFonts w:ascii="宋体" w:hAnsi="宋体"/>
                <w:b/>
                <w:color w:val="auto"/>
                <w:kern w:val="0"/>
                <w:szCs w:val="21"/>
                <w:highlight w:val="none"/>
                <w:lang w:bidi="ar"/>
              </w:rPr>
            </w:pPr>
          </w:p>
        </w:tc>
        <w:tc>
          <w:tcPr>
            <w:tcW w:w="603" w:type="dxa"/>
          </w:tcPr>
          <w:p>
            <w:pPr>
              <w:widowControl/>
              <w:jc w:val="center"/>
              <w:textAlignment w:val="center"/>
              <w:rPr>
                <w:rFonts w:ascii="宋体" w:hAnsi="宋体"/>
                <w:b/>
                <w:color w:val="auto"/>
                <w:kern w:val="0"/>
                <w:szCs w:val="21"/>
                <w:highlight w:val="none"/>
                <w:lang w:bidi="ar"/>
              </w:rPr>
            </w:pPr>
          </w:p>
        </w:tc>
        <w:tc>
          <w:tcPr>
            <w:tcW w:w="1074" w:type="dxa"/>
          </w:tcPr>
          <w:p>
            <w:pPr>
              <w:widowControl/>
              <w:jc w:val="center"/>
              <w:textAlignment w:val="center"/>
              <w:rPr>
                <w:rFonts w:ascii="宋体" w:hAnsi="宋体"/>
                <w:b/>
                <w:color w:val="auto"/>
                <w:kern w:val="0"/>
                <w:szCs w:val="21"/>
                <w:highlight w:val="none"/>
                <w:lang w:bidi="ar"/>
              </w:rPr>
            </w:pPr>
          </w:p>
        </w:tc>
        <w:tc>
          <w:tcPr>
            <w:tcW w:w="1192" w:type="dxa"/>
          </w:tcPr>
          <w:p>
            <w:pPr>
              <w:widowControl/>
              <w:jc w:val="center"/>
              <w:textAlignment w:val="center"/>
              <w:rPr>
                <w:rFonts w:ascii="宋体" w:hAnsi="宋体"/>
                <w:b/>
                <w:color w:val="auto"/>
                <w:kern w:val="0"/>
                <w:szCs w:val="21"/>
                <w:highlight w:val="none"/>
                <w:lang w:bidi="ar"/>
              </w:rPr>
            </w:pPr>
          </w:p>
        </w:tc>
        <w:tc>
          <w:tcPr>
            <w:tcW w:w="769" w:type="dxa"/>
            <w:tcMar>
              <w:top w:w="15" w:type="dxa"/>
              <w:left w:w="15" w:type="dxa"/>
              <w:right w:w="15" w:type="dxa"/>
            </w:tcMar>
            <w:vAlign w:val="center"/>
          </w:tcPr>
          <w:p>
            <w:pPr>
              <w:widowControl/>
              <w:jc w:val="center"/>
              <w:textAlignment w:val="center"/>
              <w:rPr>
                <w:rFonts w:ascii="宋体" w:hAnsi="宋体"/>
                <w:b/>
                <w:color w:val="auto"/>
                <w:kern w:val="0"/>
                <w:szCs w:val="21"/>
                <w:highlight w:val="none"/>
                <w:lang w:bidi="ar"/>
              </w:rPr>
            </w:pPr>
          </w:p>
        </w:tc>
      </w:tr>
    </w:tbl>
    <w:p>
      <w:pPr>
        <w:rPr>
          <w:color w:val="auto"/>
          <w:highlight w:val="none"/>
        </w:rPr>
        <w:sectPr>
          <w:pgSz w:w="11906" w:h="16838"/>
          <w:pgMar w:top="1440" w:right="1803" w:bottom="1440" w:left="1803" w:header="851" w:footer="992" w:gutter="0"/>
          <w:cols w:space="720" w:num="1"/>
          <w:docGrid w:type="lines" w:linePitch="319" w:charSpace="0"/>
        </w:sectPr>
      </w:pPr>
    </w:p>
    <w:p>
      <w:pPr>
        <w:keepNext/>
        <w:keepLines/>
        <w:tabs>
          <w:tab w:val="left" w:pos="0"/>
        </w:tabs>
        <w:spacing w:before="156" w:beforeLines="50" w:line="360" w:lineRule="auto"/>
        <w:outlineLvl w:val="2"/>
        <w:rPr>
          <w:rFonts w:ascii="宋体" w:hAnsi="宋体" w:cs="宋体"/>
          <w:b/>
          <w:bCs/>
          <w:color w:val="auto"/>
          <w:szCs w:val="21"/>
          <w:highlight w:val="none"/>
          <w:lang w:bidi="ar"/>
        </w:rPr>
      </w:pPr>
      <w:r>
        <w:rPr>
          <w:rFonts w:hint="eastAsia" w:ascii="宋体" w:hAnsi="宋体" w:cs="宋体"/>
          <w:b/>
          <w:bCs/>
          <w:color w:val="auto"/>
          <w:szCs w:val="21"/>
          <w:highlight w:val="none"/>
          <w:lang w:bidi="ar"/>
        </w:rPr>
        <w:t>附件二：工作说明书</w:t>
      </w:r>
    </w:p>
    <w:p>
      <w:pPr>
        <w:snapToGrid w:val="0"/>
        <w:spacing w:line="360" w:lineRule="auto"/>
        <w:rPr>
          <w:rFonts w:ascii="宋体" w:hAnsi="宋体" w:cs="宋体"/>
          <w:b/>
          <w:bCs/>
          <w:color w:val="auto"/>
          <w:sz w:val="28"/>
          <w:szCs w:val="28"/>
          <w:highlight w:val="none"/>
        </w:rPr>
      </w:pPr>
      <w:r>
        <w:rPr>
          <w:rFonts w:hint="eastAsia" w:ascii="宋体" w:hAnsi="宋体" w:cs="宋体"/>
          <w:b/>
          <w:bCs/>
          <w:color w:val="auto"/>
          <w:sz w:val="28"/>
          <w:szCs w:val="28"/>
          <w:highlight w:val="none"/>
        </w:rPr>
        <w:t xml:space="preserve"> </w:t>
      </w:r>
      <w:r>
        <w:rPr>
          <w:rFonts w:ascii="宋体" w:hAnsi="宋体" w:cs="宋体"/>
          <w:b/>
          <w:bCs/>
          <w:color w:val="auto"/>
          <w:sz w:val="28"/>
          <w:szCs w:val="28"/>
          <w:highlight w:val="none"/>
        </w:rPr>
        <w:t xml:space="preserve"> </w:t>
      </w:r>
      <w:r>
        <w:rPr>
          <w:rFonts w:ascii="宋体" w:hAnsi="宋体" w:cs="宋体"/>
          <w:b/>
          <w:bCs/>
          <w:color w:val="auto"/>
          <w:szCs w:val="21"/>
          <w:highlight w:val="none"/>
          <w:lang w:bidi="ar"/>
        </w:rPr>
        <w:t xml:space="preserve">  </w:t>
      </w:r>
      <w:r>
        <w:rPr>
          <w:rFonts w:hint="eastAsia" w:ascii="楷体" w:hAnsi="楷体" w:eastAsia="楷体"/>
          <w:b/>
          <w:color w:val="auto"/>
          <w:sz w:val="24"/>
          <w:highlight w:val="none"/>
        </w:rPr>
        <w:t>【根据实际情况编写，不限于合同供货范围和产品规格参数、工期及质量要求，</w:t>
      </w:r>
      <w:r>
        <w:rPr>
          <w:rFonts w:hint="eastAsia" w:ascii="楷体" w:hAnsi="楷体" w:eastAsia="楷体"/>
          <w:b/>
          <w:color w:val="auto"/>
          <w:sz w:val="24"/>
          <w:highlight w:val="none"/>
          <w:em w:val="dot"/>
        </w:rPr>
        <w:t>应含供货产品的质量标准，明确适用标准代号全称。</w:t>
      </w:r>
      <w:r>
        <w:rPr>
          <w:rFonts w:hint="eastAsia" w:ascii="楷体" w:hAnsi="楷体" w:eastAsia="楷体"/>
          <w:b/>
          <w:color w:val="auto"/>
          <w:sz w:val="24"/>
          <w:highlight w:val="none"/>
        </w:rPr>
        <w:t>乙方需要提供的产品配套服务内容，质保期的服务响应标准等】</w:t>
      </w:r>
    </w:p>
    <w:p>
      <w:pPr>
        <w:snapToGrid w:val="0"/>
        <w:spacing w:line="360" w:lineRule="auto"/>
        <w:rPr>
          <w:rFonts w:ascii="宋体" w:hAnsi="宋体" w:cs="宋体"/>
          <w:color w:val="auto"/>
          <w:szCs w:val="21"/>
          <w:highlight w:val="none"/>
        </w:rPr>
      </w:pPr>
    </w:p>
    <w:p>
      <w:pPr>
        <w:widowControl/>
        <w:jc w:val="left"/>
        <w:rPr>
          <w:rFonts w:ascii="宋体" w:hAnsi="宋体" w:cs="宋体"/>
          <w:b/>
          <w:color w:val="auto"/>
          <w:szCs w:val="21"/>
          <w:highlight w:val="none"/>
        </w:rPr>
      </w:pPr>
      <w:r>
        <w:rPr>
          <w:rFonts w:ascii="宋体" w:hAnsi="宋体" w:cs="宋体"/>
          <w:b/>
          <w:color w:val="auto"/>
          <w:szCs w:val="21"/>
          <w:highlight w:val="none"/>
        </w:rPr>
        <w:br w:type="page"/>
      </w:r>
      <w:r>
        <w:rPr>
          <w:rFonts w:hint="eastAsia" w:ascii="宋体" w:hAnsi="宋体" w:cs="宋体"/>
          <w:b/>
          <w:color w:val="auto"/>
          <w:szCs w:val="21"/>
          <w:highlight w:val="none"/>
        </w:rPr>
        <w:t>附件三：保密协议</w:t>
      </w:r>
    </w:p>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保密协议</w:t>
      </w:r>
    </w:p>
    <w:p>
      <w:pPr>
        <w:spacing w:line="360" w:lineRule="auto"/>
        <w:jc w:val="center"/>
        <w:rPr>
          <w:rFonts w:ascii="宋体" w:hAnsi="宋体" w:cs="宋体"/>
          <w:color w:val="auto"/>
          <w:szCs w:val="21"/>
          <w:highlight w:val="none"/>
        </w:rPr>
      </w:pPr>
    </w:p>
    <w:p>
      <w:pPr>
        <w:spacing w:line="360" w:lineRule="auto"/>
        <w:ind w:right="-218" w:rightChars="-104" w:firstLine="480"/>
        <w:jc w:val="left"/>
        <w:rPr>
          <w:rFonts w:ascii="宋体" w:hAnsi="宋体" w:cs="宋体"/>
          <w:color w:val="auto"/>
          <w:szCs w:val="21"/>
          <w:highlight w:val="none"/>
        </w:rPr>
      </w:pPr>
      <w:r>
        <w:rPr>
          <w:rFonts w:hint="eastAsia" w:ascii="宋体" w:hAnsi="宋体" w:cs="宋体"/>
          <w:color w:val="auto"/>
          <w:szCs w:val="21"/>
          <w:highlight w:val="none"/>
        </w:rPr>
        <w:t>本协议对</w:t>
      </w:r>
      <w:r>
        <w:rPr>
          <w:rFonts w:ascii="宋体" w:hAnsi="宋体" w:cs="宋体"/>
          <w:color w:val="auto"/>
          <w:szCs w:val="21"/>
          <w:highlight w:val="none"/>
          <w:u w:val="single"/>
        </w:rPr>
        <w:t>2022年工信部数据字典项目TC220807A电力设备数据字典测试床的算法训练和测试设备</w:t>
      </w:r>
      <w:r>
        <w:rPr>
          <w:rFonts w:hint="eastAsia" w:ascii="宋体" w:hAnsi="宋体" w:cs="宋体"/>
          <w:color w:val="auto"/>
          <w:szCs w:val="21"/>
          <w:highlight w:val="none"/>
          <w:u w:val="single"/>
        </w:rPr>
        <w:t>采购</w:t>
      </w:r>
      <w:r>
        <w:rPr>
          <w:rFonts w:hint="eastAsia" w:ascii="宋体" w:hAnsi="宋体" w:cs="宋体"/>
          <w:color w:val="auto"/>
          <w:szCs w:val="21"/>
          <w:highlight w:val="none"/>
        </w:rPr>
        <w:t>（以下简称“项目”）工作中所涉及的信息和数据保密事宜，规定如下：</w:t>
      </w:r>
    </w:p>
    <w:p>
      <w:pPr>
        <w:numPr>
          <w:ilvl w:val="0"/>
          <w:numId w:val="4"/>
        </w:numPr>
        <w:spacing w:line="360" w:lineRule="auto"/>
        <w:ind w:right="-218" w:rightChars="-104" w:firstLine="480"/>
        <w:jc w:val="left"/>
        <w:rPr>
          <w:rFonts w:ascii="宋体" w:hAnsi="宋体" w:cs="宋体"/>
          <w:color w:val="auto"/>
          <w:szCs w:val="21"/>
          <w:highlight w:val="none"/>
        </w:rPr>
      </w:pPr>
      <w:r>
        <w:rPr>
          <w:rFonts w:hint="eastAsia" w:ascii="宋体" w:hAnsi="宋体" w:cs="宋体"/>
          <w:color w:val="auto"/>
          <w:szCs w:val="21"/>
          <w:highlight w:val="none"/>
        </w:rPr>
        <w:t>本协议中，披露信息的一方为“甲方”，获悉信息的一方为“乙方”。</w:t>
      </w:r>
    </w:p>
    <w:p>
      <w:pPr>
        <w:numPr>
          <w:ilvl w:val="0"/>
          <w:numId w:val="4"/>
        </w:numPr>
        <w:spacing w:line="360" w:lineRule="auto"/>
        <w:ind w:right="-218" w:rightChars="-104" w:firstLine="480"/>
        <w:jc w:val="left"/>
        <w:rPr>
          <w:rFonts w:ascii="宋体" w:hAnsi="宋体" w:cs="宋体"/>
          <w:color w:val="auto"/>
          <w:szCs w:val="21"/>
          <w:highlight w:val="none"/>
        </w:rPr>
      </w:pPr>
      <w:r>
        <w:rPr>
          <w:rFonts w:hint="eastAsia" w:ascii="宋体" w:hAnsi="宋体" w:cs="宋体"/>
          <w:color w:val="auto"/>
          <w:szCs w:val="21"/>
          <w:highlight w:val="none"/>
        </w:rPr>
        <w:t>在本项目中，甲方向乙方提供的所有已标识为“保密”的和乙方在合同执行期间知悉的甲方商业秘密，均属于乙方应严格保密的范围。对于这些资料、信息和数据，乙方应给予严格保密，未经甲方书面同意，不得向任何第三方透露。</w:t>
      </w:r>
    </w:p>
    <w:p>
      <w:pPr>
        <w:numPr>
          <w:ilvl w:val="0"/>
          <w:numId w:val="4"/>
        </w:numPr>
        <w:spacing w:line="360" w:lineRule="auto"/>
        <w:ind w:right="-218" w:rightChars="-104" w:firstLine="480"/>
        <w:jc w:val="left"/>
        <w:rPr>
          <w:rFonts w:ascii="宋体" w:hAnsi="宋体" w:cs="宋体"/>
          <w:color w:val="auto"/>
          <w:szCs w:val="21"/>
          <w:highlight w:val="none"/>
        </w:rPr>
      </w:pPr>
      <w:r>
        <w:rPr>
          <w:rFonts w:hint="eastAsia" w:ascii="宋体" w:hAnsi="宋体" w:cs="宋体"/>
          <w:color w:val="auto"/>
          <w:szCs w:val="21"/>
          <w:highlight w:val="none"/>
        </w:rPr>
        <w:t>除在项目中使用外，乙方不得以任何形式、方式使用甲方的保密信息。对保密信息的接触限于本次项目工作中涉及人员。</w:t>
      </w:r>
    </w:p>
    <w:p>
      <w:pPr>
        <w:numPr>
          <w:ilvl w:val="0"/>
          <w:numId w:val="4"/>
        </w:numPr>
        <w:spacing w:line="360" w:lineRule="auto"/>
        <w:ind w:right="-218" w:rightChars="-104" w:firstLine="480"/>
        <w:jc w:val="left"/>
        <w:rPr>
          <w:rFonts w:ascii="宋体" w:hAnsi="宋体" w:cs="宋体"/>
          <w:color w:val="auto"/>
          <w:szCs w:val="21"/>
          <w:highlight w:val="none"/>
        </w:rPr>
      </w:pPr>
      <w:r>
        <w:rPr>
          <w:rFonts w:hint="eastAsia" w:ascii="宋体" w:hAnsi="宋体" w:cs="宋体"/>
          <w:color w:val="auto"/>
          <w:szCs w:val="21"/>
          <w:highlight w:val="none"/>
        </w:rPr>
        <w:t>没有甲方事先书面同意，乙方不得复印或再制作甲方的保密信息。</w:t>
      </w:r>
    </w:p>
    <w:p>
      <w:pPr>
        <w:numPr>
          <w:ilvl w:val="0"/>
          <w:numId w:val="4"/>
        </w:numPr>
        <w:spacing w:line="360" w:lineRule="auto"/>
        <w:ind w:right="-218" w:rightChars="-104" w:firstLine="480"/>
        <w:jc w:val="left"/>
        <w:rPr>
          <w:rFonts w:ascii="宋体" w:hAnsi="宋体" w:cs="宋体"/>
          <w:color w:val="auto"/>
          <w:szCs w:val="21"/>
          <w:highlight w:val="none"/>
        </w:rPr>
      </w:pPr>
      <w:r>
        <w:rPr>
          <w:rFonts w:hint="eastAsia" w:ascii="宋体" w:hAnsi="宋体" w:cs="宋体"/>
          <w:color w:val="auto"/>
          <w:szCs w:val="21"/>
          <w:highlight w:val="none"/>
        </w:rPr>
        <w:t>任何本协议下的保密信息，包括该等保密信息的副本应在下述情况发生后3个工作日内返还给甲方：(a)项目工作已经完成；(b)甲方要求后；或(c)双方就项目的协商或商议停止。</w:t>
      </w:r>
    </w:p>
    <w:p>
      <w:pPr>
        <w:numPr>
          <w:ilvl w:val="0"/>
          <w:numId w:val="4"/>
        </w:numPr>
        <w:spacing w:line="360" w:lineRule="auto"/>
        <w:ind w:right="-218" w:rightChars="-104" w:firstLine="480"/>
        <w:jc w:val="left"/>
        <w:rPr>
          <w:rFonts w:ascii="宋体" w:hAnsi="宋体" w:cs="宋体"/>
          <w:color w:val="auto"/>
          <w:szCs w:val="21"/>
          <w:highlight w:val="none"/>
        </w:rPr>
      </w:pPr>
      <w:r>
        <w:rPr>
          <w:rFonts w:hint="eastAsia" w:ascii="宋体" w:hAnsi="宋体" w:cs="宋体"/>
          <w:color w:val="auto"/>
          <w:szCs w:val="21"/>
          <w:highlight w:val="none"/>
        </w:rPr>
        <w:t>本协议的内容并不禁止或限制任何一方使用下列信息（包括但不限于，构思、概念、技术诀窍、技术和方法）：(a)在没有保密义务的情况下已为该方知悉的信息；(b)独立地由该方或为该方开发的信息；(c)该方从第三方取得的信息，并且就该方所知，该第三方不负有对该项信息保密的义务；或(d)在不违反本协议的情形下，该信息已为公众所知晓。</w:t>
      </w:r>
    </w:p>
    <w:p>
      <w:pPr>
        <w:numPr>
          <w:ilvl w:val="0"/>
          <w:numId w:val="4"/>
        </w:numPr>
        <w:spacing w:line="360" w:lineRule="auto"/>
        <w:ind w:right="-218" w:rightChars="-104" w:firstLine="480"/>
        <w:jc w:val="left"/>
        <w:rPr>
          <w:rFonts w:ascii="宋体" w:hAnsi="宋体" w:cs="宋体"/>
          <w:color w:val="auto"/>
          <w:szCs w:val="21"/>
          <w:highlight w:val="none"/>
        </w:rPr>
      </w:pPr>
      <w:r>
        <w:rPr>
          <w:rFonts w:hint="eastAsia" w:ascii="宋体" w:hAnsi="宋体" w:cs="宋体"/>
          <w:color w:val="auto"/>
          <w:szCs w:val="21"/>
          <w:highlight w:val="none"/>
        </w:rPr>
        <w:t>乙方承诺，本次项目服务结束后，乙方将返还或销毁（适用确实无法返还之情形）乙方提供的有关的保密信息，乙方同意乙方可以为满足记录保留或质量监督的要求保留保密信息的复制件。</w:t>
      </w:r>
    </w:p>
    <w:p>
      <w:pPr>
        <w:numPr>
          <w:ilvl w:val="0"/>
          <w:numId w:val="4"/>
        </w:numPr>
        <w:spacing w:line="360" w:lineRule="auto"/>
        <w:ind w:right="-218" w:rightChars="-104" w:firstLine="480"/>
        <w:jc w:val="left"/>
        <w:rPr>
          <w:rFonts w:ascii="宋体" w:hAnsi="宋体" w:cs="宋体"/>
          <w:color w:val="auto"/>
          <w:szCs w:val="21"/>
          <w:highlight w:val="none"/>
        </w:rPr>
      </w:pPr>
      <w:r>
        <w:rPr>
          <w:rFonts w:hint="eastAsia" w:ascii="宋体" w:hAnsi="宋体" w:cs="宋体"/>
          <w:color w:val="auto"/>
          <w:szCs w:val="21"/>
          <w:highlight w:val="none"/>
        </w:rPr>
        <w:t>未经一方同意，另一方不得在广告或任何公开材料或活动中使用一方的名称以损害对方合法权益。</w:t>
      </w:r>
    </w:p>
    <w:p>
      <w:pPr>
        <w:numPr>
          <w:ilvl w:val="0"/>
          <w:numId w:val="4"/>
        </w:numPr>
        <w:spacing w:line="360" w:lineRule="auto"/>
        <w:ind w:right="-218" w:rightChars="-104" w:firstLine="480"/>
        <w:jc w:val="left"/>
        <w:rPr>
          <w:rFonts w:ascii="宋体" w:hAnsi="宋体" w:cs="宋体"/>
          <w:color w:val="auto"/>
          <w:szCs w:val="21"/>
          <w:highlight w:val="none"/>
        </w:rPr>
      </w:pPr>
      <w:r>
        <w:rPr>
          <w:rFonts w:hint="eastAsia" w:ascii="宋体" w:hAnsi="宋体" w:cs="宋体"/>
          <w:color w:val="auto"/>
          <w:szCs w:val="21"/>
          <w:highlight w:val="none"/>
        </w:rPr>
        <w:t>乙方及乙方工作人员（包括项目组人员）若违反本保密协议，乙方应按合同约定赔偿甲方因此受到的全部损失，若触犯法律，则应依据有关法律承担相应责任。</w:t>
      </w:r>
    </w:p>
    <w:p>
      <w:pPr>
        <w:numPr>
          <w:ilvl w:val="0"/>
          <w:numId w:val="4"/>
        </w:numPr>
        <w:spacing w:line="360" w:lineRule="auto"/>
        <w:ind w:right="-218" w:rightChars="-104" w:firstLine="480"/>
        <w:jc w:val="left"/>
        <w:rPr>
          <w:rFonts w:ascii="宋体" w:hAnsi="宋体" w:cs="宋体"/>
          <w:color w:val="auto"/>
          <w:szCs w:val="21"/>
          <w:highlight w:val="none"/>
        </w:rPr>
      </w:pPr>
      <w:r>
        <w:rPr>
          <w:rFonts w:hint="eastAsia" w:ascii="宋体" w:hAnsi="宋体" w:cs="宋体"/>
          <w:color w:val="auto"/>
          <w:szCs w:val="21"/>
          <w:highlight w:val="none"/>
        </w:rPr>
        <w:t>甲方承认，乙方拥有许多与本项目的产品、服务、技术或构思相同的工作机会，而本协议不限制乙方自由的寻求这些机会和根据这些机会建立任何形式的商业关系的权利。</w:t>
      </w:r>
    </w:p>
    <w:p>
      <w:pPr>
        <w:numPr>
          <w:ilvl w:val="0"/>
          <w:numId w:val="4"/>
        </w:numPr>
        <w:spacing w:line="360" w:lineRule="auto"/>
        <w:ind w:right="-218" w:rightChars="-104" w:firstLine="480"/>
        <w:jc w:val="left"/>
        <w:rPr>
          <w:rFonts w:ascii="宋体" w:hAnsi="宋体" w:cs="宋体"/>
          <w:color w:val="auto"/>
          <w:szCs w:val="21"/>
          <w:highlight w:val="none"/>
        </w:rPr>
      </w:pPr>
      <w:r>
        <w:rPr>
          <w:rFonts w:hint="eastAsia" w:ascii="宋体" w:hAnsi="宋体" w:cs="宋体"/>
          <w:color w:val="auto"/>
          <w:szCs w:val="21"/>
          <w:highlight w:val="none"/>
        </w:rPr>
        <w:t>执行本合同时若发生争议，双方协商解决。自首次开始协商之日起30日内未能协商解决争议的，任何一方均可向甲方住所地有管辖权的人民法院提起诉讼。本协议履行地为甲方所在地。</w:t>
      </w:r>
    </w:p>
    <w:p>
      <w:pPr>
        <w:numPr>
          <w:ilvl w:val="0"/>
          <w:numId w:val="4"/>
        </w:numPr>
        <w:spacing w:line="360" w:lineRule="auto"/>
        <w:ind w:right="-218" w:rightChars="-104" w:firstLine="480"/>
        <w:jc w:val="left"/>
        <w:rPr>
          <w:rFonts w:ascii="宋体" w:hAnsi="宋体" w:cs="宋体"/>
          <w:color w:val="auto"/>
          <w:szCs w:val="21"/>
          <w:highlight w:val="none"/>
        </w:rPr>
      </w:pPr>
      <w:r>
        <w:rPr>
          <w:rFonts w:hint="eastAsia" w:ascii="宋体" w:hAnsi="宋体" w:cs="宋体"/>
          <w:color w:val="auto"/>
          <w:szCs w:val="21"/>
          <w:highlight w:val="none"/>
        </w:rPr>
        <w:t>本合同下的保密义务期限为自本协议签订生效之日起至保密信息被依法公开披露或成为公开信息之日止。乙方应承担的保密义务不因合同的无效、解除、履行完毕而解除。</w:t>
      </w:r>
    </w:p>
    <w:p>
      <w:pPr>
        <w:spacing w:line="360" w:lineRule="auto"/>
        <w:ind w:right="-218" w:rightChars="-104" w:firstLine="480"/>
        <w:jc w:val="left"/>
        <w:rPr>
          <w:rFonts w:ascii="宋体" w:hAnsi="宋体" w:cs="宋体"/>
          <w:color w:val="auto"/>
          <w:szCs w:val="21"/>
          <w:highlight w:val="none"/>
        </w:rPr>
      </w:pPr>
      <w:r>
        <w:rPr>
          <w:rFonts w:hint="eastAsia" w:ascii="宋体" w:hAnsi="宋体" w:cs="宋体"/>
          <w:color w:val="auto"/>
          <w:szCs w:val="21"/>
          <w:highlight w:val="none"/>
        </w:rPr>
        <w:t>本协议未尽事宜，由双方协商另作补充规定，补充规定与本协议具有同等法律效力。</w:t>
      </w:r>
    </w:p>
    <w:p>
      <w:pPr>
        <w:ind w:right="-218" w:rightChars="-104" w:firstLine="480"/>
        <w:rPr>
          <w:rFonts w:ascii="宋体" w:hAnsi="宋体" w:cs="宋体"/>
          <w:color w:val="auto"/>
          <w:szCs w:val="21"/>
          <w:highlight w:val="none"/>
        </w:rPr>
      </w:pPr>
      <w:r>
        <w:rPr>
          <w:rFonts w:hint="eastAsia" w:ascii="宋体" w:hAnsi="宋体" w:cs="宋体"/>
          <w:color w:val="auto"/>
          <w:szCs w:val="21"/>
          <w:highlight w:val="none"/>
        </w:rPr>
        <w:t>（以下无正文，仅为《保密协议》的签章页）</w:t>
      </w:r>
    </w:p>
    <w:p>
      <w:pPr>
        <w:spacing w:line="500" w:lineRule="exact"/>
        <w:ind w:firstLine="420" w:firstLineChars="200"/>
        <w:rPr>
          <w:rFonts w:ascii="宋体" w:hAnsi="宋体" w:cs="宋体"/>
          <w:color w:val="auto"/>
          <w:szCs w:val="21"/>
          <w:highlight w:val="none"/>
        </w:rPr>
      </w:pPr>
    </w:p>
    <w:p>
      <w:pPr>
        <w:spacing w:line="500" w:lineRule="exact"/>
        <w:ind w:firstLine="420" w:firstLineChars="200"/>
        <w:rPr>
          <w:rFonts w:ascii="宋体" w:hAnsi="宋体" w:cs="宋体"/>
          <w:color w:val="auto"/>
          <w:szCs w:val="21"/>
          <w:highlight w:val="none"/>
        </w:rPr>
      </w:pP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甲方：</w:t>
      </w:r>
      <w:r>
        <w:rPr>
          <w:rFonts w:hint="eastAsia" w:ascii="宋体" w:hAnsi="宋体"/>
          <w:bCs/>
          <w:color w:val="auto"/>
          <w:szCs w:val="21"/>
          <w:highlight w:val="none"/>
        </w:rPr>
        <w:t>国家电投集团数字科技有限公司</w:t>
      </w:r>
      <w:r>
        <w:rPr>
          <w:rFonts w:hint="eastAsia" w:ascii="宋体" w:hAnsi="宋体" w:cs="宋体"/>
          <w:color w:val="auto"/>
          <w:szCs w:val="21"/>
          <w:highlight w:val="none"/>
        </w:rPr>
        <w:t xml:space="preserve"> </w:t>
      </w:r>
    </w:p>
    <w:p>
      <w:pPr>
        <w:spacing w:line="500" w:lineRule="exact"/>
        <w:ind w:firstLine="420" w:firstLineChars="200"/>
        <w:rPr>
          <w:rFonts w:ascii="宋体" w:hAnsi="宋体" w:cs="宋体"/>
          <w:color w:val="auto"/>
          <w:szCs w:val="21"/>
          <w:highlight w:val="none"/>
        </w:rPr>
      </w:pP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法定代表人或授权代表（签字）：        （打印体） </w:t>
      </w:r>
    </w:p>
    <w:p>
      <w:pPr>
        <w:spacing w:line="500" w:lineRule="exact"/>
        <w:ind w:firstLine="4305" w:firstLineChars="2050"/>
        <w:rPr>
          <w:rFonts w:ascii="宋体" w:hAnsi="宋体" w:cs="宋体"/>
          <w:color w:val="auto"/>
          <w:szCs w:val="21"/>
          <w:highlight w:val="none"/>
        </w:rPr>
      </w:pPr>
      <w:r>
        <w:rPr>
          <w:rFonts w:hint="eastAsia" w:ascii="宋体" w:hAnsi="宋体" w:cs="宋体"/>
          <w:color w:val="auto"/>
          <w:szCs w:val="21"/>
          <w:highlight w:val="none"/>
        </w:rPr>
        <w:t>（手写体）</w:t>
      </w:r>
    </w:p>
    <w:p>
      <w:pPr>
        <w:spacing w:line="500" w:lineRule="exact"/>
        <w:ind w:firstLine="371" w:firstLineChars="177"/>
        <w:rPr>
          <w:rFonts w:ascii="宋体" w:hAnsi="宋体" w:cs="宋体"/>
          <w:color w:val="auto"/>
          <w:szCs w:val="21"/>
          <w:highlight w:val="none"/>
        </w:rPr>
      </w:pPr>
      <w:r>
        <w:rPr>
          <w:rFonts w:hint="eastAsia" w:ascii="宋体" w:hAnsi="宋体" w:cs="宋体"/>
          <w:color w:val="auto"/>
          <w:szCs w:val="21"/>
          <w:highlight w:val="none"/>
        </w:rPr>
        <w:t>签订时间:</w:t>
      </w:r>
    </w:p>
    <w:p>
      <w:pPr>
        <w:spacing w:line="500" w:lineRule="exact"/>
        <w:ind w:firstLine="420" w:firstLineChars="200"/>
        <w:rPr>
          <w:rFonts w:ascii="宋体" w:hAnsi="宋体" w:cs="宋体"/>
          <w:color w:val="auto"/>
          <w:szCs w:val="21"/>
          <w:highlight w:val="none"/>
        </w:rPr>
      </w:pPr>
    </w:p>
    <w:p>
      <w:pPr>
        <w:spacing w:line="500" w:lineRule="exact"/>
        <w:ind w:firstLine="420" w:firstLineChars="200"/>
        <w:rPr>
          <w:rFonts w:ascii="宋体" w:hAnsi="宋体" w:cs="宋体"/>
          <w:color w:val="auto"/>
          <w:szCs w:val="21"/>
          <w:highlight w:val="none"/>
        </w:rPr>
      </w:pP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乙方： </w:t>
      </w:r>
    </w:p>
    <w:p>
      <w:pPr>
        <w:pStyle w:val="26"/>
        <w:tabs>
          <w:tab w:val="left" w:pos="1218"/>
          <w:tab w:val="left" w:pos="3544"/>
        </w:tabs>
        <w:rPr>
          <w:rFonts w:ascii="宋体" w:hAnsi="宋体" w:cs="宋体"/>
          <w:color w:val="auto"/>
          <w:sz w:val="21"/>
          <w:szCs w:val="21"/>
          <w:highlight w:val="none"/>
        </w:rPr>
      </w:pP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法定代表人或授权代表（签字）：        （打印体） </w:t>
      </w:r>
    </w:p>
    <w:p>
      <w:pPr>
        <w:spacing w:line="500" w:lineRule="exact"/>
        <w:ind w:firstLine="4305" w:firstLineChars="2050"/>
        <w:rPr>
          <w:rFonts w:ascii="宋体" w:hAnsi="宋体" w:cs="宋体"/>
          <w:color w:val="auto"/>
          <w:szCs w:val="21"/>
          <w:highlight w:val="none"/>
        </w:rPr>
      </w:pPr>
      <w:r>
        <w:rPr>
          <w:rFonts w:hint="eastAsia" w:ascii="宋体" w:hAnsi="宋体" w:cs="宋体"/>
          <w:color w:val="auto"/>
          <w:szCs w:val="21"/>
          <w:highlight w:val="none"/>
        </w:rPr>
        <w:t>（手写体）</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签订时间：</w:t>
      </w:r>
    </w:p>
    <w:p>
      <w:pPr>
        <w:pStyle w:val="9"/>
        <w:ind w:left="2940"/>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pStyle w:val="9"/>
        <w:ind w:left="2940"/>
        <w:rPr>
          <w:rFonts w:ascii="宋体" w:hAnsi="宋体" w:cs="宋体"/>
          <w:color w:val="auto"/>
          <w:szCs w:val="21"/>
          <w:highlight w:val="none"/>
        </w:rPr>
      </w:pPr>
    </w:p>
    <w:p>
      <w:pPr>
        <w:rPr>
          <w:rFonts w:ascii="宋体" w:hAnsi="宋体" w:cs="宋体"/>
          <w:color w:val="auto"/>
          <w:szCs w:val="21"/>
          <w:highlight w:val="none"/>
        </w:rPr>
      </w:pPr>
    </w:p>
    <w:p>
      <w:pPr>
        <w:pStyle w:val="9"/>
        <w:ind w:left="2940"/>
        <w:rPr>
          <w:rFonts w:ascii="宋体" w:hAnsi="宋体" w:cs="宋体"/>
          <w:color w:val="auto"/>
          <w:szCs w:val="21"/>
          <w:highlight w:val="none"/>
        </w:rPr>
      </w:pPr>
    </w:p>
    <w:p>
      <w:pPr>
        <w:rPr>
          <w:rFonts w:ascii="宋体" w:hAnsi="宋体" w:cs="宋体"/>
          <w:color w:val="auto"/>
          <w:szCs w:val="21"/>
          <w:highlight w:val="none"/>
        </w:rPr>
      </w:pPr>
    </w:p>
    <w:p>
      <w:pPr>
        <w:pStyle w:val="9"/>
        <w:ind w:left="2940"/>
        <w:rPr>
          <w:rFonts w:ascii="宋体" w:hAnsi="宋体" w:cs="宋体"/>
          <w:color w:val="auto"/>
          <w:szCs w:val="21"/>
          <w:highlight w:val="none"/>
        </w:rPr>
      </w:pPr>
    </w:p>
    <w:p>
      <w:pPr>
        <w:rPr>
          <w:rFonts w:ascii="宋体" w:hAnsi="宋体" w:cs="宋体"/>
          <w:color w:val="auto"/>
          <w:szCs w:val="21"/>
          <w:highlight w:val="none"/>
        </w:rPr>
      </w:pPr>
    </w:p>
    <w:p>
      <w:pPr>
        <w:pStyle w:val="9"/>
        <w:ind w:left="2940"/>
        <w:rPr>
          <w:rFonts w:ascii="宋体" w:hAnsi="宋体" w:cs="宋体"/>
          <w:color w:val="auto"/>
          <w:szCs w:val="21"/>
          <w:highlight w:val="none"/>
        </w:rPr>
      </w:pPr>
    </w:p>
    <w:p>
      <w:pPr>
        <w:rPr>
          <w:rFonts w:ascii="宋体" w:hAnsi="宋体" w:cs="宋体"/>
          <w:color w:val="auto"/>
          <w:szCs w:val="21"/>
          <w:highlight w:val="none"/>
        </w:rPr>
      </w:pPr>
    </w:p>
    <w:p>
      <w:pPr>
        <w:pStyle w:val="9"/>
        <w:ind w:left="2940"/>
        <w:rPr>
          <w:rFonts w:ascii="宋体" w:hAnsi="宋体" w:cs="宋体"/>
          <w:color w:val="auto"/>
          <w:szCs w:val="21"/>
          <w:highlight w:val="none"/>
        </w:rPr>
      </w:pPr>
    </w:p>
    <w:p>
      <w:pPr>
        <w:rPr>
          <w:rFonts w:ascii="宋体" w:hAnsi="宋体" w:cs="宋体"/>
          <w:color w:val="auto"/>
          <w:szCs w:val="21"/>
          <w:highlight w:val="none"/>
        </w:rPr>
      </w:pPr>
    </w:p>
    <w:p>
      <w:pPr>
        <w:pStyle w:val="9"/>
        <w:ind w:left="2940"/>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5"/>
        <w:rPr>
          <w:rFonts w:ascii="宋体" w:hAnsi="宋体" w:cs="宋体"/>
          <w:color w:val="auto"/>
          <w:sz w:val="28"/>
          <w:szCs w:val="28"/>
          <w:highlight w:val="none"/>
        </w:rPr>
      </w:pPr>
      <w:r>
        <w:rPr>
          <w:rFonts w:hint="eastAsia" w:ascii="宋体" w:hAnsi="宋体" w:cs="宋体"/>
          <w:bCs w:val="0"/>
          <w:color w:val="auto"/>
          <w:sz w:val="21"/>
          <w:szCs w:val="21"/>
          <w:highlight w:val="none"/>
        </w:rPr>
        <w:t>附件四：保廉合同</w:t>
      </w:r>
      <w:r>
        <w:rPr>
          <w:rFonts w:hint="eastAsia" w:cs="宋体"/>
          <w:color w:val="auto"/>
          <w:sz w:val="28"/>
          <w:szCs w:val="28"/>
          <w:highlight w:val="none"/>
        </w:rPr>
        <w:t xml:space="preserve"> </w:t>
      </w:r>
    </w:p>
    <w:bookmarkEnd w:id="178"/>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保廉合同</w:t>
      </w:r>
    </w:p>
    <w:p>
      <w:pPr>
        <w:rPr>
          <w:color w:val="auto"/>
          <w:sz w:val="36"/>
          <w:szCs w:val="44"/>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甲方：</w:t>
      </w:r>
      <w:r>
        <w:rPr>
          <w:rFonts w:hint="eastAsia" w:ascii="宋体" w:hAnsi="宋体" w:cs="宋体"/>
          <w:bCs/>
          <w:color w:val="auto"/>
          <w:szCs w:val="21"/>
          <w:highlight w:val="none"/>
          <w:lang w:bidi="ar"/>
        </w:rPr>
        <w:t>国家电投集团数字科技有限公司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乙方：</w:t>
      </w:r>
    </w:p>
    <w:p>
      <w:pPr>
        <w:spacing w:line="360" w:lineRule="auto"/>
        <w:ind w:right="-218" w:rightChars="-104" w:firstLine="480"/>
        <w:jc w:val="left"/>
        <w:rPr>
          <w:rFonts w:ascii="宋体" w:hAnsi="宋体" w:cs="宋体"/>
          <w:color w:val="auto"/>
          <w:szCs w:val="21"/>
          <w:highlight w:val="none"/>
        </w:rPr>
      </w:pPr>
      <w:r>
        <w:rPr>
          <w:rFonts w:hint="eastAsia" w:ascii="宋体" w:hAnsi="宋体" w:cs="宋体"/>
          <w:color w:val="auto"/>
          <w:szCs w:val="21"/>
          <w:highlight w:val="none"/>
        </w:rPr>
        <w:t>为加强对合同工作的监督，依法规范合同签订中的廉洁纪律，防止违纪违规违法行为的发生，甲、乙双方签订本合同。</w:t>
      </w:r>
    </w:p>
    <w:p>
      <w:pPr>
        <w:spacing w:line="360" w:lineRule="auto"/>
        <w:ind w:right="-218" w:rightChars="-104" w:firstLine="480"/>
        <w:jc w:val="left"/>
        <w:rPr>
          <w:rFonts w:ascii="宋体" w:hAnsi="宋体" w:cs="宋体"/>
          <w:color w:val="auto"/>
          <w:szCs w:val="21"/>
          <w:highlight w:val="none"/>
        </w:rPr>
      </w:pPr>
      <w:r>
        <w:rPr>
          <w:rFonts w:hint="eastAsia" w:ascii="宋体" w:hAnsi="宋体" w:cs="宋体"/>
          <w:color w:val="auto"/>
          <w:szCs w:val="21"/>
          <w:highlight w:val="none"/>
        </w:rPr>
        <w:t>一、甲方责任</w:t>
      </w:r>
    </w:p>
    <w:p>
      <w:pPr>
        <w:spacing w:line="360" w:lineRule="auto"/>
        <w:ind w:right="-218" w:rightChars="-104" w:firstLine="480"/>
        <w:jc w:val="left"/>
        <w:rPr>
          <w:rFonts w:ascii="宋体" w:hAnsi="宋体" w:cs="宋体"/>
          <w:color w:val="auto"/>
          <w:szCs w:val="21"/>
          <w:highlight w:val="none"/>
        </w:rPr>
      </w:pPr>
      <w:r>
        <w:rPr>
          <w:rFonts w:hint="eastAsia" w:ascii="宋体" w:hAnsi="宋体" w:cs="宋体"/>
          <w:color w:val="auto"/>
          <w:szCs w:val="21"/>
          <w:highlight w:val="none"/>
        </w:rPr>
        <w:t>1.不利用工作之便接受乙方赠送的礼品、礼金、各种有价证券及其他支付凭证等。</w:t>
      </w:r>
    </w:p>
    <w:p>
      <w:pPr>
        <w:spacing w:line="360" w:lineRule="auto"/>
        <w:ind w:right="-218" w:rightChars="-104" w:firstLine="480"/>
        <w:jc w:val="left"/>
        <w:rPr>
          <w:rFonts w:ascii="宋体" w:hAnsi="宋体" w:cs="宋体"/>
          <w:color w:val="auto"/>
          <w:szCs w:val="21"/>
          <w:highlight w:val="none"/>
        </w:rPr>
      </w:pPr>
      <w:r>
        <w:rPr>
          <w:rFonts w:hint="eastAsia" w:ascii="宋体" w:hAnsi="宋体" w:cs="宋体"/>
          <w:color w:val="auto"/>
          <w:szCs w:val="21"/>
          <w:highlight w:val="none"/>
        </w:rPr>
        <w:t>2.不利用工作之便接受乙方提供的通讯工具、交通工具和高档办公用品等。</w:t>
      </w:r>
    </w:p>
    <w:p>
      <w:pPr>
        <w:spacing w:line="360" w:lineRule="auto"/>
        <w:ind w:right="-218" w:rightChars="-104" w:firstLine="480"/>
        <w:jc w:val="left"/>
        <w:rPr>
          <w:rFonts w:ascii="宋体" w:hAnsi="宋体" w:cs="宋体"/>
          <w:color w:val="auto"/>
          <w:szCs w:val="21"/>
          <w:highlight w:val="none"/>
        </w:rPr>
      </w:pPr>
      <w:r>
        <w:rPr>
          <w:rFonts w:hint="eastAsia" w:ascii="宋体" w:hAnsi="宋体" w:cs="宋体"/>
          <w:color w:val="auto"/>
          <w:szCs w:val="21"/>
          <w:highlight w:val="none"/>
        </w:rPr>
        <w:t>3.不利用工作之便，让亲友从事与合同有关活动并谋取私利。</w:t>
      </w:r>
    </w:p>
    <w:p>
      <w:pPr>
        <w:spacing w:line="360" w:lineRule="auto"/>
        <w:ind w:right="-218" w:rightChars="-104" w:firstLine="480"/>
        <w:jc w:val="left"/>
        <w:rPr>
          <w:rFonts w:ascii="宋体" w:hAnsi="宋体" w:cs="宋体"/>
          <w:color w:val="auto"/>
          <w:szCs w:val="21"/>
          <w:highlight w:val="none"/>
        </w:rPr>
      </w:pPr>
      <w:r>
        <w:rPr>
          <w:rFonts w:hint="eastAsia" w:ascii="宋体" w:hAnsi="宋体" w:cs="宋体"/>
          <w:color w:val="auto"/>
          <w:szCs w:val="21"/>
          <w:highlight w:val="none"/>
        </w:rPr>
        <w:t>4.不在乙方报销任何应由甲方或个人支付的费用等。</w:t>
      </w:r>
    </w:p>
    <w:p>
      <w:pPr>
        <w:spacing w:line="360" w:lineRule="auto"/>
        <w:ind w:right="-218" w:rightChars="-104" w:firstLine="480"/>
        <w:jc w:val="left"/>
        <w:rPr>
          <w:rFonts w:ascii="宋体" w:hAnsi="宋体" w:cs="宋体"/>
          <w:color w:val="auto"/>
          <w:szCs w:val="21"/>
          <w:highlight w:val="none"/>
        </w:rPr>
      </w:pPr>
      <w:r>
        <w:rPr>
          <w:rFonts w:hint="eastAsia" w:ascii="宋体" w:hAnsi="宋体" w:cs="宋体"/>
          <w:color w:val="auto"/>
          <w:szCs w:val="21"/>
          <w:highlight w:val="none"/>
        </w:rPr>
        <w:t>5.不参加由乙方提供的高档宴请、娱乐、旅游等消费活动。</w:t>
      </w:r>
    </w:p>
    <w:p>
      <w:pPr>
        <w:spacing w:line="360" w:lineRule="auto"/>
        <w:ind w:right="-218" w:rightChars="-104" w:firstLine="480"/>
        <w:jc w:val="left"/>
        <w:rPr>
          <w:rFonts w:ascii="宋体" w:hAnsi="宋体" w:cs="宋体"/>
          <w:color w:val="auto"/>
          <w:szCs w:val="21"/>
          <w:highlight w:val="none"/>
        </w:rPr>
      </w:pPr>
      <w:r>
        <w:rPr>
          <w:rFonts w:hint="eastAsia" w:ascii="宋体" w:hAnsi="宋体" w:cs="宋体"/>
          <w:color w:val="auto"/>
          <w:szCs w:val="21"/>
          <w:highlight w:val="none"/>
        </w:rPr>
        <w:t>6.严格遵守在从事公务活动或者其他与行使职权有关的活动中廉洁用权的行为规则。</w:t>
      </w:r>
    </w:p>
    <w:p>
      <w:pPr>
        <w:spacing w:line="360" w:lineRule="auto"/>
        <w:ind w:right="-218" w:rightChars="-104" w:firstLine="480"/>
        <w:jc w:val="left"/>
        <w:rPr>
          <w:rFonts w:ascii="宋体" w:hAnsi="宋体" w:cs="宋体"/>
          <w:color w:val="auto"/>
          <w:szCs w:val="21"/>
          <w:highlight w:val="none"/>
        </w:rPr>
      </w:pPr>
      <w:r>
        <w:rPr>
          <w:rFonts w:hint="eastAsia" w:ascii="宋体" w:hAnsi="宋体" w:cs="宋体"/>
          <w:color w:val="auto"/>
          <w:szCs w:val="21"/>
          <w:highlight w:val="none"/>
        </w:rPr>
        <w:t>二、乙方责任</w:t>
      </w:r>
    </w:p>
    <w:p>
      <w:pPr>
        <w:spacing w:line="360" w:lineRule="auto"/>
        <w:ind w:right="-218" w:rightChars="-104" w:firstLine="480"/>
        <w:jc w:val="left"/>
        <w:rPr>
          <w:rFonts w:ascii="宋体" w:hAnsi="宋体" w:cs="宋体"/>
          <w:color w:val="auto"/>
          <w:szCs w:val="21"/>
          <w:highlight w:val="none"/>
        </w:rPr>
      </w:pPr>
      <w:r>
        <w:rPr>
          <w:rFonts w:hint="eastAsia" w:ascii="宋体" w:hAnsi="宋体" w:cs="宋体"/>
          <w:color w:val="auto"/>
          <w:szCs w:val="21"/>
          <w:highlight w:val="none"/>
        </w:rPr>
        <w:t>1.不以任何名义向甲方人员赠送钱物。</w:t>
      </w:r>
    </w:p>
    <w:p>
      <w:pPr>
        <w:spacing w:line="360" w:lineRule="auto"/>
        <w:ind w:right="-218" w:rightChars="-104" w:firstLine="480"/>
        <w:jc w:val="left"/>
        <w:rPr>
          <w:rFonts w:ascii="宋体" w:hAnsi="宋体" w:cs="宋体"/>
          <w:color w:val="auto"/>
          <w:szCs w:val="21"/>
          <w:highlight w:val="none"/>
        </w:rPr>
      </w:pPr>
      <w:r>
        <w:rPr>
          <w:rFonts w:hint="eastAsia" w:ascii="宋体" w:hAnsi="宋体" w:cs="宋体"/>
          <w:color w:val="auto"/>
          <w:szCs w:val="21"/>
          <w:highlight w:val="none"/>
        </w:rPr>
        <w:t>2.不以任何名义为甲方及其工作人员报销应由甲方单位或个人支付的任何费用。</w:t>
      </w:r>
    </w:p>
    <w:p>
      <w:pPr>
        <w:spacing w:line="360" w:lineRule="auto"/>
        <w:ind w:right="-218" w:rightChars="-104" w:firstLine="480"/>
        <w:jc w:val="left"/>
        <w:rPr>
          <w:rFonts w:ascii="宋体" w:hAnsi="宋体" w:cs="宋体"/>
          <w:color w:val="auto"/>
          <w:szCs w:val="21"/>
          <w:highlight w:val="none"/>
        </w:rPr>
      </w:pPr>
      <w:r>
        <w:rPr>
          <w:rFonts w:hint="eastAsia" w:ascii="宋体" w:hAnsi="宋体" w:cs="宋体"/>
          <w:color w:val="auto"/>
          <w:szCs w:val="21"/>
          <w:highlight w:val="none"/>
        </w:rPr>
        <w:t>3.不弄虚作假、偷工减料，不提供假冒伪劣或不符合国家标准的劣质产品。</w:t>
      </w:r>
    </w:p>
    <w:p>
      <w:pPr>
        <w:spacing w:line="360" w:lineRule="auto"/>
        <w:ind w:right="-218" w:rightChars="-104" w:firstLine="480"/>
        <w:jc w:val="left"/>
        <w:rPr>
          <w:rFonts w:ascii="宋体" w:hAnsi="宋体" w:cs="宋体"/>
          <w:color w:val="auto"/>
          <w:szCs w:val="21"/>
          <w:highlight w:val="none"/>
        </w:rPr>
      </w:pPr>
      <w:r>
        <w:rPr>
          <w:rFonts w:hint="eastAsia" w:ascii="宋体" w:hAnsi="宋体" w:cs="宋体"/>
          <w:color w:val="auto"/>
          <w:szCs w:val="21"/>
          <w:highlight w:val="none"/>
        </w:rPr>
        <w:t>4.不损害甲方利益。</w:t>
      </w:r>
    </w:p>
    <w:p>
      <w:pPr>
        <w:spacing w:line="360" w:lineRule="auto"/>
        <w:ind w:right="-218" w:rightChars="-104" w:firstLine="480"/>
        <w:jc w:val="left"/>
        <w:rPr>
          <w:rFonts w:ascii="宋体" w:hAnsi="宋体" w:cs="宋体"/>
          <w:color w:val="auto"/>
          <w:szCs w:val="21"/>
          <w:highlight w:val="none"/>
        </w:rPr>
      </w:pPr>
      <w:r>
        <w:rPr>
          <w:rFonts w:hint="eastAsia" w:ascii="宋体" w:hAnsi="宋体" w:cs="宋体"/>
          <w:color w:val="auto"/>
          <w:szCs w:val="21"/>
          <w:highlight w:val="none"/>
        </w:rPr>
        <w:t>三、甲、乙双方共同责任</w:t>
      </w:r>
    </w:p>
    <w:p>
      <w:pPr>
        <w:spacing w:line="360" w:lineRule="auto"/>
        <w:ind w:right="-218" w:rightChars="-104" w:firstLine="480"/>
        <w:jc w:val="left"/>
        <w:rPr>
          <w:rFonts w:ascii="宋体" w:hAnsi="宋体" w:cs="宋体"/>
          <w:color w:val="auto"/>
          <w:szCs w:val="21"/>
          <w:highlight w:val="none"/>
        </w:rPr>
      </w:pPr>
      <w:r>
        <w:rPr>
          <w:rFonts w:hint="eastAsia" w:ascii="宋体" w:hAnsi="宋体" w:cs="宋体"/>
          <w:color w:val="auto"/>
          <w:szCs w:val="21"/>
          <w:highlight w:val="none"/>
        </w:rPr>
        <w:t>1.严格自律，认真遵守国家有关的法律、法规和规定，严格遵守国家电力投资集团有限公司和国家电投集团数字科技有限公司有关制度和要求。</w:t>
      </w:r>
    </w:p>
    <w:p>
      <w:pPr>
        <w:spacing w:line="360" w:lineRule="auto"/>
        <w:ind w:right="-218" w:rightChars="-104" w:firstLine="480"/>
        <w:jc w:val="left"/>
        <w:rPr>
          <w:rFonts w:ascii="宋体" w:hAnsi="宋体" w:cs="宋体"/>
          <w:color w:val="auto"/>
          <w:szCs w:val="21"/>
          <w:highlight w:val="none"/>
        </w:rPr>
      </w:pPr>
      <w:r>
        <w:rPr>
          <w:rFonts w:hint="eastAsia" w:ascii="宋体" w:hAnsi="宋体" w:cs="宋体"/>
          <w:color w:val="auto"/>
          <w:szCs w:val="21"/>
          <w:highlight w:val="none"/>
        </w:rPr>
        <w:t>2.双方本着公开、公正、诚信的原则，自觉按合同办事，不得损害国家、集体利益以及个人合法权益。</w:t>
      </w:r>
    </w:p>
    <w:p>
      <w:pPr>
        <w:spacing w:line="360" w:lineRule="auto"/>
        <w:ind w:right="-218" w:rightChars="-104" w:firstLine="480"/>
        <w:jc w:val="left"/>
        <w:rPr>
          <w:rFonts w:ascii="宋体" w:hAnsi="宋体" w:cs="宋体"/>
          <w:color w:val="auto"/>
          <w:szCs w:val="21"/>
          <w:highlight w:val="none"/>
        </w:rPr>
      </w:pPr>
      <w:r>
        <w:rPr>
          <w:rFonts w:hint="eastAsia" w:ascii="宋体" w:hAnsi="宋体" w:cs="宋体"/>
          <w:color w:val="auto"/>
          <w:szCs w:val="21"/>
          <w:highlight w:val="none"/>
        </w:rPr>
        <w:t>3.双方要建立健全廉洁制度，经常开展法制教育和廉洁教育，加强对本单位工作人员的监督工作。</w:t>
      </w:r>
    </w:p>
    <w:p>
      <w:pPr>
        <w:spacing w:line="360" w:lineRule="auto"/>
        <w:ind w:right="-218" w:rightChars="-104" w:firstLine="480"/>
        <w:jc w:val="left"/>
        <w:rPr>
          <w:rFonts w:ascii="宋体" w:hAnsi="宋体" w:cs="宋体"/>
          <w:color w:val="auto"/>
          <w:szCs w:val="21"/>
          <w:highlight w:val="none"/>
        </w:rPr>
      </w:pPr>
      <w:r>
        <w:rPr>
          <w:rFonts w:hint="eastAsia" w:ascii="宋体" w:hAnsi="宋体" w:cs="宋体"/>
          <w:color w:val="auto"/>
          <w:szCs w:val="21"/>
          <w:highlight w:val="none"/>
        </w:rPr>
        <w:t>4.不在非公务场合谈论业务，无特殊情况不应一对一谈业务。</w:t>
      </w:r>
    </w:p>
    <w:p>
      <w:pPr>
        <w:spacing w:line="360" w:lineRule="auto"/>
        <w:ind w:right="-218" w:rightChars="-104" w:firstLine="480"/>
        <w:jc w:val="left"/>
        <w:rPr>
          <w:rFonts w:ascii="宋体" w:hAnsi="宋体" w:cs="宋体"/>
          <w:color w:val="auto"/>
          <w:szCs w:val="21"/>
          <w:highlight w:val="none"/>
        </w:rPr>
      </w:pPr>
      <w:r>
        <w:rPr>
          <w:rFonts w:hint="eastAsia" w:ascii="宋体" w:hAnsi="宋体" w:cs="宋体"/>
          <w:color w:val="auto"/>
          <w:szCs w:val="21"/>
          <w:highlight w:val="none"/>
        </w:rPr>
        <w:t>5.互相监督，对违反合同行为及时提醒并予以纠正，发现违规违纪现象时，</w:t>
      </w:r>
    </w:p>
    <w:p>
      <w:pPr>
        <w:spacing w:line="360" w:lineRule="auto"/>
        <w:ind w:right="-218" w:rightChars="-104" w:firstLine="480"/>
        <w:jc w:val="left"/>
        <w:rPr>
          <w:rFonts w:ascii="宋体" w:hAnsi="宋体" w:cs="宋体"/>
          <w:color w:val="auto"/>
          <w:szCs w:val="21"/>
          <w:highlight w:val="none"/>
        </w:rPr>
      </w:pPr>
      <w:r>
        <w:rPr>
          <w:rFonts w:hint="eastAsia" w:ascii="宋体" w:hAnsi="宋体" w:cs="宋体"/>
          <w:color w:val="auto"/>
          <w:szCs w:val="21"/>
          <w:highlight w:val="none"/>
        </w:rPr>
        <w:t>及时向双方监督部门举报。</w:t>
      </w:r>
    </w:p>
    <w:p>
      <w:pPr>
        <w:spacing w:line="360" w:lineRule="auto"/>
        <w:ind w:right="-218" w:rightChars="-104" w:firstLine="480"/>
        <w:jc w:val="left"/>
        <w:rPr>
          <w:rFonts w:ascii="宋体" w:hAnsi="宋体" w:cs="宋体"/>
          <w:color w:val="auto"/>
          <w:szCs w:val="21"/>
          <w:highlight w:val="none"/>
        </w:rPr>
      </w:pPr>
      <w:r>
        <w:rPr>
          <w:rFonts w:hint="eastAsia" w:ascii="宋体" w:hAnsi="宋体" w:cs="宋体"/>
          <w:color w:val="auto"/>
          <w:szCs w:val="21"/>
          <w:highlight w:val="none"/>
        </w:rPr>
        <w:t>四、违约责任</w:t>
      </w:r>
    </w:p>
    <w:p>
      <w:pPr>
        <w:spacing w:line="360" w:lineRule="auto"/>
        <w:ind w:right="-218" w:rightChars="-104" w:firstLine="480"/>
        <w:jc w:val="left"/>
        <w:rPr>
          <w:rFonts w:ascii="宋体" w:hAnsi="宋体" w:cs="宋体"/>
          <w:color w:val="auto"/>
          <w:szCs w:val="21"/>
          <w:highlight w:val="none"/>
        </w:rPr>
      </w:pPr>
      <w:r>
        <w:rPr>
          <w:rFonts w:hint="eastAsia" w:ascii="宋体" w:hAnsi="宋体" w:cs="宋体"/>
          <w:color w:val="auto"/>
          <w:szCs w:val="21"/>
          <w:highlight w:val="none"/>
        </w:rPr>
        <w:t>1.如甲方人员涉及本合同违约，单位领导必须按照廉洁纪律严肃处理，并将处理结果上报国家电投集团数字科技有限公司监督部门。同时，向合同乙方通报处理结果。</w:t>
      </w:r>
    </w:p>
    <w:p>
      <w:pPr>
        <w:spacing w:line="360" w:lineRule="auto"/>
        <w:ind w:right="-218" w:rightChars="-104" w:firstLine="480"/>
        <w:jc w:val="left"/>
        <w:rPr>
          <w:rFonts w:ascii="宋体" w:hAnsi="宋体" w:cs="宋体"/>
          <w:color w:val="auto"/>
          <w:szCs w:val="21"/>
          <w:highlight w:val="none"/>
        </w:rPr>
      </w:pPr>
      <w:r>
        <w:rPr>
          <w:rFonts w:hint="eastAsia" w:ascii="宋体" w:hAnsi="宋体" w:cs="宋体"/>
          <w:color w:val="auto"/>
          <w:szCs w:val="21"/>
          <w:highlight w:val="none"/>
        </w:rPr>
        <w:t>2.如乙方人员涉及本合同违约，甲方将视违约情节轻重，对乙方采取警告、中止执行合同、宣告中标无效、赔偿甲方损失，三年内禁止在国家电投集团数字科技有限公司投标等处理措施。</w:t>
      </w:r>
    </w:p>
    <w:p>
      <w:pPr>
        <w:spacing w:line="360" w:lineRule="auto"/>
        <w:ind w:right="-218" w:rightChars="-104" w:firstLine="480"/>
        <w:jc w:val="left"/>
        <w:rPr>
          <w:rFonts w:ascii="宋体" w:hAnsi="宋体" w:cs="宋体"/>
          <w:color w:val="auto"/>
          <w:szCs w:val="21"/>
          <w:highlight w:val="none"/>
        </w:rPr>
      </w:pPr>
      <w:r>
        <w:rPr>
          <w:rFonts w:hint="eastAsia" w:ascii="宋体" w:hAnsi="宋体" w:cs="宋体"/>
          <w:color w:val="auto"/>
          <w:szCs w:val="21"/>
          <w:highlight w:val="none"/>
        </w:rPr>
        <w:t>五、甲方监督部门约请乙方监察部门对本合同的履行情况进行监督检查。商务合同执行后，请乙方单位向甲方提供《保廉合同执行情况反馈意见》。</w:t>
      </w:r>
    </w:p>
    <w:p>
      <w:pPr>
        <w:spacing w:line="360" w:lineRule="auto"/>
        <w:ind w:right="-218" w:rightChars="-104" w:firstLine="480"/>
        <w:jc w:val="left"/>
        <w:rPr>
          <w:rFonts w:ascii="宋体" w:hAnsi="宋体" w:cs="宋体"/>
          <w:color w:val="auto"/>
          <w:szCs w:val="21"/>
          <w:highlight w:val="none"/>
        </w:rPr>
      </w:pPr>
      <w:r>
        <w:rPr>
          <w:rFonts w:hint="eastAsia" w:ascii="宋体" w:hAnsi="宋体" w:cs="宋体"/>
          <w:color w:val="auto"/>
          <w:szCs w:val="21"/>
          <w:highlight w:val="none"/>
        </w:rPr>
        <w:t>六、本合同随主合同文件一并签订。</w:t>
      </w:r>
    </w:p>
    <w:p>
      <w:pPr>
        <w:spacing w:line="360" w:lineRule="auto"/>
        <w:ind w:right="-218" w:rightChars="-104" w:firstLine="480"/>
        <w:jc w:val="left"/>
        <w:rPr>
          <w:rFonts w:ascii="宋体" w:hAnsi="宋体" w:cs="宋体"/>
          <w:color w:val="auto"/>
          <w:szCs w:val="21"/>
          <w:highlight w:val="none"/>
        </w:rPr>
      </w:pPr>
      <w:r>
        <w:rPr>
          <w:rFonts w:hint="eastAsia" w:ascii="宋体" w:hAnsi="宋体" w:cs="宋体"/>
          <w:color w:val="auto"/>
          <w:szCs w:val="21"/>
          <w:highlight w:val="none"/>
        </w:rPr>
        <w:t>七、本合同有效时间随主合同的有效时间。</w:t>
      </w:r>
    </w:p>
    <w:p>
      <w:pPr>
        <w:spacing w:line="360" w:lineRule="auto"/>
        <w:ind w:right="-218" w:rightChars="-104" w:firstLine="480"/>
        <w:jc w:val="left"/>
        <w:rPr>
          <w:rFonts w:ascii="宋体" w:hAnsi="宋体" w:cs="宋体"/>
          <w:color w:val="auto"/>
          <w:szCs w:val="21"/>
          <w:highlight w:val="none"/>
        </w:rPr>
      </w:pPr>
      <w:r>
        <w:rPr>
          <w:rFonts w:hint="eastAsia" w:ascii="宋体" w:hAnsi="宋体" w:cs="宋体"/>
          <w:color w:val="auto"/>
          <w:szCs w:val="21"/>
          <w:highlight w:val="none"/>
        </w:rPr>
        <w:t>八、本合同经双方法定代表人或书面授权委托人签字并加盖公司公章或合同章后生效。</w:t>
      </w:r>
    </w:p>
    <w:p>
      <w:pPr>
        <w:pStyle w:val="69"/>
        <w:ind w:firstLine="420"/>
        <w:rPr>
          <w:color w:val="auto"/>
          <w:highlight w:val="none"/>
        </w:rPr>
      </w:pPr>
    </w:p>
    <w:p>
      <w:pPr>
        <w:spacing w:line="360" w:lineRule="auto"/>
        <w:ind w:right="-218" w:rightChars="-104" w:firstLine="480"/>
        <w:jc w:val="left"/>
        <w:rPr>
          <w:rFonts w:ascii="宋体" w:hAnsi="宋体" w:cs="宋体"/>
          <w:color w:val="auto"/>
          <w:szCs w:val="21"/>
          <w:highlight w:val="none"/>
        </w:rPr>
      </w:pPr>
      <w:r>
        <w:rPr>
          <w:rFonts w:hint="eastAsia" w:ascii="宋体" w:hAnsi="宋体" w:cs="宋体"/>
          <w:color w:val="auto"/>
          <w:szCs w:val="21"/>
          <w:highlight w:val="none"/>
        </w:rPr>
        <w:t>甲方：</w:t>
      </w:r>
      <w:r>
        <w:rPr>
          <w:rFonts w:hint="eastAsia" w:ascii="宋体" w:hAnsi="宋体" w:cs="宋体"/>
          <w:bCs/>
          <w:color w:val="auto"/>
          <w:szCs w:val="21"/>
          <w:highlight w:val="none"/>
          <w:lang w:bidi="ar"/>
        </w:rPr>
        <w:t>国家电投集团数字科技有限公司</w:t>
      </w:r>
      <w:r>
        <w:rPr>
          <w:rFonts w:hint="eastAsia" w:ascii="宋体" w:hAnsi="宋体" w:cs="宋体"/>
          <w:color w:val="auto"/>
          <w:szCs w:val="21"/>
          <w:highlight w:val="none"/>
        </w:rPr>
        <w:t>（单位盖章）</w:t>
      </w:r>
    </w:p>
    <w:p>
      <w:pPr>
        <w:spacing w:line="360" w:lineRule="auto"/>
        <w:ind w:right="-218" w:rightChars="-104" w:firstLine="480"/>
        <w:jc w:val="left"/>
        <w:rPr>
          <w:rFonts w:ascii="宋体" w:hAnsi="宋体" w:cs="宋体"/>
          <w:color w:val="auto"/>
          <w:szCs w:val="21"/>
          <w:highlight w:val="none"/>
        </w:rPr>
      </w:pPr>
    </w:p>
    <w:p>
      <w:pPr>
        <w:spacing w:line="360" w:lineRule="auto"/>
        <w:ind w:right="-218" w:rightChars="-104" w:firstLine="480"/>
        <w:jc w:val="left"/>
        <w:rPr>
          <w:rFonts w:ascii="宋体" w:hAnsi="宋体" w:cs="宋体"/>
          <w:color w:val="auto"/>
          <w:szCs w:val="21"/>
          <w:highlight w:val="none"/>
        </w:rPr>
      </w:pPr>
      <w:r>
        <w:rPr>
          <w:rFonts w:hint="eastAsia" w:ascii="宋体" w:hAnsi="宋体" w:cs="宋体"/>
          <w:color w:val="auto"/>
          <w:szCs w:val="21"/>
          <w:highlight w:val="none"/>
        </w:rPr>
        <w:t>法定代表人或委托代理人签字：</w:t>
      </w:r>
    </w:p>
    <w:p>
      <w:pPr>
        <w:spacing w:line="360" w:lineRule="auto"/>
        <w:ind w:right="-218" w:rightChars="-104" w:firstLine="480"/>
        <w:jc w:val="left"/>
        <w:rPr>
          <w:rFonts w:ascii="宋体" w:hAnsi="宋体" w:cs="宋体"/>
          <w:color w:val="auto"/>
          <w:szCs w:val="21"/>
          <w:highlight w:val="none"/>
        </w:rPr>
      </w:pPr>
    </w:p>
    <w:p>
      <w:pPr>
        <w:spacing w:line="360" w:lineRule="auto"/>
        <w:ind w:right="-218" w:rightChars="-104" w:firstLine="480"/>
        <w:jc w:val="left"/>
        <w:rPr>
          <w:rFonts w:ascii="宋体" w:hAnsi="宋体" w:cs="宋体"/>
          <w:color w:val="auto"/>
          <w:szCs w:val="21"/>
          <w:highlight w:val="none"/>
        </w:rPr>
      </w:pPr>
      <w:r>
        <w:rPr>
          <w:rFonts w:hint="eastAsia" w:ascii="宋体" w:hAnsi="宋体" w:cs="宋体"/>
          <w:color w:val="auto"/>
          <w:szCs w:val="21"/>
          <w:highlight w:val="none"/>
        </w:rPr>
        <w:t xml:space="preserve">日期:  年  月   日 </w:t>
      </w:r>
    </w:p>
    <w:p>
      <w:pPr>
        <w:rPr>
          <w:rFonts w:ascii="宋体" w:hAnsi="宋体" w:cs="宋体"/>
          <w:bCs/>
          <w:color w:val="auto"/>
          <w:spacing w:val="-10"/>
          <w:sz w:val="28"/>
          <w:szCs w:val="28"/>
          <w:highlight w:val="none"/>
        </w:rPr>
      </w:pPr>
    </w:p>
    <w:p>
      <w:pPr>
        <w:spacing w:line="360" w:lineRule="auto"/>
        <w:ind w:right="-218" w:rightChars="-104" w:firstLine="480"/>
        <w:jc w:val="left"/>
        <w:rPr>
          <w:rFonts w:ascii="宋体" w:hAnsi="宋体" w:cs="宋体"/>
          <w:color w:val="auto"/>
          <w:szCs w:val="21"/>
          <w:highlight w:val="none"/>
        </w:rPr>
      </w:pPr>
      <w:r>
        <w:rPr>
          <w:rFonts w:hint="eastAsia" w:ascii="宋体" w:hAnsi="宋体" w:cs="宋体"/>
          <w:color w:val="auto"/>
          <w:szCs w:val="21"/>
          <w:highlight w:val="none"/>
        </w:rPr>
        <w:t xml:space="preserve">乙方： </w:t>
      </w:r>
      <w:r>
        <w:rPr>
          <w:rFonts w:ascii="宋体" w:hAnsi="宋体" w:cs="宋体"/>
          <w:color w:val="auto"/>
          <w:szCs w:val="21"/>
          <w:highlight w:val="none"/>
        </w:rPr>
        <w:t xml:space="preserve">                   </w:t>
      </w:r>
      <w:r>
        <w:rPr>
          <w:rFonts w:hint="eastAsia" w:ascii="宋体" w:hAnsi="宋体" w:cs="宋体"/>
          <w:color w:val="auto"/>
          <w:szCs w:val="21"/>
          <w:highlight w:val="none"/>
        </w:rPr>
        <w:t>（单位盖章）</w:t>
      </w:r>
    </w:p>
    <w:p>
      <w:pPr>
        <w:spacing w:line="360" w:lineRule="auto"/>
        <w:ind w:right="-218" w:rightChars="-104" w:firstLine="480"/>
        <w:jc w:val="left"/>
        <w:rPr>
          <w:rFonts w:ascii="宋体" w:hAnsi="宋体" w:cs="宋体"/>
          <w:color w:val="auto"/>
          <w:szCs w:val="21"/>
          <w:highlight w:val="none"/>
        </w:rPr>
      </w:pPr>
    </w:p>
    <w:p>
      <w:pPr>
        <w:spacing w:line="360" w:lineRule="auto"/>
        <w:ind w:right="-218" w:rightChars="-104" w:firstLine="480"/>
        <w:jc w:val="left"/>
        <w:rPr>
          <w:rFonts w:ascii="宋体" w:hAnsi="宋体" w:cs="宋体"/>
          <w:color w:val="auto"/>
          <w:szCs w:val="21"/>
          <w:highlight w:val="none"/>
        </w:rPr>
      </w:pPr>
      <w:r>
        <w:rPr>
          <w:rFonts w:hint="eastAsia" w:ascii="宋体" w:hAnsi="宋体" w:cs="宋体"/>
          <w:color w:val="auto"/>
          <w:szCs w:val="21"/>
          <w:highlight w:val="none"/>
        </w:rPr>
        <w:t>法定代表人或委托代理人签字：</w:t>
      </w:r>
    </w:p>
    <w:p>
      <w:pPr>
        <w:spacing w:line="360" w:lineRule="auto"/>
        <w:ind w:right="-218" w:rightChars="-104" w:firstLine="480"/>
        <w:jc w:val="left"/>
        <w:rPr>
          <w:rFonts w:ascii="宋体" w:hAnsi="宋体" w:cs="宋体"/>
          <w:color w:val="auto"/>
          <w:szCs w:val="21"/>
          <w:highlight w:val="none"/>
        </w:rPr>
      </w:pPr>
    </w:p>
    <w:p>
      <w:pPr>
        <w:spacing w:line="360" w:lineRule="auto"/>
        <w:ind w:right="-218" w:rightChars="-104" w:firstLine="480"/>
        <w:jc w:val="left"/>
        <w:rPr>
          <w:rFonts w:ascii="宋体" w:hAnsi="宋体" w:cs="宋体"/>
          <w:color w:val="auto"/>
          <w:szCs w:val="21"/>
          <w:highlight w:val="none"/>
        </w:rPr>
      </w:pPr>
      <w:r>
        <w:rPr>
          <w:rFonts w:hint="eastAsia" w:ascii="宋体" w:hAnsi="宋体" w:cs="宋体"/>
          <w:color w:val="auto"/>
          <w:szCs w:val="21"/>
          <w:highlight w:val="none"/>
        </w:rPr>
        <w:t>日期:  年  月  日</w:t>
      </w:r>
    </w:p>
    <w:p>
      <w:pPr>
        <w:spacing w:line="360" w:lineRule="auto"/>
        <w:ind w:right="-218" w:rightChars="-104" w:firstLine="480"/>
        <w:jc w:val="left"/>
        <w:rPr>
          <w:rFonts w:ascii="宋体" w:hAnsi="宋体" w:cs="宋体"/>
          <w:color w:val="auto"/>
          <w:szCs w:val="21"/>
          <w:highlight w:val="none"/>
        </w:rPr>
      </w:pPr>
    </w:p>
    <w:p>
      <w:pPr>
        <w:spacing w:line="360" w:lineRule="auto"/>
        <w:ind w:right="-218" w:rightChars="-104" w:firstLine="480"/>
        <w:jc w:val="left"/>
        <w:rPr>
          <w:rFonts w:ascii="宋体" w:hAnsi="宋体" w:cs="宋体"/>
          <w:color w:val="auto"/>
          <w:szCs w:val="21"/>
          <w:highlight w:val="none"/>
        </w:rPr>
      </w:pPr>
    </w:p>
    <w:p>
      <w:pPr>
        <w:spacing w:line="360" w:lineRule="auto"/>
        <w:ind w:right="-218" w:rightChars="-104" w:firstLine="480"/>
        <w:jc w:val="left"/>
        <w:rPr>
          <w:rFonts w:ascii="宋体" w:hAnsi="宋体" w:cs="宋体"/>
          <w:color w:val="auto"/>
          <w:szCs w:val="21"/>
          <w:highlight w:val="none"/>
        </w:rPr>
      </w:pPr>
    </w:p>
    <w:p>
      <w:pPr>
        <w:spacing w:line="360" w:lineRule="auto"/>
        <w:ind w:right="-218" w:rightChars="-104" w:firstLine="480"/>
        <w:jc w:val="left"/>
        <w:rPr>
          <w:rFonts w:ascii="宋体" w:hAnsi="宋体" w:cs="宋体"/>
          <w:color w:val="auto"/>
          <w:szCs w:val="21"/>
          <w:highlight w:val="none"/>
        </w:rPr>
      </w:pPr>
    </w:p>
    <w:p>
      <w:pPr>
        <w:spacing w:line="360" w:lineRule="auto"/>
        <w:ind w:right="-218" w:rightChars="-104" w:firstLine="480"/>
        <w:jc w:val="left"/>
        <w:rPr>
          <w:rFonts w:ascii="宋体" w:hAnsi="宋体" w:cs="宋体"/>
          <w:color w:val="auto"/>
          <w:szCs w:val="21"/>
          <w:highlight w:val="none"/>
        </w:rPr>
      </w:pPr>
    </w:p>
    <w:p>
      <w:pPr>
        <w:rPr>
          <w:rFonts w:ascii="宋体" w:hAnsi="宋体"/>
          <w:b/>
          <w:color w:val="auto"/>
          <w:sz w:val="24"/>
          <w:highlight w:val="none"/>
        </w:rPr>
      </w:pPr>
    </w:p>
    <w:bookmarkEnd w:id="120"/>
    <w:bookmarkEnd w:id="121"/>
    <w:p>
      <w:pPr>
        <w:widowControl/>
        <w:ind w:firstLine="480" w:firstLineChars="200"/>
        <w:jc w:val="left"/>
        <w:rPr>
          <w:color w:val="auto"/>
          <w:highlight w:val="none"/>
        </w:rPr>
      </w:pPr>
      <w:r>
        <w:rPr>
          <w:rFonts w:hint="eastAsia" w:ascii="宋体" w:hAnsi="宋体"/>
          <w:color w:val="auto"/>
          <w:sz w:val="24"/>
          <w:szCs w:val="28"/>
          <w:highlight w:val="none"/>
        </w:rPr>
        <w:t xml:space="preserve">      </w:t>
      </w:r>
      <w:bookmarkEnd w:id="114"/>
      <w:bookmarkEnd w:id="115"/>
      <w:bookmarkEnd w:id="116"/>
      <w:bookmarkEnd w:id="117"/>
      <w:bookmarkEnd w:id="118"/>
      <w:bookmarkEnd w:id="119"/>
      <w:bookmarkStart w:id="179" w:name="_Toc133413404"/>
      <w:bookmarkStart w:id="180" w:name="_Toc7289"/>
      <w:bookmarkStart w:id="181" w:name="_Toc9193"/>
      <w:r>
        <w:rPr>
          <w:color w:val="auto"/>
          <w:highlight w:val="none"/>
        </w:rPr>
        <w:br w:type="page"/>
      </w:r>
    </w:p>
    <w:p>
      <w:pPr>
        <w:widowControl/>
        <w:jc w:val="left"/>
        <w:outlineLvl w:val="0"/>
        <w:rPr>
          <w:rFonts w:ascii="宋体" w:hAnsi="宋体"/>
          <w:b/>
          <w:bCs/>
          <w:color w:val="auto"/>
          <w:sz w:val="24"/>
          <w:highlight w:val="none"/>
        </w:rPr>
      </w:pPr>
      <w:r>
        <w:rPr>
          <w:rFonts w:hint="eastAsia" w:ascii="宋体" w:hAnsi="宋体"/>
          <w:b/>
          <w:bCs/>
          <w:color w:val="auto"/>
          <w:sz w:val="24"/>
          <w:highlight w:val="none"/>
        </w:rPr>
        <w:t xml:space="preserve"> </w:t>
      </w:r>
      <w:bookmarkStart w:id="182" w:name="_Toc8087"/>
      <w:bookmarkStart w:id="183" w:name="_Toc9088"/>
      <w:bookmarkStart w:id="184" w:name="_Toc30463"/>
      <w:bookmarkStart w:id="185" w:name="_Toc28913"/>
      <w:bookmarkStart w:id="186" w:name="_Toc26953"/>
      <w:bookmarkStart w:id="187" w:name="_Toc29306"/>
      <w:r>
        <w:rPr>
          <w:rFonts w:hint="eastAsia" w:ascii="宋体" w:hAnsi="宋体"/>
          <w:b/>
          <w:bCs/>
          <w:color w:val="auto"/>
          <w:sz w:val="24"/>
          <w:highlight w:val="none"/>
        </w:rPr>
        <w:t>附件三 响应文件商务部分模板</w:t>
      </w:r>
      <w:bookmarkEnd w:id="179"/>
      <w:bookmarkEnd w:id="180"/>
      <w:bookmarkEnd w:id="181"/>
      <w:bookmarkEnd w:id="182"/>
      <w:bookmarkEnd w:id="183"/>
      <w:bookmarkEnd w:id="184"/>
      <w:bookmarkEnd w:id="185"/>
      <w:bookmarkEnd w:id="186"/>
      <w:bookmarkEnd w:id="187"/>
    </w:p>
    <w:p>
      <w:pPr>
        <w:keepNext/>
        <w:keepLines/>
        <w:spacing w:before="100" w:after="100"/>
        <w:jc w:val="center"/>
        <w:rPr>
          <w:rFonts w:ascii="宋体" w:hAnsi="宋体"/>
          <w:b/>
          <w:bCs/>
          <w:color w:val="auto"/>
          <w:spacing w:val="-20"/>
          <w:kern w:val="44"/>
          <w:sz w:val="40"/>
          <w:szCs w:val="40"/>
          <w:highlight w:val="none"/>
        </w:rPr>
      </w:pPr>
    </w:p>
    <w:p>
      <w:pPr>
        <w:keepNext/>
        <w:keepLines/>
        <w:spacing w:before="100" w:after="100"/>
        <w:jc w:val="center"/>
        <w:rPr>
          <w:rFonts w:ascii="宋体" w:hAnsi="宋体"/>
          <w:b/>
          <w:bCs/>
          <w:color w:val="auto"/>
          <w:spacing w:val="-20"/>
          <w:kern w:val="44"/>
          <w:sz w:val="40"/>
          <w:szCs w:val="40"/>
          <w:highlight w:val="none"/>
        </w:rPr>
      </w:pPr>
    </w:p>
    <w:p>
      <w:pPr>
        <w:keepNext/>
        <w:keepLines/>
        <w:spacing w:before="100" w:after="100"/>
        <w:jc w:val="center"/>
        <w:rPr>
          <w:rFonts w:ascii="宋体" w:hAnsi="宋体"/>
          <w:b/>
          <w:bCs/>
          <w:color w:val="auto"/>
          <w:spacing w:val="-20"/>
          <w:kern w:val="44"/>
          <w:sz w:val="52"/>
          <w:szCs w:val="52"/>
          <w:highlight w:val="none"/>
        </w:rPr>
      </w:pPr>
      <w:r>
        <w:rPr>
          <w:rFonts w:hint="eastAsia" w:ascii="宋体" w:hAnsi="宋体"/>
          <w:b/>
          <w:bCs/>
          <w:color w:val="auto"/>
          <w:spacing w:val="-20"/>
          <w:kern w:val="44"/>
          <w:sz w:val="52"/>
          <w:szCs w:val="52"/>
          <w:highlight w:val="none"/>
        </w:rPr>
        <w:t>2022年工信部数据字典项目</w:t>
      </w:r>
    </w:p>
    <w:p>
      <w:pPr>
        <w:keepNext/>
        <w:keepLines/>
        <w:spacing w:before="100" w:after="100"/>
        <w:jc w:val="center"/>
        <w:rPr>
          <w:rFonts w:ascii="宋体" w:hAnsi="宋体"/>
          <w:b/>
          <w:bCs/>
          <w:color w:val="auto"/>
          <w:spacing w:val="-20"/>
          <w:kern w:val="44"/>
          <w:sz w:val="52"/>
          <w:szCs w:val="52"/>
          <w:highlight w:val="none"/>
        </w:rPr>
      </w:pPr>
      <w:r>
        <w:rPr>
          <w:rFonts w:hint="eastAsia" w:ascii="宋体" w:hAnsi="宋体"/>
          <w:b/>
          <w:bCs/>
          <w:color w:val="auto"/>
          <w:spacing w:val="-20"/>
          <w:kern w:val="44"/>
          <w:sz w:val="52"/>
          <w:szCs w:val="52"/>
          <w:highlight w:val="none"/>
        </w:rPr>
        <w:t>TC220807A电力设备数据字典测试床的</w:t>
      </w:r>
    </w:p>
    <w:p>
      <w:pPr>
        <w:keepNext/>
        <w:keepLines/>
        <w:spacing w:before="100" w:after="100"/>
        <w:jc w:val="center"/>
        <w:rPr>
          <w:rFonts w:ascii="宋体" w:hAnsi="宋体"/>
          <w:b/>
          <w:bCs/>
          <w:color w:val="auto"/>
          <w:spacing w:val="-20"/>
          <w:kern w:val="44"/>
          <w:sz w:val="52"/>
          <w:szCs w:val="52"/>
          <w:highlight w:val="none"/>
        </w:rPr>
      </w:pPr>
      <w:r>
        <w:rPr>
          <w:rFonts w:hint="eastAsia" w:ascii="宋体" w:hAnsi="宋体"/>
          <w:b/>
          <w:bCs/>
          <w:color w:val="auto"/>
          <w:spacing w:val="-20"/>
          <w:kern w:val="44"/>
          <w:sz w:val="52"/>
          <w:szCs w:val="52"/>
          <w:highlight w:val="none"/>
        </w:rPr>
        <w:t>算法训练和测试设备采购</w:t>
      </w:r>
    </w:p>
    <w:p>
      <w:pPr>
        <w:keepNext/>
        <w:keepLines/>
        <w:spacing w:before="100" w:after="100"/>
        <w:jc w:val="center"/>
        <w:rPr>
          <w:rFonts w:ascii="宋体" w:hAnsi="宋体"/>
          <w:b/>
          <w:bCs/>
          <w:color w:val="auto"/>
          <w:kern w:val="44"/>
          <w:sz w:val="52"/>
          <w:szCs w:val="52"/>
          <w:highlight w:val="none"/>
        </w:rPr>
      </w:pPr>
      <w:r>
        <w:rPr>
          <w:rFonts w:hint="eastAsia" w:ascii="宋体" w:hAnsi="宋体"/>
          <w:b/>
          <w:bCs/>
          <w:color w:val="auto"/>
          <w:kern w:val="44"/>
          <w:sz w:val="52"/>
          <w:szCs w:val="52"/>
          <w:highlight w:val="none"/>
        </w:rPr>
        <w:t>响应文件</w:t>
      </w:r>
    </w:p>
    <w:p>
      <w:pPr>
        <w:keepNext/>
        <w:keepLines/>
        <w:spacing w:before="100" w:after="100"/>
        <w:jc w:val="center"/>
        <w:rPr>
          <w:rFonts w:ascii="宋体" w:hAnsi="宋体"/>
          <w:b/>
          <w:bCs/>
          <w:color w:val="auto"/>
          <w:kern w:val="44"/>
          <w:sz w:val="52"/>
          <w:szCs w:val="52"/>
          <w:highlight w:val="none"/>
        </w:rPr>
      </w:pPr>
      <w:r>
        <w:rPr>
          <w:rFonts w:hint="eastAsia" w:ascii="宋体" w:hAnsi="宋体"/>
          <w:b/>
          <w:bCs/>
          <w:color w:val="auto"/>
          <w:kern w:val="44"/>
          <w:sz w:val="52"/>
          <w:szCs w:val="52"/>
          <w:highlight w:val="none"/>
        </w:rPr>
        <w:t>（商务部分）</w:t>
      </w:r>
    </w:p>
    <w:p>
      <w:pPr>
        <w:jc w:val="center"/>
        <w:rPr>
          <w:rFonts w:ascii="宋体" w:hAnsi="宋体"/>
          <w:color w:val="auto"/>
          <w:sz w:val="28"/>
          <w:szCs w:val="28"/>
          <w:highlight w:val="none"/>
        </w:rPr>
      </w:pPr>
      <w:r>
        <w:rPr>
          <w:rFonts w:hint="eastAsia" w:ascii="宋体" w:hAnsi="宋体"/>
          <w:color w:val="auto"/>
          <w:sz w:val="28"/>
          <w:szCs w:val="28"/>
          <w:highlight w:val="none"/>
        </w:rPr>
        <w:t>询价单编号：</w:t>
      </w:r>
    </w:p>
    <w:p>
      <w:pPr>
        <w:jc w:val="center"/>
        <w:rPr>
          <w:rFonts w:ascii="宋体" w:hAnsi="宋体"/>
          <w:color w:val="auto"/>
          <w:sz w:val="28"/>
          <w:szCs w:val="28"/>
          <w:highlight w:val="none"/>
        </w:rPr>
      </w:pPr>
    </w:p>
    <w:p>
      <w:pPr>
        <w:jc w:val="center"/>
        <w:rPr>
          <w:rFonts w:ascii="宋体" w:hAnsi="宋体"/>
          <w:color w:val="auto"/>
          <w:sz w:val="28"/>
          <w:szCs w:val="28"/>
          <w:highlight w:val="none"/>
        </w:rPr>
      </w:pPr>
    </w:p>
    <w:p>
      <w:pPr>
        <w:jc w:val="center"/>
        <w:rPr>
          <w:rFonts w:ascii="宋体" w:hAnsi="宋体"/>
          <w:color w:val="auto"/>
          <w:sz w:val="28"/>
          <w:szCs w:val="28"/>
          <w:highlight w:val="none"/>
        </w:rPr>
      </w:pPr>
    </w:p>
    <w:p>
      <w:pPr>
        <w:jc w:val="center"/>
        <w:rPr>
          <w:rFonts w:ascii="宋体" w:hAnsi="宋体"/>
          <w:color w:val="auto"/>
          <w:sz w:val="28"/>
          <w:szCs w:val="28"/>
          <w:highlight w:val="none"/>
        </w:rPr>
      </w:pPr>
    </w:p>
    <w:p>
      <w:pPr>
        <w:jc w:val="center"/>
        <w:rPr>
          <w:rFonts w:ascii="宋体" w:hAnsi="宋体"/>
          <w:color w:val="auto"/>
          <w:sz w:val="28"/>
          <w:szCs w:val="28"/>
          <w:highlight w:val="none"/>
        </w:rPr>
      </w:pPr>
    </w:p>
    <w:p>
      <w:pPr>
        <w:jc w:val="center"/>
        <w:rPr>
          <w:rFonts w:ascii="宋体" w:hAnsi="宋体"/>
          <w:color w:val="auto"/>
          <w:sz w:val="28"/>
          <w:szCs w:val="28"/>
          <w:highlight w:val="none"/>
        </w:rPr>
      </w:pPr>
      <w:r>
        <w:rPr>
          <w:rFonts w:hint="eastAsia" w:ascii="宋体" w:hAnsi="宋体"/>
          <w:color w:val="auto"/>
          <w:sz w:val="28"/>
          <w:szCs w:val="28"/>
          <w:highlight w:val="none"/>
        </w:rPr>
        <w:t>报价人：</w:t>
      </w:r>
      <w:r>
        <w:rPr>
          <w:rFonts w:ascii="宋体" w:hAnsi="宋体"/>
          <w:color w:val="auto"/>
          <w:sz w:val="28"/>
          <w:szCs w:val="28"/>
          <w:highlight w:val="none"/>
        </w:rPr>
        <w:t xml:space="preserve">      </w:t>
      </w:r>
      <w:r>
        <w:rPr>
          <w:rFonts w:hint="eastAsia" w:ascii="宋体" w:hAnsi="宋体"/>
          <w:color w:val="auto"/>
          <w:sz w:val="28"/>
          <w:szCs w:val="28"/>
          <w:highlight w:val="none"/>
        </w:rPr>
        <w:t>（盖章）</w:t>
      </w:r>
    </w:p>
    <w:p>
      <w:pPr>
        <w:jc w:val="center"/>
        <w:rPr>
          <w:rFonts w:ascii="宋体" w:hAnsi="宋体"/>
          <w:color w:val="auto"/>
          <w:sz w:val="28"/>
          <w:szCs w:val="28"/>
          <w:highlight w:val="none"/>
        </w:rPr>
      </w:pPr>
      <w:r>
        <w:rPr>
          <w:rFonts w:hint="eastAsia" w:ascii="宋体" w:hAnsi="宋体"/>
          <w:color w:val="auto"/>
          <w:sz w:val="28"/>
          <w:szCs w:val="28"/>
          <w:highlight w:val="none"/>
        </w:rPr>
        <w:t>法定代表人或其委托代理人：      （签字或盖章）</w:t>
      </w:r>
    </w:p>
    <w:p>
      <w:pPr>
        <w:rPr>
          <w:rFonts w:ascii="宋体" w:hAnsi="宋体"/>
          <w:color w:val="auto"/>
          <w:sz w:val="28"/>
          <w:szCs w:val="28"/>
          <w:highlight w:val="none"/>
        </w:rPr>
      </w:pPr>
    </w:p>
    <w:p>
      <w:pPr>
        <w:jc w:val="center"/>
        <w:rPr>
          <w:rFonts w:ascii="宋体" w:hAnsi="宋体"/>
          <w:color w:val="auto"/>
          <w:sz w:val="28"/>
          <w:szCs w:val="28"/>
          <w:highlight w:val="none"/>
        </w:rPr>
        <w:sectPr>
          <w:headerReference r:id="rId6" w:type="default"/>
          <w:footerReference r:id="rId7" w:type="default"/>
          <w:pgSz w:w="11906" w:h="16838"/>
          <w:pgMar w:top="1418" w:right="1418" w:bottom="1418" w:left="1418" w:header="851" w:footer="992" w:gutter="0"/>
          <w:cols w:space="720" w:num="1"/>
          <w:docGrid w:type="lines" w:linePitch="312" w:charSpace="0"/>
        </w:sectPr>
      </w:pPr>
      <w:r>
        <w:rPr>
          <w:rFonts w:hint="eastAsia" w:ascii="宋体" w:hAnsi="宋体"/>
          <w:color w:val="auto"/>
          <w:sz w:val="28"/>
          <w:szCs w:val="28"/>
          <w:highlight w:val="none"/>
        </w:rPr>
        <w:t xml:space="preserve">年 </w:t>
      </w:r>
      <w:r>
        <w:rPr>
          <w:rFonts w:ascii="宋体" w:hAnsi="宋体"/>
          <w:color w:val="auto"/>
          <w:sz w:val="28"/>
          <w:szCs w:val="28"/>
          <w:highlight w:val="none"/>
        </w:rPr>
        <w:t xml:space="preserve"> </w:t>
      </w:r>
      <w:r>
        <w:rPr>
          <w:rFonts w:hint="eastAsia" w:ascii="宋体" w:hAnsi="宋体"/>
          <w:color w:val="auto"/>
          <w:sz w:val="28"/>
          <w:szCs w:val="28"/>
          <w:highlight w:val="none"/>
        </w:rPr>
        <w:t xml:space="preserve"> 月 </w:t>
      </w:r>
      <w:r>
        <w:rPr>
          <w:rFonts w:ascii="宋体" w:hAnsi="宋体"/>
          <w:color w:val="auto"/>
          <w:sz w:val="28"/>
          <w:szCs w:val="28"/>
          <w:highlight w:val="none"/>
        </w:rPr>
        <w:t xml:space="preserve"> </w:t>
      </w:r>
      <w:r>
        <w:rPr>
          <w:rFonts w:hint="eastAsia" w:ascii="宋体" w:hAnsi="宋体"/>
          <w:color w:val="auto"/>
          <w:sz w:val="28"/>
          <w:szCs w:val="28"/>
          <w:highlight w:val="none"/>
        </w:rPr>
        <w:t>日</w:t>
      </w:r>
    </w:p>
    <w:p>
      <w:pPr>
        <w:pStyle w:val="34"/>
        <w:ind w:firstLine="0" w:firstLineChars="0"/>
        <w:jc w:val="left"/>
        <w:outlineLvl w:val="1"/>
        <w:rPr>
          <w:rFonts w:cs="Arial"/>
          <w:color w:val="auto"/>
          <w:kern w:val="0"/>
          <w:highlight w:val="none"/>
        </w:rPr>
      </w:pPr>
      <w:bookmarkStart w:id="188" w:name="_Toc133413405"/>
      <w:bookmarkStart w:id="189" w:name="_Toc65865764"/>
      <w:bookmarkStart w:id="190" w:name="_Hlk74318874"/>
      <w:r>
        <w:rPr>
          <w:rFonts w:hint="eastAsia" w:ascii="Times New Roman" w:hAnsi="Times New Roman" w:cs="Times New Roman"/>
          <w:b/>
          <w:bCs/>
          <w:color w:val="auto"/>
          <w:kern w:val="44"/>
          <w:sz w:val="28"/>
          <w:szCs w:val="28"/>
          <w:highlight w:val="none"/>
        </w:rPr>
        <w:t>1、报价承诺函</w:t>
      </w:r>
      <w:bookmarkEnd w:id="188"/>
    </w:p>
    <w:p>
      <w:pPr>
        <w:jc w:val="center"/>
        <w:rPr>
          <w:rFonts w:ascii="宋体" w:hAnsi="宋体"/>
          <w:b/>
          <w:bCs/>
          <w:color w:val="auto"/>
          <w:sz w:val="28"/>
          <w:szCs w:val="28"/>
          <w:highlight w:val="none"/>
        </w:rPr>
      </w:pPr>
      <w:r>
        <w:rPr>
          <w:rFonts w:hint="eastAsia" w:ascii="宋体" w:hAnsi="宋体"/>
          <w:b/>
          <w:bCs/>
          <w:color w:val="auto"/>
          <w:sz w:val="28"/>
          <w:szCs w:val="28"/>
          <w:highlight w:val="none"/>
        </w:rPr>
        <w:t>报价</w:t>
      </w:r>
      <w:r>
        <w:rPr>
          <w:rFonts w:hint="eastAsia" w:ascii="宋体" w:hAnsi="宋体"/>
          <w:b/>
          <w:color w:val="auto"/>
          <w:sz w:val="28"/>
          <w:szCs w:val="28"/>
          <w:highlight w:val="none"/>
        </w:rPr>
        <w:t>承诺函</w:t>
      </w:r>
    </w:p>
    <w:p>
      <w:pPr>
        <w:ind w:firstLine="480" w:firstLineChars="200"/>
        <w:rPr>
          <w:rFonts w:ascii="宋体" w:hAnsi="宋体"/>
          <w:color w:val="auto"/>
          <w:sz w:val="24"/>
          <w:highlight w:val="none"/>
          <w:u w:val="single"/>
        </w:rPr>
      </w:pPr>
    </w:p>
    <w:p>
      <w:pPr>
        <w:spacing w:line="360" w:lineRule="auto"/>
        <w:rPr>
          <w:rFonts w:ascii="宋体" w:hAnsi="宋体"/>
          <w:color w:val="auto"/>
          <w:sz w:val="24"/>
          <w:highlight w:val="none"/>
          <w:u w:val="single"/>
        </w:rPr>
      </w:pPr>
      <w:r>
        <w:rPr>
          <w:rFonts w:ascii="宋体" w:hAnsi="宋体"/>
          <w:color w:val="auto"/>
          <w:sz w:val="24"/>
          <w:highlight w:val="none"/>
          <w:u w:val="single"/>
        </w:rPr>
        <w:t xml:space="preserve">           </w:t>
      </w:r>
      <w:r>
        <w:rPr>
          <w:rFonts w:hint="eastAsia" w:ascii="宋体" w:hAnsi="宋体"/>
          <w:color w:val="auto"/>
          <w:sz w:val="24"/>
          <w:highlight w:val="none"/>
          <w:u w:val="single"/>
        </w:rPr>
        <w:t>公司</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贵公司关于</w:t>
      </w:r>
      <w:r>
        <w:rPr>
          <w:rFonts w:ascii="宋体" w:hAnsi="宋体"/>
          <w:color w:val="auto"/>
          <w:sz w:val="24"/>
          <w:highlight w:val="none"/>
          <w:u w:val="single"/>
        </w:rPr>
        <w:t xml:space="preserve">          </w:t>
      </w:r>
      <w:r>
        <w:rPr>
          <w:rFonts w:hint="eastAsia" w:ascii="宋体" w:hAnsi="宋体"/>
          <w:color w:val="auto"/>
          <w:sz w:val="24"/>
          <w:highlight w:val="none"/>
          <w:u w:val="single"/>
        </w:rPr>
        <w:t>采购</w:t>
      </w:r>
      <w:r>
        <w:rPr>
          <w:rFonts w:hint="eastAsia" w:ascii="宋体" w:hAnsi="宋体"/>
          <w:color w:val="auto"/>
          <w:sz w:val="24"/>
          <w:highlight w:val="none"/>
        </w:rPr>
        <w:t>的采购文件（包括补充文件，如有）收悉，我们经详细审阅和研究决定参加本项目询价活动。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1.我公司愿按照采购文件中的条款、要求，提供所需的响应文件资料及一切相关的服务。</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2.如果我公司被授予合同，我们将以采购文件中的合同模板或满足贵公司要求的合同模板签订合同，并在合同签订之后规定的时间内完成规定的工作任务。</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我公司同意按照采购文件的规定，本响应文件的有效期为从递交响应文件截止日期起计算的120天，在此期间本响应文件将始终对我们具有约束力。如果我们被授予合同，本响应文件在此期间之后将继续保持有效，直至合同生效。</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4.我公司同意提供采购方要求的有关本次采购的所有资料。</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5.我公司理解，贵公司无义务必须接受且有权拒绝我公司的报价。</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w:t>
      </w:r>
      <w:r>
        <w:rPr>
          <w:rFonts w:hint="eastAsia" w:ascii="宋体" w:hAnsi="宋体"/>
          <w:color w:val="auto"/>
          <w:sz w:val="24"/>
          <w:highlight w:val="none"/>
        </w:rPr>
        <w:t>我公司声明响应文件中所有关于供应商资格的文件、证明、陈述均是真实的、准确的。若有违背，我公司承担由此而产生的一切后果。</w:t>
      </w: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报价人：（盖章）</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地址：</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邮编：</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电话：</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传真：</w:t>
      </w: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授权代表：</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 xml:space="preserve">（签字或盖章）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职务：</w:t>
      </w:r>
      <w:r>
        <w:rPr>
          <w:rFonts w:ascii="宋体" w:hAnsi="宋体"/>
          <w:color w:val="auto"/>
          <w:sz w:val="24"/>
          <w:highlight w:val="none"/>
          <w:u w:val="singl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日期：</w:t>
      </w:r>
      <w:r>
        <w:rPr>
          <w:rFonts w:hint="eastAsia" w:ascii="宋体" w:hAnsi="宋体" w:cs="Arial"/>
          <w:color w:val="auto"/>
          <w:kern w:val="0"/>
          <w:sz w:val="24"/>
          <w:highlight w:val="none"/>
          <w:u w:val="single"/>
        </w:rPr>
        <w:t xml:space="preserve">     </w:t>
      </w:r>
      <w:r>
        <w:rPr>
          <w:rFonts w:hint="eastAsia" w:ascii="宋体" w:hAnsi="宋体" w:cs="Arial"/>
          <w:color w:val="auto"/>
          <w:kern w:val="0"/>
          <w:sz w:val="24"/>
          <w:highlight w:val="none"/>
        </w:rPr>
        <w:t>年</w:t>
      </w:r>
      <w:r>
        <w:rPr>
          <w:rFonts w:hint="eastAsia" w:ascii="宋体" w:hAnsi="宋体" w:cs="Arial"/>
          <w:color w:val="auto"/>
          <w:kern w:val="0"/>
          <w:sz w:val="24"/>
          <w:highlight w:val="none"/>
          <w:u w:val="single"/>
        </w:rPr>
        <w:t xml:space="preserve">     </w:t>
      </w:r>
      <w:r>
        <w:rPr>
          <w:rFonts w:hint="eastAsia" w:ascii="宋体" w:hAnsi="宋体" w:cs="Arial"/>
          <w:color w:val="auto"/>
          <w:kern w:val="0"/>
          <w:sz w:val="24"/>
          <w:highlight w:val="none"/>
        </w:rPr>
        <w:t>月</w:t>
      </w:r>
      <w:r>
        <w:rPr>
          <w:rFonts w:hint="eastAsia" w:ascii="宋体" w:hAnsi="宋体" w:cs="Arial"/>
          <w:color w:val="auto"/>
          <w:kern w:val="0"/>
          <w:sz w:val="24"/>
          <w:highlight w:val="none"/>
          <w:u w:val="single"/>
        </w:rPr>
        <w:t xml:space="preserve">     </w:t>
      </w:r>
      <w:r>
        <w:rPr>
          <w:rFonts w:hint="eastAsia" w:ascii="宋体" w:hAnsi="宋体" w:cs="Arial"/>
          <w:color w:val="auto"/>
          <w:kern w:val="0"/>
          <w:sz w:val="24"/>
          <w:highlight w:val="none"/>
        </w:rPr>
        <w:t>日</w:t>
      </w:r>
    </w:p>
    <w:p>
      <w:pPr>
        <w:widowControl/>
        <w:jc w:val="left"/>
        <w:rPr>
          <w:rFonts w:ascii="宋体" w:hAnsi="宋体"/>
          <w:color w:val="auto"/>
          <w:highlight w:val="none"/>
        </w:rPr>
      </w:pPr>
      <w:r>
        <w:rPr>
          <w:rFonts w:ascii="宋体" w:hAnsi="宋体"/>
          <w:color w:val="auto"/>
          <w:highlight w:val="none"/>
        </w:rPr>
        <w:br w:type="page"/>
      </w:r>
    </w:p>
    <w:p>
      <w:pPr>
        <w:pStyle w:val="34"/>
        <w:ind w:firstLine="0" w:firstLineChars="0"/>
        <w:jc w:val="left"/>
        <w:outlineLvl w:val="1"/>
        <w:rPr>
          <w:rFonts w:cs="Times New Roman" w:asciiTheme="minorEastAsia" w:hAnsiTheme="minorEastAsia" w:eastAsiaTheme="minorEastAsia"/>
          <w:b/>
          <w:bCs/>
          <w:color w:val="auto"/>
          <w:kern w:val="44"/>
          <w:sz w:val="28"/>
          <w:szCs w:val="28"/>
          <w:highlight w:val="none"/>
        </w:rPr>
      </w:pPr>
      <w:bookmarkStart w:id="191" w:name="_Toc133413406"/>
      <w:r>
        <w:rPr>
          <w:rFonts w:cs="Times New Roman" w:asciiTheme="minorEastAsia" w:hAnsiTheme="minorEastAsia" w:eastAsiaTheme="minorEastAsia"/>
          <w:b/>
          <w:bCs/>
          <w:color w:val="auto"/>
          <w:kern w:val="44"/>
          <w:sz w:val="28"/>
          <w:szCs w:val="28"/>
          <w:highlight w:val="none"/>
        </w:rPr>
        <w:t>2</w:t>
      </w:r>
      <w:r>
        <w:rPr>
          <w:rFonts w:hint="eastAsia" w:cs="Times New Roman" w:asciiTheme="minorEastAsia" w:hAnsiTheme="minorEastAsia" w:eastAsiaTheme="minorEastAsia"/>
          <w:b/>
          <w:bCs/>
          <w:color w:val="auto"/>
          <w:kern w:val="44"/>
          <w:sz w:val="28"/>
          <w:szCs w:val="28"/>
          <w:highlight w:val="none"/>
        </w:rPr>
        <w:t>、授权委托书</w:t>
      </w:r>
      <w:bookmarkEnd w:id="191"/>
    </w:p>
    <w:p>
      <w:pPr>
        <w:ind w:firstLine="4857" w:firstLineChars="2016"/>
        <w:rPr>
          <w:b/>
          <w:bCs/>
          <w:color w:val="auto"/>
          <w:sz w:val="24"/>
          <w:highlight w:val="none"/>
        </w:rPr>
      </w:pPr>
    </w:p>
    <w:p>
      <w:pPr>
        <w:spacing w:line="360" w:lineRule="auto"/>
        <w:ind w:firstLine="480"/>
        <w:jc w:val="center"/>
        <w:rPr>
          <w:rFonts w:ascii="宋体" w:hAnsi="宋体"/>
          <w:b/>
          <w:color w:val="auto"/>
          <w:sz w:val="36"/>
          <w:szCs w:val="36"/>
          <w:highlight w:val="none"/>
        </w:rPr>
      </w:pPr>
      <w:r>
        <w:rPr>
          <w:rFonts w:hint="eastAsia" w:ascii="宋体" w:hAnsi="宋体"/>
          <w:b/>
          <w:color w:val="auto"/>
          <w:sz w:val="36"/>
          <w:szCs w:val="36"/>
          <w:highlight w:val="none"/>
        </w:rPr>
        <w:t>授 权 书</w:t>
      </w:r>
    </w:p>
    <w:p>
      <w:pPr>
        <w:spacing w:line="360" w:lineRule="auto"/>
        <w:rPr>
          <w:rFonts w:ascii="宋体" w:hAnsi="宋体"/>
          <w:bCs/>
          <w:color w:val="auto"/>
          <w:highlight w:val="none"/>
        </w:rPr>
      </w:pPr>
    </w:p>
    <w:p>
      <w:pPr>
        <w:spacing w:line="360" w:lineRule="auto"/>
        <w:rPr>
          <w:rFonts w:ascii="宋体" w:hAnsi="宋体"/>
          <w:bCs/>
          <w:color w:val="auto"/>
          <w:sz w:val="24"/>
          <w:highlight w:val="none"/>
        </w:rPr>
      </w:pPr>
      <w:r>
        <w:rPr>
          <w:rFonts w:hint="eastAsia" w:ascii="宋体" w:hAnsi="宋体"/>
          <w:bCs/>
          <w:color w:val="auto"/>
          <w:sz w:val="24"/>
          <w:highlight w:val="none"/>
          <w:u w:val="single"/>
        </w:rPr>
        <w:t xml:space="preserve"> </w:t>
      </w:r>
      <w:r>
        <w:rPr>
          <w:rFonts w:ascii="宋体" w:hAnsi="宋体"/>
          <w:bCs/>
          <w:color w:val="auto"/>
          <w:sz w:val="24"/>
          <w:highlight w:val="none"/>
          <w:u w:val="single"/>
        </w:rPr>
        <w:t xml:space="preserve">           </w:t>
      </w:r>
      <w:r>
        <w:rPr>
          <w:rFonts w:hint="eastAsia" w:ascii="宋体" w:hAnsi="宋体"/>
          <w:bCs/>
          <w:color w:val="auto"/>
          <w:sz w:val="24"/>
          <w:highlight w:val="none"/>
        </w:rPr>
        <w:t>公司：</w:t>
      </w:r>
    </w:p>
    <w:p>
      <w:pPr>
        <w:tabs>
          <w:tab w:val="left" w:pos="630"/>
        </w:tabs>
        <w:spacing w:line="360" w:lineRule="auto"/>
        <w:ind w:firstLine="480" w:firstLineChars="200"/>
        <w:jc w:val="left"/>
        <w:rPr>
          <w:color w:val="auto"/>
          <w:sz w:val="24"/>
          <w:highlight w:val="none"/>
        </w:rPr>
      </w:pPr>
      <w:r>
        <w:rPr>
          <w:rFonts w:hint="eastAsia"/>
          <w:color w:val="auto"/>
          <w:sz w:val="24"/>
          <w:highlight w:val="none"/>
          <w:u w:val="single"/>
        </w:rPr>
        <w:t>（报价人名称）</w:t>
      </w:r>
      <w:r>
        <w:rPr>
          <w:color w:val="auto"/>
          <w:sz w:val="24"/>
          <w:highlight w:val="none"/>
          <w:u w:val="single"/>
        </w:rPr>
        <w:t xml:space="preserve"> </w:t>
      </w:r>
      <w:r>
        <w:rPr>
          <w:rFonts w:hint="eastAsia"/>
          <w:color w:val="auto"/>
          <w:sz w:val="24"/>
          <w:highlight w:val="none"/>
        </w:rPr>
        <w:t>，中华人民共和国合法企业，法定地址</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rPr>
        <w:t>。</w:t>
      </w:r>
    </w:p>
    <w:p>
      <w:pPr>
        <w:tabs>
          <w:tab w:val="left" w:pos="420"/>
        </w:tabs>
        <w:spacing w:line="360" w:lineRule="auto"/>
        <w:rPr>
          <w:color w:val="auto"/>
          <w:sz w:val="24"/>
          <w:highlight w:val="none"/>
        </w:rPr>
      </w:pPr>
      <w:r>
        <w:rPr>
          <w:color w:val="auto"/>
          <w:sz w:val="24"/>
          <w:highlight w:val="none"/>
        </w:rPr>
        <w:tab/>
      </w:r>
      <w:r>
        <w:rPr>
          <w:rFonts w:hint="eastAsia"/>
          <w:color w:val="auto"/>
          <w:sz w:val="24"/>
          <w:highlight w:val="none"/>
          <w:u w:val="single"/>
        </w:rPr>
        <w:t>（授权人姓名）</w:t>
      </w:r>
      <w:r>
        <w:rPr>
          <w:rFonts w:hint="eastAsia"/>
          <w:color w:val="auto"/>
          <w:sz w:val="24"/>
          <w:highlight w:val="none"/>
        </w:rPr>
        <w:t>特授权</w:t>
      </w:r>
      <w:r>
        <w:rPr>
          <w:rFonts w:hint="eastAsia"/>
          <w:color w:val="auto"/>
          <w:sz w:val="24"/>
          <w:highlight w:val="none"/>
          <w:u w:val="single"/>
        </w:rPr>
        <w:t>（被授权人姓名）</w:t>
      </w:r>
      <w:r>
        <w:rPr>
          <w:rFonts w:hint="eastAsia"/>
          <w:color w:val="auto"/>
          <w:sz w:val="24"/>
          <w:highlight w:val="none"/>
        </w:rPr>
        <w:t>代表我公司全权办理针对上述项目的报价、谈判、签约等具体工作，并签署全部有关的文件、协议及合同。</w:t>
      </w:r>
    </w:p>
    <w:p>
      <w:pPr>
        <w:tabs>
          <w:tab w:val="left" w:pos="420"/>
        </w:tabs>
        <w:spacing w:line="360" w:lineRule="auto"/>
        <w:rPr>
          <w:color w:val="auto"/>
          <w:sz w:val="24"/>
          <w:highlight w:val="none"/>
        </w:rPr>
      </w:pPr>
      <w:r>
        <w:rPr>
          <w:color w:val="auto"/>
          <w:sz w:val="24"/>
          <w:highlight w:val="none"/>
        </w:rPr>
        <w:tab/>
      </w:r>
      <w:r>
        <w:rPr>
          <w:rFonts w:hint="eastAsia"/>
          <w:color w:val="auto"/>
          <w:sz w:val="24"/>
          <w:highlight w:val="none"/>
        </w:rPr>
        <w:t>我公司对被授权人的签名负全部责任。</w:t>
      </w:r>
    </w:p>
    <w:p>
      <w:pPr>
        <w:tabs>
          <w:tab w:val="left" w:pos="420"/>
        </w:tabs>
        <w:spacing w:line="360" w:lineRule="auto"/>
        <w:rPr>
          <w:color w:val="auto"/>
          <w:sz w:val="24"/>
          <w:highlight w:val="none"/>
        </w:rPr>
      </w:pPr>
      <w:r>
        <w:rPr>
          <w:color w:val="auto"/>
          <w:sz w:val="24"/>
          <w:highlight w:val="none"/>
        </w:rPr>
        <w:tab/>
      </w:r>
      <w:r>
        <w:rPr>
          <w:rFonts w:hint="eastAsia"/>
          <w:color w:val="auto"/>
          <w:sz w:val="24"/>
          <w:highlight w:val="none"/>
        </w:rPr>
        <w:t>在撤销授权的书面通知以前，本授权书一直有效。被授权人签署的所有文件（在授权书有效期内签署的）不因授权的撤消而失效。</w:t>
      </w:r>
    </w:p>
    <w:p>
      <w:pPr>
        <w:spacing w:line="360" w:lineRule="auto"/>
        <w:ind w:firstLine="480" w:firstLineChars="200"/>
        <w:rPr>
          <w:rFonts w:ascii="宋体" w:hAnsi="宋体"/>
          <w:bCs/>
          <w:color w:val="auto"/>
          <w:sz w:val="24"/>
          <w:highlight w:val="none"/>
        </w:rPr>
      </w:pPr>
    </w:p>
    <w:p>
      <w:pPr>
        <w:spacing w:line="360" w:lineRule="auto"/>
        <w:rPr>
          <w:rFonts w:ascii="宋体" w:hAnsi="宋体"/>
          <w:bCs/>
          <w:color w:val="auto"/>
          <w:sz w:val="24"/>
          <w:highlight w:val="none"/>
        </w:rPr>
      </w:pPr>
    </w:p>
    <w:p>
      <w:pPr>
        <w:spacing w:line="360" w:lineRule="auto"/>
        <w:ind w:firstLine="480"/>
        <w:rPr>
          <w:rFonts w:ascii="宋体" w:hAnsi="宋体"/>
          <w:bCs/>
          <w:color w:val="auto"/>
          <w:sz w:val="24"/>
          <w:highlight w:val="none"/>
        </w:rPr>
      </w:pPr>
      <w:r>
        <w:rPr>
          <w:rFonts w:hint="eastAsia" w:ascii="宋体" w:hAnsi="宋体"/>
          <w:bCs/>
          <w:color w:val="auto"/>
          <w:sz w:val="24"/>
          <w:highlight w:val="none"/>
        </w:rPr>
        <w:t>报价人（盖章）：</w:t>
      </w:r>
    </w:p>
    <w:p>
      <w:pPr>
        <w:spacing w:line="360" w:lineRule="auto"/>
        <w:ind w:firstLine="480"/>
        <w:rPr>
          <w:rFonts w:ascii="宋体" w:hAnsi="宋体"/>
          <w:bCs/>
          <w:color w:val="auto"/>
          <w:sz w:val="24"/>
          <w:highlight w:val="none"/>
        </w:rPr>
      </w:pPr>
    </w:p>
    <w:p>
      <w:pPr>
        <w:spacing w:line="360" w:lineRule="auto"/>
        <w:ind w:firstLine="480"/>
        <w:rPr>
          <w:rFonts w:ascii="宋体" w:hAnsi="宋体"/>
          <w:bCs/>
          <w:color w:val="auto"/>
          <w:sz w:val="24"/>
          <w:highlight w:val="none"/>
        </w:rPr>
      </w:pPr>
      <w:r>
        <w:rPr>
          <w:rFonts w:hint="eastAsia" w:ascii="宋体" w:hAnsi="宋体"/>
          <w:bCs/>
          <w:color w:val="auto"/>
          <w:sz w:val="24"/>
          <w:highlight w:val="none"/>
        </w:rPr>
        <w:t xml:space="preserve">法定代表人（签字或盖章）： </w:t>
      </w:r>
    </w:p>
    <w:p>
      <w:pPr>
        <w:spacing w:line="360" w:lineRule="auto"/>
        <w:rPr>
          <w:rFonts w:ascii="宋体" w:hAnsi="宋体"/>
          <w:bCs/>
          <w:color w:val="auto"/>
          <w:sz w:val="24"/>
          <w:highlight w:val="none"/>
        </w:rPr>
      </w:pPr>
    </w:p>
    <w:p>
      <w:pPr>
        <w:spacing w:line="360" w:lineRule="auto"/>
        <w:ind w:firstLine="480"/>
        <w:rPr>
          <w:rFonts w:ascii="宋体" w:hAnsi="宋体"/>
          <w:bCs/>
          <w:color w:val="auto"/>
          <w:sz w:val="24"/>
          <w:highlight w:val="none"/>
        </w:rPr>
      </w:pPr>
      <w:r>
        <w:rPr>
          <w:rFonts w:hint="eastAsia" w:ascii="宋体" w:hAnsi="宋体"/>
          <w:bCs/>
          <w:color w:val="auto"/>
          <w:sz w:val="24"/>
          <w:highlight w:val="none"/>
        </w:rPr>
        <w:t>公司授权代表(签字或盖章)：</w:t>
      </w:r>
    </w:p>
    <w:p>
      <w:pPr>
        <w:pStyle w:val="33"/>
        <w:rPr>
          <w:rFonts w:hAnsi="宋体"/>
          <w:bCs/>
          <w:color w:val="auto"/>
          <w:highlight w:val="none"/>
        </w:rPr>
      </w:pPr>
    </w:p>
    <w:p>
      <w:pPr>
        <w:spacing w:line="360" w:lineRule="auto"/>
        <w:ind w:firstLine="480"/>
        <w:rPr>
          <w:rFonts w:ascii="宋体" w:hAnsi="宋体"/>
          <w:bCs/>
          <w:color w:val="auto"/>
          <w:sz w:val="24"/>
          <w:highlight w:val="none"/>
        </w:rPr>
      </w:pPr>
      <w:r>
        <w:rPr>
          <w:rFonts w:hint="eastAsia" w:ascii="宋体" w:hAnsi="宋体"/>
          <w:bCs/>
          <w:color w:val="auto"/>
          <w:sz w:val="24"/>
          <w:highlight w:val="none"/>
        </w:rPr>
        <w:t xml:space="preserve">联系电话： </w:t>
      </w:r>
    </w:p>
    <w:p>
      <w:pPr>
        <w:spacing w:line="360" w:lineRule="auto"/>
        <w:rPr>
          <w:rFonts w:ascii="宋体" w:hAnsi="宋体"/>
          <w:bCs/>
          <w:color w:val="auto"/>
          <w:sz w:val="24"/>
          <w:highlight w:val="none"/>
        </w:rPr>
      </w:pPr>
    </w:p>
    <w:p>
      <w:pPr>
        <w:spacing w:line="360" w:lineRule="auto"/>
        <w:rPr>
          <w:rFonts w:ascii="宋体" w:hAnsi="宋体"/>
          <w:bCs/>
          <w:color w:val="auto"/>
          <w:sz w:val="24"/>
          <w:highlight w:val="none"/>
        </w:rPr>
      </w:pPr>
      <w:r>
        <w:rPr>
          <w:rFonts w:hint="eastAsia" w:ascii="宋体" w:hAnsi="宋体"/>
          <w:bCs/>
          <w:color w:val="auto"/>
          <w:sz w:val="24"/>
          <w:highlight w:val="none"/>
        </w:rPr>
        <w:t xml:space="preserve">                                  </w:t>
      </w:r>
    </w:p>
    <w:p>
      <w:pPr>
        <w:spacing w:line="360" w:lineRule="auto"/>
        <w:rPr>
          <w:rFonts w:ascii="宋体" w:hAnsi="宋体"/>
          <w:bCs/>
          <w:color w:val="auto"/>
          <w:sz w:val="24"/>
          <w:highlight w:val="none"/>
        </w:rPr>
      </w:pPr>
      <w:r>
        <w:rPr>
          <w:rFonts w:hint="eastAsia" w:ascii="宋体" w:hAnsi="宋体"/>
          <w:bCs/>
          <w:color w:val="auto"/>
          <w:sz w:val="24"/>
          <w:highlight w:val="none"/>
        </w:rPr>
        <w:t xml:space="preserve">                         日期：         年     月     日</w:t>
      </w:r>
    </w:p>
    <w:p>
      <w:pPr>
        <w:pStyle w:val="10"/>
        <w:rPr>
          <w:color w:val="auto"/>
          <w:highlight w:val="none"/>
        </w:rPr>
      </w:pPr>
    </w:p>
    <w:p>
      <w:pPr>
        <w:pStyle w:val="11"/>
        <w:ind w:firstLine="420"/>
        <w:rPr>
          <w:color w:val="auto"/>
          <w:highlight w:val="none"/>
        </w:rPr>
      </w:pPr>
    </w:p>
    <w:p>
      <w:pPr>
        <w:rPr>
          <w:color w:val="auto"/>
          <w:highlight w:val="none"/>
        </w:rPr>
      </w:pPr>
    </w:p>
    <w:p>
      <w:pPr>
        <w:spacing w:line="360" w:lineRule="auto"/>
        <w:jc w:val="left"/>
        <w:rPr>
          <w:rFonts w:ascii="宋体" w:hAnsi="宋体"/>
          <w:b/>
          <w:bCs/>
          <w:color w:val="auto"/>
          <w:sz w:val="24"/>
          <w:highlight w:val="none"/>
        </w:rPr>
      </w:pPr>
      <w:r>
        <w:rPr>
          <w:rFonts w:hint="eastAsia" w:ascii="宋体" w:hAnsi="宋体"/>
          <w:b/>
          <w:bCs/>
          <w:color w:val="auto"/>
          <w:sz w:val="24"/>
          <w:highlight w:val="none"/>
        </w:rPr>
        <w:t>请附：法人代表和被授权人的身份证（法人代表和被授权人为同一人的，请附法人身份证和公司营业执照）</w:t>
      </w:r>
    </w:p>
    <w:p>
      <w:pPr>
        <w:widowControl/>
        <w:jc w:val="left"/>
        <w:rPr>
          <w:rFonts w:ascii="宋体" w:hAnsi="宋体"/>
          <w:color w:val="auto"/>
          <w:highlight w:val="none"/>
        </w:rPr>
      </w:pPr>
    </w:p>
    <w:p>
      <w:pPr>
        <w:widowControl/>
        <w:jc w:val="left"/>
        <w:rPr>
          <w:color w:val="auto"/>
          <w:highlight w:val="none"/>
        </w:rPr>
        <w:sectPr>
          <w:headerReference r:id="rId8" w:type="default"/>
          <w:pgSz w:w="11906" w:h="16838"/>
          <w:pgMar w:top="1440" w:right="1588" w:bottom="1440" w:left="1588" w:header="720" w:footer="720" w:gutter="0"/>
          <w:cols w:space="720" w:num="1"/>
          <w:docGrid w:type="lines" w:linePitch="312" w:charSpace="0"/>
        </w:sectPr>
      </w:pPr>
      <w:r>
        <w:rPr>
          <w:color w:val="auto"/>
          <w:highlight w:val="none"/>
        </w:rPr>
        <w:br w:type="page"/>
      </w:r>
    </w:p>
    <w:p>
      <w:pPr>
        <w:pStyle w:val="34"/>
        <w:ind w:firstLine="0" w:firstLineChars="0"/>
        <w:jc w:val="left"/>
        <w:outlineLvl w:val="1"/>
        <w:rPr>
          <w:rFonts w:ascii="Times New Roman" w:hAnsi="Times New Roman" w:cs="Times New Roman"/>
          <w:b/>
          <w:bCs/>
          <w:color w:val="auto"/>
          <w:kern w:val="44"/>
          <w:sz w:val="28"/>
          <w:szCs w:val="28"/>
          <w:highlight w:val="none"/>
        </w:rPr>
      </w:pPr>
      <w:bookmarkStart w:id="192" w:name="_Toc133413407"/>
      <w:r>
        <w:rPr>
          <w:rFonts w:ascii="Times New Roman" w:hAnsi="Times New Roman" w:cs="Times New Roman"/>
          <w:b/>
          <w:bCs/>
          <w:color w:val="auto"/>
          <w:kern w:val="44"/>
          <w:sz w:val="28"/>
          <w:szCs w:val="28"/>
          <w:highlight w:val="none"/>
        </w:rPr>
        <w:t>3</w:t>
      </w:r>
      <w:r>
        <w:rPr>
          <w:rFonts w:hint="eastAsia" w:ascii="Times New Roman" w:hAnsi="Times New Roman" w:cs="Times New Roman"/>
          <w:b/>
          <w:bCs/>
          <w:color w:val="auto"/>
          <w:kern w:val="44"/>
          <w:sz w:val="28"/>
          <w:szCs w:val="28"/>
          <w:highlight w:val="none"/>
        </w:rPr>
        <w:t>、报价表</w:t>
      </w:r>
      <w:bookmarkEnd w:id="189"/>
      <w:bookmarkEnd w:id="192"/>
    </w:p>
    <w:bookmarkEnd w:id="190"/>
    <w:p>
      <w:pPr>
        <w:spacing w:line="360" w:lineRule="auto"/>
        <w:jc w:val="center"/>
        <w:rPr>
          <w:rFonts w:ascii="宋体" w:hAnsi="宋体"/>
          <w:b/>
          <w:bCs/>
          <w:color w:val="auto"/>
          <w:sz w:val="32"/>
          <w:szCs w:val="32"/>
          <w:highlight w:val="none"/>
        </w:rPr>
      </w:pPr>
      <w:bookmarkStart w:id="193" w:name="_Hlk133416933"/>
      <w:r>
        <w:rPr>
          <w:rFonts w:hint="eastAsia" w:ascii="宋体" w:hAnsi="宋体"/>
          <w:b/>
          <w:bCs/>
          <w:color w:val="auto"/>
          <w:sz w:val="32"/>
          <w:szCs w:val="32"/>
          <w:highlight w:val="none"/>
        </w:rPr>
        <w:t>报价表</w:t>
      </w:r>
    </w:p>
    <w:p>
      <w:pPr>
        <w:spacing w:line="360" w:lineRule="auto"/>
        <w:rPr>
          <w:rFonts w:ascii="宋体" w:hAnsi="宋体"/>
          <w:b/>
          <w:bCs/>
          <w:color w:val="auto"/>
          <w:sz w:val="24"/>
          <w:highlight w:val="none"/>
        </w:rPr>
      </w:pPr>
      <w:r>
        <w:rPr>
          <w:rFonts w:hint="eastAsia" w:ascii="宋体" w:hAnsi="宋体"/>
          <w:b/>
          <w:bCs/>
          <w:color w:val="auto"/>
          <w:sz w:val="24"/>
          <w:highlight w:val="none"/>
        </w:rPr>
        <w:t>1</w:t>
      </w:r>
      <w:r>
        <w:rPr>
          <w:rFonts w:ascii="宋体" w:hAnsi="宋体"/>
          <w:b/>
          <w:bCs/>
          <w:color w:val="auto"/>
          <w:sz w:val="24"/>
          <w:highlight w:val="none"/>
        </w:rPr>
        <w:t xml:space="preserve">. </w:t>
      </w:r>
      <w:r>
        <w:rPr>
          <w:rFonts w:hint="eastAsia" w:ascii="宋体" w:hAnsi="宋体"/>
          <w:b/>
          <w:bCs/>
          <w:color w:val="auto"/>
          <w:sz w:val="24"/>
          <w:highlight w:val="none"/>
        </w:rPr>
        <w:t>一般要求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1.1报价一览表为本项目的综合报价，一览表价格由《分项报价表》复合计算公式计算所得，计算公式如下：总报价=《分项报价表》各分项合计总价。</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1.2 当分项价之和与总价不符时，以分项价为准。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1.3 </w:t>
      </w:r>
      <w:r>
        <w:rPr>
          <w:rFonts w:ascii="宋体" w:hAnsi="宋体"/>
          <w:color w:val="auto"/>
          <w:sz w:val="24"/>
          <w:highlight w:val="none"/>
        </w:rPr>
        <w:t>价格表中报价为含税价</w:t>
      </w:r>
      <w:r>
        <w:rPr>
          <w:rFonts w:hint="eastAsia" w:ascii="宋体" w:hAnsi="宋体"/>
          <w:color w:val="auto"/>
          <w:sz w:val="24"/>
          <w:highlight w:val="none"/>
        </w:rPr>
        <w:t>，同时注明税率。报价包含报价人为完成本项目而应缴纳的各种赋税。</w:t>
      </w:r>
      <w:r>
        <w:rPr>
          <w:rFonts w:ascii="宋体" w:hAnsi="宋体"/>
          <w:color w:val="auto"/>
          <w:sz w:val="24"/>
          <w:highlight w:val="none"/>
        </w:rPr>
        <w:t>币种为人民币，进口部分也应以人民币报价。</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1.4 价格表中为闭口价。即在报价有效期和合同有效期内，如遇国家增值税税率政策调整，不含增值税金额不变，含增值税金额根据国家政策进行调整。</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1.5 报价应注明日期、有效期和法定代表人或其授权委托人的签章。</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 本次报价通过国家电投电子商务平台进行电子报价，响应文件盖章后以附件文件上传，具有法律效应，此报价的电子响应文件应与纸质盖章版内容一致。</w:t>
      </w:r>
    </w:p>
    <w:p>
      <w:pPr>
        <w:spacing w:line="360" w:lineRule="auto"/>
        <w:ind w:firstLine="480" w:firstLineChars="200"/>
        <w:rPr>
          <w:rFonts w:ascii="宋体" w:hAnsi="宋体"/>
          <w:b/>
          <w:bCs/>
          <w:color w:val="auto"/>
          <w:sz w:val="24"/>
          <w:highlight w:val="none"/>
        </w:rPr>
      </w:pPr>
      <w:r>
        <w:rPr>
          <w:rFonts w:hint="eastAsia" w:ascii="宋体" w:hAnsi="宋体"/>
          <w:color w:val="auto"/>
          <w:sz w:val="24"/>
          <w:highlight w:val="none"/>
        </w:rPr>
        <w:t>1.7 电子文件以网上开标的电子文件为准。分项报价以电子文件专用表单中填报的价格为准。</w:t>
      </w:r>
    </w:p>
    <w:p>
      <w:pPr>
        <w:spacing w:line="360" w:lineRule="auto"/>
        <w:rPr>
          <w:rFonts w:ascii="宋体" w:hAnsi="宋体"/>
          <w:b/>
          <w:bCs/>
          <w:color w:val="auto"/>
          <w:sz w:val="24"/>
          <w:highlight w:val="none"/>
        </w:rPr>
      </w:pPr>
      <w:r>
        <w:rPr>
          <w:rFonts w:hint="eastAsia" w:ascii="宋体" w:hAnsi="宋体"/>
          <w:b/>
          <w:bCs/>
          <w:color w:val="auto"/>
          <w:sz w:val="24"/>
          <w:highlight w:val="none"/>
        </w:rPr>
        <w:t>2．报价内容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报价人的报价应当是报价人在项目工期内完成本项目所需的全部费用。</w:t>
      </w: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交付地点：</w:t>
      </w:r>
      <w:r>
        <w:rPr>
          <w:rFonts w:hint="eastAsia" w:cs="宋体" w:asciiTheme="minorEastAsia" w:hAnsiTheme="minorEastAsia" w:eastAsiaTheme="minorEastAsia"/>
          <w:snapToGrid w:val="0"/>
          <w:color w:val="auto"/>
          <w:kern w:val="28"/>
          <w:sz w:val="24"/>
          <w:highlight w:val="none"/>
          <w:lang w:val="zh-CN"/>
        </w:rPr>
        <w:t>北京市昌平区北七家镇北七家东路9号院国家电投院内C座，国家电投集团数字科技有限公司</w:t>
      </w:r>
      <w:r>
        <w:rPr>
          <w:rFonts w:hint="eastAsia" w:ascii="宋体" w:hAnsi="宋体"/>
          <w:color w:val="auto"/>
          <w:sz w:val="24"/>
          <w:highlight w:val="none"/>
        </w:rPr>
        <w:t>。</w:t>
      </w:r>
    </w:p>
    <w:bookmarkEnd w:id="193"/>
    <w:p>
      <w:pPr>
        <w:pStyle w:val="65"/>
        <w:ind w:firstLine="0" w:firstLineChars="0"/>
        <w:rPr>
          <w:color w:val="auto"/>
          <w:highlight w:val="none"/>
        </w:rPr>
      </w:pPr>
      <w:bookmarkStart w:id="194" w:name="_Hlk133417672"/>
      <w:r>
        <w:rPr>
          <w:rFonts w:hint="eastAsia" w:ascii="宋体" w:hAnsi="宋体"/>
          <w:b/>
          <w:bCs/>
          <w:color w:val="auto"/>
          <w:highlight w:val="none"/>
        </w:rPr>
        <w:t>3.报价一览表</w:t>
      </w:r>
    </w:p>
    <w:p>
      <w:pPr>
        <w:widowControl/>
        <w:spacing w:before="100" w:beforeAutospacing="1" w:after="120" w:line="360" w:lineRule="auto"/>
        <w:jc w:val="left"/>
        <w:rPr>
          <w:rFonts w:ascii="宋体" w:hAnsi="宋体"/>
          <w:b/>
          <w:bCs/>
          <w:color w:val="auto"/>
          <w:sz w:val="24"/>
          <w:highlight w:val="none"/>
        </w:rPr>
      </w:pPr>
      <w:r>
        <w:rPr>
          <w:rFonts w:hint="eastAsia" w:ascii="宋体" w:hAnsi="宋体"/>
          <w:b/>
          <w:bCs/>
          <w:color w:val="auto"/>
          <w:sz w:val="24"/>
          <w:highlight w:val="none"/>
        </w:rPr>
        <w:t>项目名称：</w:t>
      </w:r>
      <w:r>
        <w:rPr>
          <w:rFonts w:ascii="宋体" w:hAnsi="宋体"/>
          <w:b/>
          <w:bCs/>
          <w:color w:val="auto"/>
          <w:sz w:val="24"/>
          <w:highlight w:val="none"/>
          <w:u w:val="single"/>
        </w:rPr>
        <w:t xml:space="preserve"> </w:t>
      </w:r>
      <w:r>
        <w:rPr>
          <w:rFonts w:hint="eastAsia" w:ascii="宋体" w:hAnsi="宋体"/>
          <w:b/>
          <w:bCs/>
          <w:color w:val="auto"/>
          <w:sz w:val="24"/>
          <w:highlight w:val="none"/>
          <w:u w:val="single"/>
        </w:rPr>
        <w:t>2022年工信部数据字典项目TC220807A电力设备数据字典测试床的算法训练和测试设备</w:t>
      </w:r>
      <w:r>
        <w:rPr>
          <w:rFonts w:ascii="宋体" w:hAnsi="宋体"/>
          <w:b/>
          <w:bCs/>
          <w:color w:val="auto"/>
          <w:sz w:val="24"/>
          <w:highlight w:val="none"/>
          <w:u w:val="single"/>
        </w:rPr>
        <w:t xml:space="preserve"> </w:t>
      </w:r>
      <w:r>
        <w:rPr>
          <w:rFonts w:hint="eastAsia" w:ascii="宋体" w:hAnsi="宋体"/>
          <w:b/>
          <w:bCs/>
          <w:color w:val="auto"/>
          <w:sz w:val="24"/>
          <w:highlight w:val="none"/>
        </w:rPr>
        <w:t xml:space="preserve">采购     </w:t>
      </w:r>
      <w:r>
        <w:rPr>
          <w:rFonts w:ascii="宋体" w:hAnsi="宋体"/>
          <w:b/>
          <w:bCs/>
          <w:color w:val="auto"/>
          <w:sz w:val="24"/>
          <w:highlight w:val="none"/>
        </w:rPr>
        <w:t xml:space="preserve"> </w:t>
      </w:r>
    </w:p>
    <w:p>
      <w:pPr>
        <w:widowControl/>
        <w:spacing w:before="100" w:beforeAutospacing="1" w:after="120" w:line="360" w:lineRule="auto"/>
        <w:jc w:val="left"/>
        <w:rPr>
          <w:rFonts w:ascii="宋体" w:hAnsi="宋体"/>
          <w:b/>
          <w:bCs/>
          <w:color w:val="auto"/>
          <w:sz w:val="24"/>
          <w:highlight w:val="none"/>
        </w:rPr>
      </w:pPr>
      <w:r>
        <w:rPr>
          <w:rFonts w:hint="eastAsia" w:ascii="宋体" w:hAnsi="宋体"/>
          <w:b/>
          <w:bCs/>
          <w:color w:val="auto"/>
          <w:sz w:val="24"/>
          <w:highlight w:val="none"/>
        </w:rPr>
        <w:t>询价单编号：</w:t>
      </w:r>
      <w:r>
        <w:rPr>
          <w:rFonts w:hint="eastAsia" w:ascii="宋体" w:hAnsi="宋体"/>
          <w:b/>
          <w:bCs/>
          <w:color w:val="auto"/>
          <w:sz w:val="24"/>
          <w:highlight w:val="none"/>
          <w:u w:val="single"/>
        </w:rPr>
        <w:t xml:space="preserve"> </w:t>
      </w:r>
      <w:r>
        <w:rPr>
          <w:rFonts w:ascii="宋体" w:hAnsi="宋体"/>
          <w:b/>
          <w:bCs/>
          <w:color w:val="auto"/>
          <w:sz w:val="24"/>
          <w:highlight w:val="none"/>
          <w:u w:val="single"/>
        </w:rPr>
        <w:t xml:space="preserve">               </w:t>
      </w:r>
      <w:r>
        <w:rPr>
          <w:rFonts w:hint="eastAsia" w:ascii="宋体" w:hAnsi="宋体"/>
          <w:b/>
          <w:bCs/>
          <w:color w:val="auto"/>
          <w:sz w:val="24"/>
          <w:highlight w:val="none"/>
        </w:rPr>
        <w:t xml:space="preserve">               </w:t>
      </w:r>
    </w:p>
    <w:p>
      <w:pPr>
        <w:jc w:val="left"/>
        <w:rPr>
          <w:rFonts w:ascii="Arial Narrow" w:hAnsi="Arial Narrow" w:cs="Arial"/>
          <w:bCs/>
          <w:color w:val="auto"/>
          <w:highlight w:val="none"/>
        </w:rPr>
      </w:pPr>
      <w:r>
        <w:rPr>
          <w:rFonts w:ascii="Arial Narrow" w:hAnsi="Arial Narrow" w:cs="Arial"/>
          <w:bCs/>
          <w:color w:val="auto"/>
          <w:highlight w:val="none"/>
        </w:rPr>
        <w:tab/>
      </w:r>
      <w:r>
        <w:rPr>
          <w:rFonts w:ascii="Arial Narrow" w:hAnsi="Arial Narrow" w:cs="Arial"/>
          <w:bCs/>
          <w:color w:val="auto"/>
          <w:highlight w:val="none"/>
        </w:rPr>
        <w:tab/>
      </w:r>
      <w:r>
        <w:rPr>
          <w:rFonts w:ascii="Arial Narrow" w:hAnsi="Arial Narrow" w:cs="Arial"/>
          <w:bCs/>
          <w:color w:val="auto"/>
          <w:highlight w:val="none"/>
        </w:rPr>
        <w:tab/>
      </w:r>
      <w:r>
        <w:rPr>
          <w:rFonts w:ascii="Arial Narrow" w:hAnsi="Arial Narrow" w:cs="Arial"/>
          <w:bCs/>
          <w:color w:val="auto"/>
          <w:highlight w:val="none"/>
        </w:rPr>
        <w:tab/>
      </w:r>
      <w:r>
        <w:rPr>
          <w:rFonts w:ascii="Arial Narrow" w:hAnsi="Arial Narrow" w:cs="Arial"/>
          <w:bCs/>
          <w:color w:val="auto"/>
          <w:highlight w:val="none"/>
        </w:rPr>
        <w:tab/>
      </w:r>
      <w:r>
        <w:rPr>
          <w:rFonts w:ascii="Arial Narrow" w:hAnsi="Arial Narrow" w:cs="Arial"/>
          <w:bCs/>
          <w:color w:val="auto"/>
          <w:highlight w:val="none"/>
        </w:rPr>
        <w:tab/>
      </w:r>
      <w:r>
        <w:rPr>
          <w:rFonts w:ascii="Arial Narrow" w:hAnsi="Arial Narrow" w:cs="Arial"/>
          <w:bCs/>
          <w:color w:val="auto"/>
          <w:highlight w:val="none"/>
        </w:rPr>
        <w:tab/>
      </w:r>
      <w:r>
        <w:rPr>
          <w:rFonts w:ascii="Arial Narrow" w:hAnsi="Arial Narrow" w:cs="Arial"/>
          <w:bCs/>
          <w:color w:val="auto"/>
          <w:highlight w:val="none"/>
        </w:rPr>
        <w:tab/>
      </w:r>
      <w:r>
        <w:rPr>
          <w:rFonts w:ascii="Arial Narrow" w:hAnsi="Arial Narrow" w:cs="Arial"/>
          <w:bCs/>
          <w:color w:val="auto"/>
          <w:highlight w:val="none"/>
        </w:rPr>
        <w:tab/>
      </w:r>
      <w:r>
        <w:rPr>
          <w:rFonts w:ascii="Arial Narrow" w:hAnsi="Arial Narrow" w:cs="Arial"/>
          <w:bCs/>
          <w:color w:val="auto"/>
          <w:highlight w:val="none"/>
        </w:rPr>
        <w:tab/>
      </w:r>
      <w:r>
        <w:rPr>
          <w:rFonts w:ascii="Arial Narrow" w:hAnsi="Arial Narrow" w:cs="Arial"/>
          <w:bCs/>
          <w:color w:val="auto"/>
          <w:highlight w:val="none"/>
        </w:rPr>
        <w:tab/>
      </w:r>
      <w:r>
        <w:rPr>
          <w:rFonts w:ascii="Arial Narrow" w:hAnsi="Arial Narrow" w:cs="Arial"/>
          <w:bCs/>
          <w:color w:val="auto"/>
          <w:highlight w:val="none"/>
        </w:rPr>
        <w:tab/>
      </w:r>
      <w:r>
        <w:rPr>
          <w:rFonts w:ascii="Arial Narrow" w:hAnsi="Arial Narrow" w:cs="Arial"/>
          <w:bCs/>
          <w:color w:val="auto"/>
          <w:highlight w:val="none"/>
        </w:rPr>
        <w:tab/>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4"/>
        <w:gridCol w:w="3967"/>
        <w:gridCol w:w="1566"/>
        <w:gridCol w:w="1566"/>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Align w:val="center"/>
          </w:tcPr>
          <w:p>
            <w:pPr>
              <w:adjustRightInd w:val="0"/>
              <w:snapToGrid w:val="0"/>
              <w:jc w:val="center"/>
              <w:rPr>
                <w:rFonts w:ascii="Arial Narrow" w:hAnsi="Arial Narrow" w:cs="Arial"/>
                <w:b/>
                <w:color w:val="auto"/>
                <w:highlight w:val="none"/>
              </w:rPr>
            </w:pPr>
            <w:r>
              <w:rPr>
                <w:rFonts w:hint="eastAsia" w:ascii="Arial Narrow" w:hAnsi="Arial Narrow" w:cs="Arial"/>
                <w:b/>
                <w:color w:val="auto"/>
                <w:highlight w:val="none"/>
              </w:rPr>
              <w:t>序号</w:t>
            </w:r>
          </w:p>
        </w:tc>
        <w:tc>
          <w:tcPr>
            <w:tcW w:w="2217" w:type="pct"/>
            <w:vAlign w:val="center"/>
          </w:tcPr>
          <w:p>
            <w:pPr>
              <w:widowControl/>
              <w:jc w:val="center"/>
              <w:textAlignment w:val="center"/>
              <w:rPr>
                <w:rFonts w:ascii="宋体" w:hAnsi="宋体"/>
                <w:b/>
                <w:bCs/>
                <w:color w:val="auto"/>
                <w:kern w:val="0"/>
                <w:szCs w:val="21"/>
                <w:highlight w:val="none"/>
                <w:lang w:bidi="ar"/>
              </w:rPr>
            </w:pPr>
            <w:r>
              <w:rPr>
                <w:rFonts w:ascii="Arial Narrow" w:hAnsi="Arial Narrow" w:cs="Arial"/>
                <w:b/>
                <w:color w:val="auto"/>
                <w:highlight w:val="none"/>
              </w:rPr>
              <w:t>项目名称</w:t>
            </w:r>
          </w:p>
        </w:tc>
        <w:tc>
          <w:tcPr>
            <w:tcW w:w="875" w:type="pct"/>
            <w:vAlign w:val="center"/>
          </w:tcPr>
          <w:p>
            <w:pPr>
              <w:widowControl/>
              <w:jc w:val="center"/>
              <w:textAlignment w:val="center"/>
              <w:rPr>
                <w:rFonts w:ascii="宋体" w:hAnsi="宋体"/>
                <w:b/>
                <w:bCs/>
                <w:color w:val="auto"/>
                <w:kern w:val="0"/>
                <w:szCs w:val="21"/>
                <w:highlight w:val="none"/>
                <w:lang w:bidi="ar"/>
              </w:rPr>
            </w:pPr>
            <w:r>
              <w:rPr>
                <w:rFonts w:hint="eastAsia" w:ascii="宋体" w:hAnsi="宋体"/>
                <w:b/>
                <w:bCs/>
                <w:color w:val="auto"/>
                <w:kern w:val="0"/>
                <w:szCs w:val="21"/>
                <w:highlight w:val="none"/>
                <w:lang w:bidi="ar"/>
              </w:rPr>
              <w:t>不含税总价（元）</w:t>
            </w:r>
          </w:p>
        </w:tc>
        <w:tc>
          <w:tcPr>
            <w:tcW w:w="875" w:type="pct"/>
            <w:vAlign w:val="center"/>
          </w:tcPr>
          <w:p>
            <w:pPr>
              <w:adjustRightInd w:val="0"/>
              <w:snapToGrid w:val="0"/>
              <w:jc w:val="center"/>
              <w:rPr>
                <w:rFonts w:ascii="Arial Narrow" w:hAnsi="Arial Narrow" w:cs="Arial"/>
                <w:b/>
                <w:color w:val="auto"/>
                <w:highlight w:val="none"/>
              </w:rPr>
            </w:pPr>
            <w:r>
              <w:rPr>
                <w:rFonts w:hint="eastAsia" w:ascii="Arial Narrow" w:hAnsi="Arial Narrow" w:cs="Arial"/>
                <w:b/>
                <w:color w:val="auto"/>
                <w:highlight w:val="none"/>
              </w:rPr>
              <w:t>含税总价</w:t>
            </w:r>
            <w:r>
              <w:rPr>
                <w:rFonts w:ascii="Arial Narrow" w:hAnsi="Arial Narrow" w:cs="Arial"/>
                <w:b/>
                <w:color w:val="auto"/>
                <w:highlight w:val="none"/>
              </w:rPr>
              <w:t>（</w:t>
            </w:r>
            <w:r>
              <w:rPr>
                <w:rFonts w:hint="eastAsia" w:ascii="Arial Narrow" w:hAnsi="Arial Narrow" w:cs="Arial"/>
                <w:b/>
                <w:color w:val="auto"/>
                <w:highlight w:val="none"/>
              </w:rPr>
              <w:t>元）</w:t>
            </w:r>
          </w:p>
        </w:tc>
        <w:tc>
          <w:tcPr>
            <w:tcW w:w="717" w:type="pct"/>
            <w:vAlign w:val="center"/>
          </w:tcPr>
          <w:p>
            <w:pPr>
              <w:adjustRightInd w:val="0"/>
              <w:snapToGrid w:val="0"/>
              <w:jc w:val="center"/>
              <w:rPr>
                <w:rFonts w:ascii="Arial Narrow" w:hAnsi="Arial Narrow" w:cs="Arial"/>
                <w:b/>
                <w:color w:val="auto"/>
                <w:highlight w:val="none"/>
              </w:rPr>
            </w:pPr>
            <w:r>
              <w:rPr>
                <w:rFonts w:ascii="Arial Narrow" w:hAnsi="Arial Narrow" w:cs="Arial"/>
                <w:b/>
                <w:color w:val="auto"/>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0" w:type="auto"/>
            <w:vAlign w:val="center"/>
          </w:tcPr>
          <w:p>
            <w:pPr>
              <w:adjustRightInd w:val="0"/>
              <w:snapToGrid w:val="0"/>
              <w:jc w:val="center"/>
              <w:rPr>
                <w:rFonts w:ascii="Arial Narrow" w:hAnsi="Arial Narrow"/>
                <w:bCs/>
                <w:color w:val="auto"/>
                <w:highlight w:val="none"/>
              </w:rPr>
            </w:pPr>
            <w:r>
              <w:rPr>
                <w:rFonts w:hint="eastAsia" w:ascii="Arial Narrow" w:hAnsi="Arial Narrow"/>
                <w:bCs/>
                <w:color w:val="auto"/>
                <w:highlight w:val="none"/>
              </w:rPr>
              <w:t>1</w:t>
            </w:r>
          </w:p>
        </w:tc>
        <w:tc>
          <w:tcPr>
            <w:tcW w:w="2217" w:type="pct"/>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2022年工信部数据字典项目TC220807A电力设备数据字典测试床的算法训练和测试设备</w:t>
            </w:r>
            <w:r>
              <w:rPr>
                <w:rFonts w:hint="eastAsia" w:ascii="宋体" w:hAnsi="宋体"/>
                <w:bCs w:val="0"/>
                <w:color w:val="auto"/>
                <w:szCs w:val="21"/>
                <w:highlight w:val="none"/>
              </w:rPr>
              <w:t>采购</w:t>
            </w:r>
          </w:p>
        </w:tc>
        <w:tc>
          <w:tcPr>
            <w:tcW w:w="875" w:type="pct"/>
            <w:vAlign w:val="center"/>
          </w:tcPr>
          <w:p>
            <w:pPr>
              <w:widowControl/>
              <w:jc w:val="center"/>
              <w:textAlignment w:val="center"/>
              <w:rPr>
                <w:rFonts w:ascii="宋体" w:hAnsi="宋体"/>
                <w:b/>
                <w:bCs/>
                <w:color w:val="auto"/>
                <w:kern w:val="0"/>
                <w:szCs w:val="21"/>
                <w:highlight w:val="none"/>
                <w:lang w:bidi="ar"/>
              </w:rPr>
            </w:pPr>
          </w:p>
        </w:tc>
        <w:tc>
          <w:tcPr>
            <w:tcW w:w="875" w:type="pct"/>
            <w:vAlign w:val="center"/>
          </w:tcPr>
          <w:p>
            <w:pPr>
              <w:adjustRightInd w:val="0"/>
              <w:snapToGrid w:val="0"/>
              <w:jc w:val="center"/>
              <w:rPr>
                <w:rFonts w:ascii="Arial Narrow" w:hAnsi="Arial Narrow"/>
                <w:color w:val="auto"/>
                <w:highlight w:val="none"/>
              </w:rPr>
            </w:pPr>
          </w:p>
        </w:tc>
        <w:tc>
          <w:tcPr>
            <w:tcW w:w="717" w:type="pct"/>
            <w:vAlign w:val="center"/>
          </w:tcPr>
          <w:p>
            <w:pPr>
              <w:adjustRightInd w:val="0"/>
              <w:snapToGrid w:val="0"/>
              <w:jc w:val="center"/>
              <w:rPr>
                <w:rFonts w:ascii="Arial Narrow" w:hAnsi="Arial Narrow"/>
                <w:color w:val="auto"/>
                <w:highlight w:val="none"/>
              </w:rPr>
            </w:pPr>
            <w:r>
              <w:rPr>
                <w:rFonts w:hint="eastAsia" w:ascii="Arial Narrow" w:hAnsi="Arial Narrow"/>
                <w:color w:val="auto"/>
                <w:highlight w:val="none"/>
              </w:rPr>
              <w:t>税率：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0" w:type="auto"/>
            <w:gridSpan w:val="5"/>
          </w:tcPr>
          <w:p>
            <w:pPr>
              <w:adjustRightInd w:val="0"/>
              <w:snapToGrid w:val="0"/>
              <w:ind w:left="420" w:hanging="420" w:hangingChars="200"/>
              <w:jc w:val="left"/>
              <w:rPr>
                <w:rFonts w:ascii="Arial Narrow" w:hAnsi="Arial Narrow" w:cs="Arial"/>
                <w:color w:val="auto"/>
                <w:highlight w:val="none"/>
              </w:rPr>
            </w:pPr>
            <w:r>
              <w:rPr>
                <w:rFonts w:hint="eastAsia" w:ascii="Arial Narrow" w:hAnsi="Arial Narrow" w:cs="Arial"/>
                <w:color w:val="auto"/>
                <w:highlight w:val="none"/>
              </w:rPr>
              <w:t>注：总价中</w:t>
            </w:r>
            <w:r>
              <w:rPr>
                <w:rFonts w:hint="eastAsia" w:ascii="宋体" w:hAnsi="宋体"/>
                <w:snapToGrid w:val="0"/>
                <w:color w:val="auto"/>
                <w:kern w:val="0"/>
                <w:szCs w:val="21"/>
                <w:highlight w:val="none"/>
              </w:rPr>
              <w:t>包含乙方为本采购项目提供设备过程中所需的全部费用，</w:t>
            </w:r>
            <w:r>
              <w:rPr>
                <w:rFonts w:hint="eastAsia" w:ascii="宋体" w:hAnsi="宋体"/>
                <w:color w:val="auto"/>
                <w:szCs w:val="21"/>
                <w:highlight w:val="none"/>
              </w:rPr>
              <w:t>包括但不限于交通费用、住宿费用、餐饮费用、项目补助费用、人工费、差旅费、值班倒班补助费用、现场经费、办公设备设施使用费、公司管理费、利润、保险、税费等费用。</w:t>
            </w:r>
          </w:p>
        </w:tc>
      </w:tr>
    </w:tbl>
    <w:p>
      <w:pPr>
        <w:pStyle w:val="11"/>
        <w:ind w:firstLine="420"/>
        <w:rPr>
          <w:color w:val="auto"/>
          <w:highlight w:val="none"/>
        </w:rPr>
      </w:pPr>
      <w:r>
        <w:rPr>
          <w:rFonts w:ascii="宋体" w:hAnsi="宋体"/>
          <w:color w:val="auto"/>
          <w:highlight w:val="none"/>
        </w:rPr>
        <w:t xml:space="preserve">     </w:t>
      </w:r>
      <w:bookmarkEnd w:id="194"/>
    </w:p>
    <w:p>
      <w:pPr>
        <w:pStyle w:val="65"/>
        <w:ind w:firstLine="0" w:firstLineChars="0"/>
        <w:rPr>
          <w:rFonts w:ascii="宋体" w:hAnsi="宋体"/>
          <w:b/>
          <w:bCs/>
          <w:color w:val="auto"/>
          <w:highlight w:val="none"/>
        </w:rPr>
      </w:pPr>
      <w:r>
        <w:rPr>
          <w:rFonts w:ascii="宋体" w:hAnsi="宋体"/>
          <w:b/>
          <w:bCs/>
          <w:color w:val="auto"/>
          <w:highlight w:val="none"/>
        </w:rPr>
        <w:t>4.</w:t>
      </w:r>
      <w:r>
        <w:rPr>
          <w:rFonts w:hint="eastAsia" w:ascii="宋体" w:hAnsi="宋体"/>
          <w:b/>
          <w:bCs/>
          <w:color w:val="auto"/>
          <w:highlight w:val="none"/>
        </w:rPr>
        <w:t>分项报价表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43"/>
        <w:gridCol w:w="1594"/>
        <w:gridCol w:w="1921"/>
        <w:gridCol w:w="615"/>
        <w:gridCol w:w="694"/>
        <w:gridCol w:w="1235"/>
        <w:gridCol w:w="1372"/>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405" w:type="dxa"/>
            <w:tcMar>
              <w:top w:w="15" w:type="dxa"/>
              <w:left w:w="15" w:type="dxa"/>
              <w:right w:w="15" w:type="dxa"/>
            </w:tcMar>
            <w:vAlign w:val="center"/>
          </w:tcPr>
          <w:p>
            <w:pPr>
              <w:widowControl/>
              <w:jc w:val="center"/>
              <w:textAlignment w:val="center"/>
              <w:rPr>
                <w:rFonts w:ascii="宋体" w:hAnsi="宋体"/>
                <w:b/>
                <w:bCs/>
                <w:color w:val="auto"/>
                <w:kern w:val="0"/>
                <w:szCs w:val="21"/>
                <w:highlight w:val="none"/>
                <w:lang w:bidi="ar"/>
              </w:rPr>
            </w:pPr>
            <w:r>
              <w:rPr>
                <w:rFonts w:hint="eastAsia" w:ascii="宋体" w:hAnsi="宋体"/>
                <w:b/>
                <w:bCs/>
                <w:color w:val="auto"/>
                <w:kern w:val="0"/>
                <w:szCs w:val="21"/>
                <w:highlight w:val="none"/>
                <w:lang w:bidi="ar"/>
              </w:rPr>
              <w:t>序号</w:t>
            </w:r>
          </w:p>
        </w:tc>
        <w:tc>
          <w:tcPr>
            <w:tcW w:w="1457" w:type="dxa"/>
            <w:tcMar>
              <w:top w:w="15" w:type="dxa"/>
              <w:left w:w="15" w:type="dxa"/>
              <w:right w:w="15" w:type="dxa"/>
            </w:tcMar>
            <w:vAlign w:val="center"/>
          </w:tcPr>
          <w:p>
            <w:pPr>
              <w:widowControl/>
              <w:jc w:val="center"/>
              <w:textAlignment w:val="center"/>
              <w:rPr>
                <w:rFonts w:ascii="宋体" w:hAnsi="宋体"/>
                <w:b/>
                <w:bCs/>
                <w:color w:val="auto"/>
                <w:kern w:val="0"/>
                <w:szCs w:val="21"/>
                <w:highlight w:val="none"/>
                <w:lang w:bidi="ar"/>
              </w:rPr>
            </w:pPr>
            <w:r>
              <w:rPr>
                <w:rFonts w:hint="eastAsia" w:ascii="宋体" w:hAnsi="宋体"/>
                <w:b/>
                <w:bCs/>
                <w:color w:val="auto"/>
                <w:kern w:val="0"/>
                <w:szCs w:val="21"/>
                <w:highlight w:val="none"/>
                <w:lang w:bidi="ar"/>
              </w:rPr>
              <w:t>设备名称</w:t>
            </w:r>
          </w:p>
        </w:tc>
        <w:tc>
          <w:tcPr>
            <w:tcW w:w="1755" w:type="dxa"/>
            <w:vAlign w:val="center"/>
          </w:tcPr>
          <w:p>
            <w:pPr>
              <w:widowControl/>
              <w:jc w:val="center"/>
              <w:textAlignment w:val="center"/>
              <w:rPr>
                <w:rFonts w:ascii="宋体" w:hAnsi="宋体"/>
                <w:b/>
                <w:bCs/>
                <w:color w:val="auto"/>
                <w:kern w:val="0"/>
                <w:szCs w:val="21"/>
                <w:highlight w:val="none"/>
                <w:lang w:bidi="ar"/>
              </w:rPr>
            </w:pPr>
            <w:r>
              <w:rPr>
                <w:rFonts w:hint="eastAsia" w:ascii="宋体" w:hAnsi="宋体"/>
                <w:b/>
                <w:bCs/>
                <w:color w:val="auto"/>
                <w:kern w:val="0"/>
                <w:szCs w:val="21"/>
                <w:highlight w:val="none"/>
                <w:lang w:bidi="ar"/>
              </w:rPr>
              <w:t>规格型号</w:t>
            </w:r>
          </w:p>
          <w:p>
            <w:pPr>
              <w:widowControl/>
              <w:jc w:val="center"/>
              <w:textAlignment w:val="center"/>
              <w:rPr>
                <w:rFonts w:ascii="宋体" w:hAnsi="宋体"/>
                <w:b/>
                <w:bCs/>
                <w:color w:val="auto"/>
                <w:kern w:val="0"/>
                <w:szCs w:val="21"/>
                <w:highlight w:val="none"/>
                <w:lang w:bidi="ar"/>
              </w:rPr>
            </w:pPr>
            <w:r>
              <w:rPr>
                <w:rFonts w:hint="eastAsia" w:ascii="宋体" w:hAnsi="宋体"/>
                <w:b/>
                <w:bCs/>
                <w:color w:val="auto"/>
                <w:kern w:val="0"/>
                <w:szCs w:val="21"/>
                <w:highlight w:val="none"/>
                <w:lang w:bidi="ar"/>
              </w:rPr>
              <w:t>（自行填写）</w:t>
            </w:r>
          </w:p>
        </w:tc>
        <w:tc>
          <w:tcPr>
            <w:tcW w:w="562" w:type="dxa"/>
            <w:vAlign w:val="center"/>
          </w:tcPr>
          <w:p>
            <w:pPr>
              <w:widowControl/>
              <w:jc w:val="center"/>
              <w:textAlignment w:val="center"/>
              <w:rPr>
                <w:rFonts w:ascii="宋体" w:hAnsi="宋体"/>
                <w:b/>
                <w:bCs/>
                <w:color w:val="auto"/>
                <w:kern w:val="0"/>
                <w:szCs w:val="21"/>
                <w:highlight w:val="none"/>
                <w:lang w:bidi="ar"/>
              </w:rPr>
            </w:pPr>
            <w:r>
              <w:rPr>
                <w:rFonts w:hint="eastAsia" w:ascii="宋体" w:hAnsi="宋体"/>
                <w:b/>
                <w:bCs/>
                <w:color w:val="auto"/>
                <w:kern w:val="0"/>
                <w:szCs w:val="21"/>
                <w:highlight w:val="none"/>
                <w:lang w:bidi="ar"/>
              </w:rPr>
              <w:t>单位</w:t>
            </w:r>
          </w:p>
        </w:tc>
        <w:tc>
          <w:tcPr>
            <w:tcW w:w="634" w:type="dxa"/>
            <w:vAlign w:val="center"/>
          </w:tcPr>
          <w:p>
            <w:pPr>
              <w:widowControl/>
              <w:jc w:val="center"/>
              <w:textAlignment w:val="center"/>
              <w:rPr>
                <w:rFonts w:ascii="宋体" w:hAnsi="宋体"/>
                <w:b/>
                <w:bCs/>
                <w:color w:val="auto"/>
                <w:kern w:val="0"/>
                <w:szCs w:val="21"/>
                <w:highlight w:val="none"/>
                <w:lang w:bidi="ar"/>
              </w:rPr>
            </w:pPr>
            <w:r>
              <w:rPr>
                <w:rFonts w:hint="eastAsia" w:ascii="宋体" w:hAnsi="宋体"/>
                <w:b/>
                <w:bCs/>
                <w:color w:val="auto"/>
                <w:kern w:val="0"/>
                <w:szCs w:val="21"/>
                <w:highlight w:val="none"/>
                <w:lang w:bidi="ar"/>
              </w:rPr>
              <w:t>数量</w:t>
            </w:r>
          </w:p>
        </w:tc>
        <w:tc>
          <w:tcPr>
            <w:tcW w:w="1129" w:type="dxa"/>
            <w:vAlign w:val="center"/>
          </w:tcPr>
          <w:p>
            <w:pPr>
              <w:widowControl/>
              <w:jc w:val="center"/>
              <w:textAlignment w:val="center"/>
              <w:rPr>
                <w:rFonts w:ascii="宋体" w:hAnsi="宋体"/>
                <w:b/>
                <w:bCs/>
                <w:color w:val="auto"/>
                <w:kern w:val="0"/>
                <w:szCs w:val="21"/>
                <w:highlight w:val="none"/>
                <w:lang w:bidi="ar"/>
              </w:rPr>
            </w:pPr>
            <w:r>
              <w:rPr>
                <w:rFonts w:hint="eastAsia" w:ascii="宋体" w:hAnsi="宋体"/>
                <w:b/>
                <w:bCs/>
                <w:color w:val="auto"/>
                <w:kern w:val="0"/>
                <w:szCs w:val="21"/>
                <w:highlight w:val="none"/>
                <w:lang w:bidi="ar"/>
              </w:rPr>
              <w:t>单价（元）</w:t>
            </w:r>
          </w:p>
        </w:tc>
        <w:tc>
          <w:tcPr>
            <w:tcW w:w="1254" w:type="dxa"/>
            <w:vAlign w:val="center"/>
          </w:tcPr>
          <w:p>
            <w:pPr>
              <w:widowControl/>
              <w:jc w:val="center"/>
              <w:textAlignment w:val="center"/>
              <w:rPr>
                <w:rFonts w:ascii="宋体" w:hAnsi="宋体"/>
                <w:b/>
                <w:bCs/>
                <w:color w:val="auto"/>
                <w:kern w:val="0"/>
                <w:szCs w:val="21"/>
                <w:highlight w:val="none"/>
                <w:lang w:bidi="ar"/>
              </w:rPr>
            </w:pPr>
            <w:r>
              <w:rPr>
                <w:rFonts w:hint="eastAsia" w:ascii="宋体" w:hAnsi="宋体"/>
                <w:b/>
                <w:bCs/>
                <w:color w:val="auto"/>
                <w:kern w:val="0"/>
                <w:szCs w:val="21"/>
                <w:highlight w:val="none"/>
                <w:lang w:bidi="ar"/>
              </w:rPr>
              <w:t>价格小计（元）</w:t>
            </w:r>
          </w:p>
        </w:tc>
        <w:tc>
          <w:tcPr>
            <w:tcW w:w="809" w:type="dxa"/>
            <w:tcMar>
              <w:top w:w="15" w:type="dxa"/>
              <w:left w:w="15" w:type="dxa"/>
              <w:right w:w="15" w:type="dxa"/>
            </w:tcMar>
            <w:vAlign w:val="center"/>
          </w:tcPr>
          <w:p>
            <w:pPr>
              <w:widowControl/>
              <w:tabs>
                <w:tab w:val="left" w:pos="467"/>
              </w:tabs>
              <w:jc w:val="center"/>
              <w:textAlignment w:val="center"/>
              <w:rPr>
                <w:rFonts w:ascii="宋体" w:hAnsi="宋体"/>
                <w:b/>
                <w:bCs/>
                <w:color w:val="auto"/>
                <w:kern w:val="0"/>
                <w:szCs w:val="21"/>
                <w:highlight w:val="none"/>
                <w:lang w:bidi="ar"/>
              </w:rPr>
            </w:pPr>
            <w:r>
              <w:rPr>
                <w:rFonts w:hint="eastAsia" w:ascii="宋体" w:hAnsi="宋体"/>
                <w:b/>
                <w:bCs/>
                <w:color w:val="auto"/>
                <w:kern w:val="0"/>
                <w:szCs w:val="21"/>
                <w:highlight w:val="none"/>
                <w:lang w:bidi="ar"/>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 w:hRule="atLeast"/>
          <w:jc w:val="center"/>
        </w:trPr>
        <w:tc>
          <w:tcPr>
            <w:tcW w:w="405" w:type="dxa"/>
            <w:tcMar>
              <w:top w:w="15" w:type="dxa"/>
              <w:left w:w="15" w:type="dxa"/>
              <w:right w:w="15" w:type="dxa"/>
            </w:tcMar>
            <w:vAlign w:val="center"/>
          </w:tcPr>
          <w:p>
            <w:pPr>
              <w:widowControl/>
              <w:jc w:val="center"/>
              <w:textAlignment w:val="center"/>
              <w:rPr>
                <w:rFonts w:ascii="宋体" w:hAnsi="宋体"/>
                <w:color w:val="auto"/>
                <w:kern w:val="0"/>
                <w:szCs w:val="21"/>
                <w:highlight w:val="none"/>
                <w:lang w:bidi="ar"/>
              </w:rPr>
            </w:pPr>
            <w:r>
              <w:rPr>
                <w:rFonts w:hint="eastAsia" w:ascii="宋体" w:hAnsi="宋体"/>
                <w:color w:val="auto"/>
                <w:kern w:val="0"/>
                <w:szCs w:val="21"/>
                <w:highlight w:val="none"/>
                <w:lang w:bidi="ar"/>
              </w:rPr>
              <w:t>1</w:t>
            </w:r>
          </w:p>
        </w:tc>
        <w:tc>
          <w:tcPr>
            <w:tcW w:w="1457" w:type="dxa"/>
            <w:tcMar>
              <w:top w:w="15" w:type="dxa"/>
              <w:left w:w="15" w:type="dxa"/>
              <w:right w:w="15" w:type="dxa"/>
            </w:tcMar>
            <w:vAlign w:val="center"/>
          </w:tcPr>
          <w:p>
            <w:pPr>
              <w:widowControl/>
              <w:jc w:val="center"/>
              <w:textAlignment w:val="center"/>
              <w:rPr>
                <w:rFonts w:ascii="宋体" w:hAnsi="宋体"/>
                <w:color w:val="auto"/>
                <w:kern w:val="0"/>
                <w:szCs w:val="21"/>
                <w:highlight w:val="none"/>
                <w:lang w:bidi="ar"/>
              </w:rPr>
            </w:pPr>
            <w:r>
              <w:rPr>
                <w:rFonts w:hint="eastAsia" w:ascii="宋体" w:hAnsi="宋体" w:eastAsia="宋体"/>
                <w:color w:val="auto"/>
                <w:kern w:val="0"/>
                <w:sz w:val="21"/>
                <w:szCs w:val="21"/>
                <w:highlight w:val="none"/>
                <w:lang w:bidi="ar"/>
              </w:rPr>
              <w:t>塔式工作站</w:t>
            </w:r>
          </w:p>
        </w:tc>
        <w:tc>
          <w:tcPr>
            <w:tcW w:w="1755" w:type="dxa"/>
            <w:vAlign w:val="center"/>
          </w:tcPr>
          <w:p>
            <w:pPr>
              <w:widowControl/>
              <w:jc w:val="center"/>
              <w:textAlignment w:val="center"/>
              <w:rPr>
                <w:rFonts w:ascii="宋体" w:hAnsi="宋体"/>
                <w:color w:val="auto"/>
                <w:kern w:val="0"/>
                <w:szCs w:val="21"/>
                <w:highlight w:val="none"/>
                <w:lang w:bidi="ar"/>
              </w:rPr>
            </w:pPr>
          </w:p>
        </w:tc>
        <w:tc>
          <w:tcPr>
            <w:tcW w:w="562" w:type="dxa"/>
            <w:vAlign w:val="center"/>
          </w:tcPr>
          <w:p>
            <w:pPr>
              <w:widowControl/>
              <w:jc w:val="center"/>
              <w:textAlignment w:val="center"/>
              <w:rPr>
                <w:rFonts w:ascii="宋体" w:hAnsi="宋体"/>
                <w:color w:val="auto"/>
                <w:kern w:val="0"/>
                <w:szCs w:val="21"/>
                <w:highlight w:val="none"/>
                <w:lang w:bidi="ar"/>
              </w:rPr>
            </w:pPr>
            <w:r>
              <w:rPr>
                <w:rFonts w:hint="eastAsia" w:ascii="宋体" w:hAnsi="宋体"/>
                <w:color w:val="auto"/>
                <w:kern w:val="0"/>
                <w:szCs w:val="21"/>
                <w:highlight w:val="none"/>
                <w:lang w:bidi="ar"/>
              </w:rPr>
              <w:t>台</w:t>
            </w:r>
          </w:p>
        </w:tc>
        <w:tc>
          <w:tcPr>
            <w:tcW w:w="634" w:type="dxa"/>
            <w:vAlign w:val="center"/>
          </w:tcPr>
          <w:p>
            <w:pPr>
              <w:widowControl/>
              <w:jc w:val="center"/>
              <w:textAlignment w:val="center"/>
              <w:rPr>
                <w:rFonts w:ascii="宋体" w:hAnsi="宋体"/>
                <w:color w:val="auto"/>
                <w:kern w:val="0"/>
                <w:szCs w:val="21"/>
                <w:highlight w:val="none"/>
                <w:lang w:bidi="ar"/>
              </w:rPr>
            </w:pPr>
            <w:r>
              <w:rPr>
                <w:rFonts w:hint="eastAsia" w:ascii="宋体" w:hAnsi="宋体"/>
                <w:color w:val="auto"/>
                <w:kern w:val="0"/>
                <w:szCs w:val="21"/>
                <w:highlight w:val="none"/>
                <w:lang w:bidi="ar"/>
              </w:rPr>
              <w:t>6</w:t>
            </w:r>
          </w:p>
        </w:tc>
        <w:tc>
          <w:tcPr>
            <w:tcW w:w="1129" w:type="dxa"/>
            <w:vAlign w:val="center"/>
          </w:tcPr>
          <w:p>
            <w:pPr>
              <w:widowControl/>
              <w:jc w:val="center"/>
              <w:textAlignment w:val="center"/>
              <w:rPr>
                <w:rFonts w:ascii="宋体" w:hAnsi="宋体" w:cs="宋体"/>
                <w:color w:val="auto"/>
                <w:kern w:val="0"/>
                <w:szCs w:val="21"/>
                <w:highlight w:val="none"/>
                <w:lang w:bidi="ar"/>
              </w:rPr>
            </w:pPr>
          </w:p>
        </w:tc>
        <w:tc>
          <w:tcPr>
            <w:tcW w:w="1254" w:type="dxa"/>
            <w:vAlign w:val="center"/>
          </w:tcPr>
          <w:p>
            <w:pPr>
              <w:widowControl/>
              <w:jc w:val="center"/>
              <w:textAlignment w:val="center"/>
              <w:rPr>
                <w:rFonts w:ascii="宋体" w:hAnsi="宋体" w:cs="宋体"/>
                <w:color w:val="auto"/>
                <w:kern w:val="0"/>
                <w:szCs w:val="21"/>
                <w:highlight w:val="none"/>
                <w:lang w:bidi="ar"/>
              </w:rPr>
            </w:pPr>
          </w:p>
        </w:tc>
        <w:tc>
          <w:tcPr>
            <w:tcW w:w="809" w:type="dxa"/>
            <w:tcMar>
              <w:top w:w="15" w:type="dxa"/>
              <w:left w:w="15" w:type="dxa"/>
              <w:right w:w="15" w:type="dxa"/>
            </w:tcMar>
            <w:vAlign w:val="center"/>
          </w:tcPr>
          <w:p>
            <w:pPr>
              <w:widowControl/>
              <w:jc w:val="center"/>
              <w:textAlignment w:val="center"/>
              <w:rPr>
                <w:rFonts w:ascii="宋体" w:hAnsi="宋体"/>
                <w:b/>
                <w:color w:val="auto"/>
                <w:kern w:val="0"/>
                <w:szCs w:val="21"/>
                <w:highlight w:val="none"/>
                <w:lang w:bidi="ar"/>
              </w:rPr>
            </w:pPr>
            <w:r>
              <w:rPr>
                <w:rFonts w:hint="eastAsia" w:ascii="Arial Narrow" w:hAnsi="Arial Narrow"/>
                <w:color w:val="auto"/>
                <w:highlight w:val="none"/>
                <w:lang w:val="en-US" w:eastAsia="zh-CN"/>
              </w:rPr>
              <w:t xml:space="preserve">  </w:t>
            </w:r>
            <w:r>
              <w:rPr>
                <w:rFonts w:hint="eastAsia" w:ascii="Arial Narrow" w:hAnsi="Arial Narrow"/>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 w:hRule="atLeast"/>
          <w:jc w:val="center"/>
        </w:trPr>
        <w:tc>
          <w:tcPr>
            <w:tcW w:w="405" w:type="dxa"/>
            <w:tcMar>
              <w:top w:w="15" w:type="dxa"/>
              <w:left w:w="15" w:type="dxa"/>
              <w:right w:w="15" w:type="dxa"/>
            </w:tcMar>
            <w:vAlign w:val="center"/>
          </w:tcPr>
          <w:p>
            <w:pPr>
              <w:widowControl/>
              <w:jc w:val="center"/>
              <w:textAlignment w:val="center"/>
              <w:rPr>
                <w:rFonts w:ascii="宋体" w:hAnsi="宋体"/>
                <w:b/>
                <w:color w:val="auto"/>
                <w:kern w:val="0"/>
                <w:szCs w:val="21"/>
                <w:highlight w:val="none"/>
                <w:lang w:bidi="ar"/>
              </w:rPr>
            </w:pPr>
          </w:p>
        </w:tc>
        <w:tc>
          <w:tcPr>
            <w:tcW w:w="1457" w:type="dxa"/>
            <w:tcMar>
              <w:top w:w="15" w:type="dxa"/>
              <w:left w:w="15" w:type="dxa"/>
              <w:right w:w="15" w:type="dxa"/>
            </w:tcMar>
            <w:vAlign w:val="center"/>
          </w:tcPr>
          <w:p>
            <w:pPr>
              <w:widowControl/>
              <w:jc w:val="center"/>
              <w:textAlignment w:val="center"/>
              <w:rPr>
                <w:rFonts w:ascii="宋体" w:hAnsi="宋体"/>
                <w:color w:val="auto"/>
                <w:kern w:val="0"/>
                <w:szCs w:val="21"/>
                <w:highlight w:val="none"/>
                <w:lang w:bidi="ar"/>
              </w:rPr>
            </w:pPr>
            <w:r>
              <w:rPr>
                <w:rFonts w:hint="eastAsia" w:ascii="宋体" w:hAnsi="宋体"/>
                <w:b/>
                <w:color w:val="auto"/>
                <w:kern w:val="0"/>
                <w:szCs w:val="21"/>
                <w:highlight w:val="none"/>
                <w:lang w:bidi="ar"/>
              </w:rPr>
              <w:t>合计（元）</w:t>
            </w:r>
          </w:p>
        </w:tc>
        <w:tc>
          <w:tcPr>
            <w:tcW w:w="1755" w:type="dxa"/>
          </w:tcPr>
          <w:p>
            <w:pPr>
              <w:widowControl/>
              <w:jc w:val="center"/>
              <w:textAlignment w:val="center"/>
              <w:rPr>
                <w:rFonts w:ascii="宋体" w:hAnsi="宋体"/>
                <w:b/>
                <w:color w:val="auto"/>
                <w:kern w:val="0"/>
                <w:szCs w:val="21"/>
                <w:highlight w:val="none"/>
                <w:lang w:bidi="ar"/>
              </w:rPr>
            </w:pPr>
          </w:p>
        </w:tc>
        <w:tc>
          <w:tcPr>
            <w:tcW w:w="562" w:type="dxa"/>
          </w:tcPr>
          <w:p>
            <w:pPr>
              <w:widowControl/>
              <w:jc w:val="center"/>
              <w:textAlignment w:val="center"/>
              <w:rPr>
                <w:rFonts w:ascii="宋体" w:hAnsi="宋体"/>
                <w:b/>
                <w:color w:val="auto"/>
                <w:kern w:val="0"/>
                <w:szCs w:val="21"/>
                <w:highlight w:val="none"/>
                <w:lang w:bidi="ar"/>
              </w:rPr>
            </w:pPr>
          </w:p>
        </w:tc>
        <w:tc>
          <w:tcPr>
            <w:tcW w:w="634" w:type="dxa"/>
          </w:tcPr>
          <w:p>
            <w:pPr>
              <w:widowControl/>
              <w:jc w:val="center"/>
              <w:textAlignment w:val="center"/>
              <w:rPr>
                <w:rFonts w:ascii="宋体" w:hAnsi="宋体"/>
                <w:b/>
                <w:color w:val="auto"/>
                <w:kern w:val="0"/>
                <w:szCs w:val="21"/>
                <w:highlight w:val="none"/>
                <w:lang w:bidi="ar"/>
              </w:rPr>
            </w:pPr>
          </w:p>
        </w:tc>
        <w:tc>
          <w:tcPr>
            <w:tcW w:w="1129" w:type="dxa"/>
          </w:tcPr>
          <w:p>
            <w:pPr>
              <w:widowControl/>
              <w:jc w:val="center"/>
              <w:textAlignment w:val="center"/>
              <w:rPr>
                <w:rFonts w:ascii="宋体" w:hAnsi="宋体"/>
                <w:b/>
                <w:color w:val="auto"/>
                <w:kern w:val="0"/>
                <w:szCs w:val="21"/>
                <w:highlight w:val="none"/>
                <w:lang w:bidi="ar"/>
              </w:rPr>
            </w:pPr>
          </w:p>
        </w:tc>
        <w:tc>
          <w:tcPr>
            <w:tcW w:w="1254" w:type="dxa"/>
          </w:tcPr>
          <w:p>
            <w:pPr>
              <w:widowControl/>
              <w:jc w:val="center"/>
              <w:textAlignment w:val="center"/>
              <w:rPr>
                <w:rFonts w:ascii="宋体" w:hAnsi="宋体"/>
                <w:b/>
                <w:color w:val="auto"/>
                <w:kern w:val="0"/>
                <w:szCs w:val="21"/>
                <w:highlight w:val="none"/>
                <w:lang w:bidi="ar"/>
              </w:rPr>
            </w:pPr>
          </w:p>
        </w:tc>
        <w:tc>
          <w:tcPr>
            <w:tcW w:w="809" w:type="dxa"/>
            <w:tcMar>
              <w:top w:w="15" w:type="dxa"/>
              <w:left w:w="15" w:type="dxa"/>
              <w:right w:w="15" w:type="dxa"/>
            </w:tcMar>
            <w:vAlign w:val="center"/>
          </w:tcPr>
          <w:p>
            <w:pPr>
              <w:widowControl/>
              <w:jc w:val="center"/>
              <w:textAlignment w:val="center"/>
              <w:rPr>
                <w:rFonts w:ascii="宋体" w:hAnsi="宋体"/>
                <w:b/>
                <w:color w:val="auto"/>
                <w:kern w:val="0"/>
                <w:szCs w:val="21"/>
                <w:highlight w:val="none"/>
                <w:lang w:bidi="ar"/>
              </w:rPr>
            </w:pPr>
          </w:p>
        </w:tc>
      </w:tr>
    </w:tbl>
    <w:p>
      <w:pPr>
        <w:pStyle w:val="56"/>
        <w:ind w:left="840" w:firstLine="0" w:firstLineChars="0"/>
        <w:rPr>
          <w:rFonts w:ascii="宋体" w:hAnsi="宋体" w:cs="宋体"/>
          <w:color w:val="auto"/>
          <w:sz w:val="21"/>
          <w:szCs w:val="21"/>
          <w:highlight w:val="none"/>
        </w:rPr>
      </w:pPr>
      <w:r>
        <w:rPr>
          <w:rFonts w:hint="eastAsia" w:ascii="宋体" w:hAnsi="宋体"/>
          <w:color w:val="auto"/>
          <w:szCs w:val="21"/>
          <w:highlight w:val="none"/>
        </w:rPr>
        <w:t xml:space="preserve"> </w:t>
      </w:r>
    </w:p>
    <w:p>
      <w:pPr>
        <w:rPr>
          <w:color w:val="auto"/>
          <w:highlight w:val="none"/>
        </w:rPr>
      </w:pPr>
    </w:p>
    <w:p>
      <w:pPr>
        <w:widowControl/>
        <w:spacing w:line="360" w:lineRule="auto"/>
        <w:ind w:firstLine="141" w:firstLineChars="59"/>
        <w:jc w:val="left"/>
        <w:rPr>
          <w:rFonts w:ascii="宋体" w:hAnsi="宋体"/>
          <w:color w:val="auto"/>
          <w:sz w:val="24"/>
          <w:highlight w:val="none"/>
        </w:rPr>
      </w:pPr>
    </w:p>
    <w:p>
      <w:pPr>
        <w:widowControl/>
        <w:spacing w:line="360" w:lineRule="auto"/>
        <w:ind w:firstLine="141" w:firstLineChars="59"/>
        <w:jc w:val="left"/>
        <w:rPr>
          <w:rFonts w:ascii="宋体" w:hAnsi="宋体"/>
          <w:color w:val="auto"/>
          <w:sz w:val="24"/>
          <w:highlight w:val="none"/>
        </w:rPr>
      </w:pPr>
    </w:p>
    <w:p>
      <w:pPr>
        <w:widowControl/>
        <w:spacing w:line="360" w:lineRule="auto"/>
        <w:ind w:firstLine="141" w:firstLineChars="59"/>
        <w:jc w:val="left"/>
        <w:rPr>
          <w:rFonts w:ascii="宋体" w:hAnsi="宋体" w:cs="Arial"/>
          <w:color w:val="auto"/>
          <w:kern w:val="0"/>
          <w:sz w:val="24"/>
          <w:highlight w:val="none"/>
        </w:rPr>
      </w:pPr>
      <w:r>
        <w:rPr>
          <w:rFonts w:hint="eastAsia" w:ascii="宋体" w:hAnsi="宋体"/>
          <w:color w:val="auto"/>
          <w:sz w:val="24"/>
          <w:highlight w:val="none"/>
        </w:rPr>
        <w:t>报价人</w:t>
      </w:r>
      <w:r>
        <w:rPr>
          <w:rFonts w:hint="eastAsia" w:ascii="宋体" w:hAnsi="宋体" w:cs="Arial"/>
          <w:color w:val="auto"/>
          <w:kern w:val="0"/>
          <w:sz w:val="24"/>
          <w:highlight w:val="none"/>
        </w:rPr>
        <w:t>：(盖章)</w:t>
      </w:r>
    </w:p>
    <w:p>
      <w:pPr>
        <w:widowControl/>
        <w:spacing w:line="360" w:lineRule="auto"/>
        <w:ind w:firstLine="141" w:firstLineChars="59"/>
        <w:jc w:val="left"/>
        <w:rPr>
          <w:rFonts w:ascii="宋体" w:hAnsi="宋体" w:cs="Arial"/>
          <w:color w:val="auto"/>
          <w:kern w:val="0"/>
          <w:sz w:val="24"/>
          <w:highlight w:val="none"/>
        </w:rPr>
      </w:pPr>
    </w:p>
    <w:p>
      <w:pPr>
        <w:widowControl/>
        <w:spacing w:line="360" w:lineRule="auto"/>
        <w:ind w:firstLine="141" w:firstLineChars="59"/>
        <w:jc w:val="left"/>
        <w:rPr>
          <w:rFonts w:ascii="宋体" w:hAnsi="宋体"/>
          <w:color w:val="auto"/>
          <w:sz w:val="24"/>
          <w:highlight w:val="none"/>
        </w:rPr>
      </w:pPr>
      <w:r>
        <w:rPr>
          <w:rFonts w:hint="eastAsia" w:ascii="宋体" w:hAnsi="宋体" w:cs="Arial"/>
          <w:color w:val="auto"/>
          <w:kern w:val="0"/>
          <w:sz w:val="24"/>
          <w:highlight w:val="none"/>
        </w:rPr>
        <w:t>法定代表人或授权代表：(签字或盖章)</w:t>
      </w:r>
    </w:p>
    <w:p>
      <w:pPr>
        <w:ind w:firstLine="141" w:firstLineChars="59"/>
        <w:jc w:val="left"/>
        <w:rPr>
          <w:rFonts w:ascii="宋体" w:hAnsi="宋体" w:cs="Arial"/>
          <w:color w:val="auto"/>
          <w:kern w:val="0"/>
          <w:sz w:val="24"/>
          <w:highlight w:val="none"/>
        </w:rPr>
      </w:pPr>
    </w:p>
    <w:p>
      <w:pPr>
        <w:pStyle w:val="34"/>
        <w:ind w:firstLine="141" w:firstLineChars="59"/>
        <w:jc w:val="left"/>
        <w:rPr>
          <w:rFonts w:cs="Arial"/>
          <w:color w:val="auto"/>
          <w:kern w:val="0"/>
          <w:highlight w:val="none"/>
        </w:rPr>
      </w:pPr>
      <w:r>
        <w:rPr>
          <w:rFonts w:hint="eastAsia" w:cs="Arial"/>
          <w:color w:val="auto"/>
          <w:kern w:val="0"/>
          <w:highlight w:val="none"/>
        </w:rPr>
        <w:t>日期：     年     月     日</w:t>
      </w:r>
    </w:p>
    <w:p>
      <w:pPr>
        <w:pStyle w:val="34"/>
        <w:ind w:firstLine="141" w:firstLineChars="59"/>
        <w:jc w:val="left"/>
        <w:rPr>
          <w:rFonts w:cs="Arial"/>
          <w:color w:val="auto"/>
          <w:kern w:val="0"/>
          <w:highlight w:val="none"/>
        </w:rPr>
      </w:pPr>
    </w:p>
    <w:p>
      <w:pPr>
        <w:pStyle w:val="34"/>
        <w:ind w:firstLine="141" w:firstLineChars="59"/>
        <w:jc w:val="left"/>
        <w:rPr>
          <w:rFonts w:cs="Arial"/>
          <w:color w:val="auto"/>
          <w:kern w:val="0"/>
          <w:highlight w:val="none"/>
        </w:rPr>
      </w:pPr>
    </w:p>
    <w:p>
      <w:pPr>
        <w:pStyle w:val="65"/>
        <w:ind w:firstLine="480"/>
        <w:rPr>
          <w:color w:val="auto"/>
          <w:highlight w:val="none"/>
        </w:rPr>
      </w:pPr>
      <w:r>
        <w:rPr>
          <w:color w:val="auto"/>
          <w:highlight w:val="none"/>
        </w:rPr>
        <w:br w:type="page"/>
      </w:r>
    </w:p>
    <w:p>
      <w:pPr>
        <w:pStyle w:val="34"/>
        <w:ind w:firstLine="0" w:firstLineChars="0"/>
        <w:jc w:val="left"/>
        <w:outlineLvl w:val="1"/>
        <w:rPr>
          <w:rFonts w:cs="Times New Roman" w:asciiTheme="minorEastAsia" w:hAnsiTheme="minorEastAsia" w:eastAsiaTheme="minorEastAsia"/>
          <w:b/>
          <w:bCs/>
          <w:color w:val="auto"/>
          <w:kern w:val="44"/>
          <w:sz w:val="28"/>
          <w:szCs w:val="28"/>
          <w:highlight w:val="none"/>
        </w:rPr>
      </w:pPr>
      <w:bookmarkStart w:id="195" w:name="_Toc65865767"/>
      <w:bookmarkStart w:id="196" w:name="_Toc133413408"/>
      <w:r>
        <w:rPr>
          <w:rFonts w:cs="Times New Roman" w:asciiTheme="minorEastAsia" w:hAnsiTheme="minorEastAsia" w:eastAsiaTheme="minorEastAsia"/>
          <w:b/>
          <w:bCs/>
          <w:color w:val="auto"/>
          <w:kern w:val="44"/>
          <w:sz w:val="28"/>
          <w:szCs w:val="28"/>
          <w:highlight w:val="none"/>
        </w:rPr>
        <w:t>4</w:t>
      </w:r>
      <w:r>
        <w:rPr>
          <w:rFonts w:hint="eastAsia" w:cs="Times New Roman" w:asciiTheme="minorEastAsia" w:hAnsiTheme="minorEastAsia" w:eastAsiaTheme="minorEastAsia"/>
          <w:b/>
          <w:bCs/>
          <w:color w:val="auto"/>
          <w:kern w:val="44"/>
          <w:sz w:val="28"/>
          <w:szCs w:val="28"/>
          <w:highlight w:val="none"/>
        </w:rPr>
        <w:t>、保密承诺函</w:t>
      </w:r>
      <w:bookmarkEnd w:id="195"/>
      <w:bookmarkEnd w:id="196"/>
    </w:p>
    <w:p>
      <w:pPr>
        <w:pStyle w:val="34"/>
        <w:ind w:firstLine="0" w:firstLineChars="0"/>
        <w:jc w:val="left"/>
        <w:rPr>
          <w:rFonts w:cs="Times New Roman" w:asciiTheme="minorEastAsia" w:hAnsiTheme="minorEastAsia" w:eastAsiaTheme="minorEastAsia"/>
          <w:b/>
          <w:bCs/>
          <w:color w:val="auto"/>
          <w:kern w:val="44"/>
          <w:sz w:val="28"/>
          <w:szCs w:val="28"/>
          <w:highlight w:val="none"/>
        </w:rPr>
      </w:pPr>
    </w:p>
    <w:p>
      <w:pPr>
        <w:spacing w:line="360" w:lineRule="auto"/>
        <w:rPr>
          <w:color w:val="auto"/>
          <w:szCs w:val="21"/>
          <w:highlight w:val="none"/>
        </w:rPr>
      </w:pPr>
      <w:bookmarkStart w:id="197" w:name="_Hlk133417817"/>
      <w:r>
        <w:rPr>
          <w:rFonts w:hint="eastAsia"/>
          <w:color w:val="auto"/>
          <w:szCs w:val="21"/>
          <w:highlight w:val="none"/>
        </w:rPr>
        <w:t>致：</w:t>
      </w:r>
      <w:r>
        <w:rPr>
          <w:rFonts w:hint="eastAsia"/>
          <w:color w:val="auto"/>
          <w:szCs w:val="21"/>
          <w:highlight w:val="none"/>
          <w:u w:val="single"/>
        </w:rPr>
        <w:t xml:space="preserve">（采购人） </w:t>
      </w:r>
      <w:r>
        <w:rPr>
          <w:color w:val="auto"/>
          <w:szCs w:val="21"/>
          <w:highlight w:val="none"/>
          <w:u w:val="single"/>
        </w:rPr>
        <w:t xml:space="preserve">       </w:t>
      </w:r>
    </w:p>
    <w:p>
      <w:pPr>
        <w:spacing w:line="360" w:lineRule="auto"/>
        <w:ind w:firstLine="420"/>
        <w:rPr>
          <w:color w:val="auto"/>
          <w:szCs w:val="21"/>
          <w:highlight w:val="none"/>
        </w:rPr>
      </w:pPr>
      <w:r>
        <w:rPr>
          <w:rFonts w:hint="eastAsia"/>
          <w:color w:val="auto"/>
          <w:szCs w:val="21"/>
          <w:highlight w:val="none"/>
        </w:rPr>
        <w:t>本公司就参与国家电投集团数字科技有限公司</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2022年工信部数据字典项目TC220807A电力设备数据字典测试床的算法训练和测试设备</w:t>
      </w:r>
      <w:r>
        <w:rPr>
          <w:rFonts w:hint="eastAsia"/>
          <w:color w:val="auto"/>
          <w:szCs w:val="21"/>
          <w:highlight w:val="none"/>
        </w:rPr>
        <w:t>采购（简称“本项目”），作出保密承诺如下：</w:t>
      </w:r>
    </w:p>
    <w:p>
      <w:pPr>
        <w:spacing w:line="360" w:lineRule="auto"/>
        <w:ind w:firstLine="420"/>
        <w:rPr>
          <w:color w:val="auto"/>
          <w:szCs w:val="21"/>
          <w:highlight w:val="none"/>
        </w:rPr>
      </w:pPr>
      <w:r>
        <w:rPr>
          <w:rFonts w:hint="eastAsia"/>
          <w:color w:val="auto"/>
          <w:szCs w:val="21"/>
          <w:highlight w:val="none"/>
        </w:rPr>
        <w:t>第一条</w:t>
      </w:r>
      <w:r>
        <w:rPr>
          <w:rFonts w:hint="eastAsia"/>
          <w:color w:val="auto"/>
          <w:szCs w:val="21"/>
          <w:highlight w:val="none"/>
        </w:rPr>
        <w:tab/>
      </w:r>
      <w:r>
        <w:rPr>
          <w:rFonts w:hint="eastAsia"/>
          <w:color w:val="auto"/>
          <w:szCs w:val="21"/>
          <w:highlight w:val="none"/>
        </w:rPr>
        <w:t>保密信息的内容和范围</w:t>
      </w:r>
    </w:p>
    <w:p>
      <w:pPr>
        <w:spacing w:line="360" w:lineRule="auto"/>
        <w:ind w:firstLine="420"/>
        <w:rPr>
          <w:color w:val="auto"/>
          <w:szCs w:val="21"/>
          <w:highlight w:val="none"/>
        </w:rPr>
      </w:pPr>
      <w:r>
        <w:rPr>
          <w:rFonts w:hint="eastAsia"/>
          <w:color w:val="auto"/>
          <w:szCs w:val="21"/>
          <w:highlight w:val="none"/>
        </w:rPr>
        <w:t>（一）本公司对贵公司承担保密义务的内容和范围包括本公司在从事本项目的过程之中或之前与贵公司或贵公司的关联公司或中介机构及它们的员工的接触过程中，由贵公司已经或将会以口头、书面或其它方式直接或间接透露、提供或泄露给本公司或以其它方式为本公司所知晓的任何的信息、数据或资料以及本公司利用该等信息、数据或资料而获得或开发的信息、数据或资料（“保密信息”），不论该保密信息在透露、提供或泄露或以其它方式为本公司所知晓时是否标明为保密。保密信息包括但不限于贵公司或其关联公司或其中介机构及它们的员工提供给本公司的下列信息：</w:t>
      </w:r>
    </w:p>
    <w:p>
      <w:pPr>
        <w:spacing w:line="360" w:lineRule="auto"/>
        <w:ind w:firstLine="420"/>
        <w:rPr>
          <w:color w:val="auto"/>
          <w:szCs w:val="21"/>
          <w:highlight w:val="none"/>
        </w:rPr>
      </w:pPr>
      <w:r>
        <w:rPr>
          <w:rFonts w:hint="eastAsia"/>
          <w:color w:val="auto"/>
          <w:szCs w:val="21"/>
          <w:highlight w:val="none"/>
        </w:rPr>
        <w:t>1、</w:t>
      </w:r>
      <w:r>
        <w:rPr>
          <w:rFonts w:hint="eastAsia"/>
          <w:color w:val="auto"/>
          <w:szCs w:val="21"/>
          <w:highlight w:val="none"/>
        </w:rPr>
        <w:tab/>
      </w:r>
      <w:r>
        <w:rPr>
          <w:rFonts w:hint="eastAsia"/>
          <w:color w:val="auto"/>
          <w:szCs w:val="21"/>
          <w:highlight w:val="none"/>
        </w:rPr>
        <w:t>财务信息及数据、技术信息、业务及经营信息、战略目标信息及资产运作信息；</w:t>
      </w:r>
    </w:p>
    <w:p>
      <w:pPr>
        <w:spacing w:line="360" w:lineRule="auto"/>
        <w:ind w:firstLine="420"/>
        <w:rPr>
          <w:color w:val="auto"/>
          <w:szCs w:val="21"/>
          <w:highlight w:val="none"/>
        </w:rPr>
      </w:pPr>
      <w:r>
        <w:rPr>
          <w:rFonts w:hint="eastAsia"/>
          <w:color w:val="auto"/>
          <w:szCs w:val="21"/>
          <w:highlight w:val="none"/>
        </w:rPr>
        <w:t>2、</w:t>
      </w:r>
      <w:r>
        <w:rPr>
          <w:rFonts w:hint="eastAsia"/>
          <w:color w:val="auto"/>
          <w:szCs w:val="21"/>
          <w:highlight w:val="none"/>
        </w:rPr>
        <w:tab/>
      </w:r>
      <w:r>
        <w:rPr>
          <w:rFonts w:hint="eastAsia"/>
          <w:color w:val="auto"/>
          <w:szCs w:val="21"/>
          <w:highlight w:val="none"/>
        </w:rPr>
        <w:t>人事任用信息、薪酬制度信息、福利待遇信息、组织管理信息等；</w:t>
      </w:r>
    </w:p>
    <w:p>
      <w:pPr>
        <w:spacing w:line="360" w:lineRule="auto"/>
        <w:ind w:firstLine="420"/>
        <w:rPr>
          <w:color w:val="auto"/>
          <w:szCs w:val="21"/>
          <w:highlight w:val="none"/>
        </w:rPr>
      </w:pPr>
      <w:r>
        <w:rPr>
          <w:rFonts w:hint="eastAsia"/>
          <w:color w:val="auto"/>
          <w:szCs w:val="21"/>
          <w:highlight w:val="none"/>
        </w:rPr>
        <w:t>3、</w:t>
      </w:r>
      <w:r>
        <w:rPr>
          <w:rFonts w:hint="eastAsia"/>
          <w:color w:val="auto"/>
          <w:szCs w:val="21"/>
          <w:highlight w:val="none"/>
        </w:rPr>
        <w:tab/>
      </w:r>
      <w:r>
        <w:rPr>
          <w:rFonts w:hint="eastAsia"/>
          <w:color w:val="auto"/>
          <w:szCs w:val="21"/>
          <w:highlight w:val="none"/>
        </w:rPr>
        <w:t>与本项目的相关信息，包括但不限于重组方案、重组步骤、重组及上市时间表、政府报批文件、相关合同、协议、评估报告、审计报告、股票发行方案、招股说明书等信息；</w:t>
      </w:r>
    </w:p>
    <w:p>
      <w:pPr>
        <w:spacing w:line="360" w:lineRule="auto"/>
        <w:ind w:firstLine="420"/>
        <w:rPr>
          <w:color w:val="auto"/>
          <w:szCs w:val="21"/>
          <w:highlight w:val="none"/>
        </w:rPr>
      </w:pPr>
      <w:r>
        <w:rPr>
          <w:rFonts w:hint="eastAsia"/>
          <w:color w:val="auto"/>
          <w:szCs w:val="21"/>
          <w:highlight w:val="none"/>
        </w:rPr>
        <w:t>4、</w:t>
      </w:r>
      <w:r>
        <w:rPr>
          <w:rFonts w:hint="eastAsia"/>
          <w:color w:val="auto"/>
          <w:szCs w:val="21"/>
          <w:highlight w:val="none"/>
        </w:rPr>
        <w:tab/>
      </w:r>
      <w:r>
        <w:rPr>
          <w:rFonts w:hint="eastAsia"/>
          <w:color w:val="auto"/>
          <w:szCs w:val="21"/>
          <w:highlight w:val="none"/>
        </w:rPr>
        <w:t>贵公司依照法律、法规规定、有关部门的要求或有关协议的约定，对外承担保密义务的各种信息。</w:t>
      </w:r>
    </w:p>
    <w:p>
      <w:pPr>
        <w:spacing w:line="360" w:lineRule="auto"/>
        <w:ind w:firstLine="420"/>
        <w:rPr>
          <w:color w:val="auto"/>
          <w:szCs w:val="21"/>
          <w:highlight w:val="none"/>
        </w:rPr>
      </w:pPr>
      <w:r>
        <w:rPr>
          <w:rFonts w:hint="eastAsia"/>
          <w:color w:val="auto"/>
          <w:szCs w:val="21"/>
          <w:highlight w:val="none"/>
        </w:rPr>
        <w:t>（二）保密信息不包括以下信息、记录、文件或资料（“例外情况”）：</w:t>
      </w:r>
    </w:p>
    <w:p>
      <w:pPr>
        <w:spacing w:line="360" w:lineRule="auto"/>
        <w:ind w:firstLine="420"/>
        <w:rPr>
          <w:color w:val="auto"/>
          <w:szCs w:val="21"/>
          <w:highlight w:val="none"/>
        </w:rPr>
      </w:pPr>
      <w:r>
        <w:rPr>
          <w:rFonts w:hint="eastAsia"/>
          <w:color w:val="auto"/>
          <w:szCs w:val="21"/>
          <w:highlight w:val="none"/>
        </w:rPr>
        <w:t>1、</w:t>
      </w:r>
      <w:r>
        <w:rPr>
          <w:rFonts w:hint="eastAsia"/>
          <w:color w:val="auto"/>
          <w:szCs w:val="21"/>
          <w:highlight w:val="none"/>
        </w:rPr>
        <w:tab/>
      </w:r>
      <w:r>
        <w:rPr>
          <w:rFonts w:hint="eastAsia"/>
          <w:color w:val="auto"/>
          <w:szCs w:val="21"/>
          <w:highlight w:val="none"/>
        </w:rPr>
        <w:t>本公司从第三方获得的信息，并且本公司经向贵公司确认该第三方不承担任何禁止其向本公司提供该信息的义务，现行法律亦未禁止其向本公司提供该信息；</w:t>
      </w:r>
    </w:p>
    <w:p>
      <w:pPr>
        <w:spacing w:line="360" w:lineRule="auto"/>
        <w:ind w:firstLine="420"/>
        <w:rPr>
          <w:color w:val="auto"/>
          <w:szCs w:val="21"/>
          <w:highlight w:val="none"/>
        </w:rPr>
      </w:pPr>
      <w:r>
        <w:rPr>
          <w:rFonts w:hint="eastAsia"/>
          <w:color w:val="auto"/>
          <w:szCs w:val="21"/>
          <w:highlight w:val="none"/>
        </w:rPr>
        <w:t>2、</w:t>
      </w:r>
      <w:r>
        <w:rPr>
          <w:rFonts w:hint="eastAsia"/>
          <w:color w:val="auto"/>
          <w:szCs w:val="21"/>
          <w:highlight w:val="none"/>
        </w:rPr>
        <w:tab/>
      </w:r>
      <w:r>
        <w:rPr>
          <w:rFonts w:hint="eastAsia"/>
          <w:color w:val="auto"/>
          <w:szCs w:val="21"/>
          <w:highlight w:val="none"/>
        </w:rPr>
        <w:t>非由本公司的泄露而公开的信息；</w:t>
      </w:r>
    </w:p>
    <w:p>
      <w:pPr>
        <w:spacing w:line="360" w:lineRule="auto"/>
        <w:ind w:firstLine="420"/>
        <w:rPr>
          <w:color w:val="auto"/>
          <w:szCs w:val="21"/>
          <w:highlight w:val="none"/>
        </w:rPr>
      </w:pPr>
      <w:r>
        <w:rPr>
          <w:rFonts w:hint="eastAsia"/>
          <w:color w:val="auto"/>
          <w:szCs w:val="21"/>
          <w:highlight w:val="none"/>
        </w:rPr>
        <w:t>3、已经由贵公司授权批准公开的信息；</w:t>
      </w:r>
    </w:p>
    <w:p>
      <w:pPr>
        <w:spacing w:line="360" w:lineRule="auto"/>
        <w:ind w:firstLine="420"/>
        <w:rPr>
          <w:color w:val="auto"/>
          <w:szCs w:val="21"/>
          <w:highlight w:val="none"/>
        </w:rPr>
      </w:pPr>
      <w:r>
        <w:rPr>
          <w:rFonts w:hint="eastAsia"/>
          <w:color w:val="auto"/>
          <w:szCs w:val="21"/>
          <w:highlight w:val="none"/>
        </w:rPr>
        <w:t>4、并非直接或间接利用保密信息而由本公司独立开发的信息；</w:t>
      </w:r>
    </w:p>
    <w:p>
      <w:pPr>
        <w:spacing w:line="360" w:lineRule="auto"/>
        <w:ind w:firstLine="420"/>
        <w:rPr>
          <w:color w:val="auto"/>
          <w:szCs w:val="21"/>
          <w:highlight w:val="none"/>
        </w:rPr>
      </w:pPr>
      <w:r>
        <w:rPr>
          <w:rFonts w:hint="eastAsia"/>
          <w:color w:val="auto"/>
          <w:szCs w:val="21"/>
          <w:highlight w:val="none"/>
        </w:rPr>
        <w:t>5、本公司在贵公司提供保密信息之前已经通过合法途径获得的信息。</w:t>
      </w:r>
    </w:p>
    <w:p>
      <w:pPr>
        <w:spacing w:line="360" w:lineRule="auto"/>
        <w:ind w:firstLine="420"/>
        <w:rPr>
          <w:color w:val="auto"/>
          <w:szCs w:val="21"/>
          <w:highlight w:val="none"/>
        </w:rPr>
      </w:pPr>
      <w:r>
        <w:rPr>
          <w:rFonts w:hint="eastAsia"/>
          <w:color w:val="auto"/>
          <w:szCs w:val="21"/>
          <w:highlight w:val="none"/>
        </w:rPr>
        <w:t>贵公司透露给本公司的保密信息不因该保密信息被包含在属于上述例外情况的一般信息之中而被视为属于例外情况，也不因该保密信息的众多特性之中的个别特性属于上述例外情况而被视为属于例外情况。</w:t>
      </w:r>
    </w:p>
    <w:p>
      <w:pPr>
        <w:spacing w:line="360" w:lineRule="auto"/>
        <w:ind w:firstLine="420"/>
        <w:rPr>
          <w:color w:val="auto"/>
          <w:szCs w:val="21"/>
          <w:highlight w:val="none"/>
        </w:rPr>
      </w:pPr>
      <w:r>
        <w:rPr>
          <w:rFonts w:hint="eastAsia"/>
          <w:color w:val="auto"/>
          <w:szCs w:val="21"/>
          <w:highlight w:val="none"/>
        </w:rPr>
        <w:t>第二条</w:t>
      </w:r>
      <w:r>
        <w:rPr>
          <w:rFonts w:hint="eastAsia"/>
          <w:color w:val="auto"/>
          <w:szCs w:val="21"/>
          <w:highlight w:val="none"/>
        </w:rPr>
        <w:tab/>
      </w:r>
      <w:r>
        <w:rPr>
          <w:rFonts w:hint="eastAsia"/>
          <w:color w:val="auto"/>
          <w:szCs w:val="21"/>
          <w:highlight w:val="none"/>
        </w:rPr>
        <w:t>本公司的保密义务</w:t>
      </w:r>
    </w:p>
    <w:p>
      <w:pPr>
        <w:spacing w:line="360" w:lineRule="auto"/>
        <w:ind w:firstLine="420"/>
        <w:rPr>
          <w:color w:val="auto"/>
          <w:szCs w:val="21"/>
          <w:highlight w:val="none"/>
        </w:rPr>
      </w:pPr>
      <w:r>
        <w:rPr>
          <w:rFonts w:hint="eastAsia"/>
          <w:color w:val="auto"/>
          <w:szCs w:val="21"/>
          <w:highlight w:val="none"/>
        </w:rPr>
        <w:t>本公司在第一条所述保密义务的内容和范围内，对贵公司承担以下义务：</w:t>
      </w:r>
    </w:p>
    <w:p>
      <w:pPr>
        <w:spacing w:line="360" w:lineRule="auto"/>
        <w:ind w:firstLine="420"/>
        <w:rPr>
          <w:color w:val="auto"/>
          <w:szCs w:val="21"/>
          <w:highlight w:val="none"/>
        </w:rPr>
      </w:pPr>
      <w:r>
        <w:rPr>
          <w:rFonts w:hint="eastAsia"/>
          <w:color w:val="auto"/>
          <w:szCs w:val="21"/>
          <w:highlight w:val="none"/>
        </w:rPr>
        <w:t>1、本公司将按照本公司最严格的程序来保管、收存保密信息，确保保密信息未经本公司的授权程序，不能被任何人员所接触；一经贵公司要求，本公司将立即归还或销毁（由贵公司选择）载有保密信息的任何文件、资料及电子载体等。</w:t>
      </w:r>
    </w:p>
    <w:p>
      <w:pPr>
        <w:spacing w:line="360" w:lineRule="auto"/>
        <w:ind w:firstLine="420"/>
        <w:rPr>
          <w:color w:val="auto"/>
          <w:szCs w:val="21"/>
          <w:highlight w:val="none"/>
        </w:rPr>
      </w:pPr>
      <w:r>
        <w:rPr>
          <w:rFonts w:hint="eastAsia"/>
          <w:color w:val="auto"/>
          <w:szCs w:val="21"/>
          <w:highlight w:val="none"/>
        </w:rPr>
        <w:t>2、</w:t>
      </w:r>
      <w:r>
        <w:rPr>
          <w:rFonts w:hint="eastAsia"/>
          <w:color w:val="auto"/>
          <w:szCs w:val="21"/>
          <w:highlight w:val="none"/>
        </w:rPr>
        <w:tab/>
      </w:r>
      <w:r>
        <w:rPr>
          <w:rFonts w:hint="eastAsia"/>
          <w:color w:val="auto"/>
          <w:szCs w:val="21"/>
          <w:highlight w:val="none"/>
        </w:rPr>
        <w:t>本公司同意除向直接或间接参与本项目执行的合伙人、管理人员、专业人员、顾问和其它雇员以及贵公司为本项目所聘请的其它专业人士（“项目有关人员”）外，未经贵公司授权不得向任何人透露或泄露或以其他方式使第三方知晓保密信息。本公司在向项目有关人员透露/泄露保密信之前，必须与其签订一份书面的保密协议，该保密协议应当至少应包括本承诺函的内容或者比本承诺函规定的保密义务更加严格。</w:t>
      </w:r>
    </w:p>
    <w:p>
      <w:pPr>
        <w:spacing w:line="360" w:lineRule="auto"/>
        <w:ind w:firstLine="420"/>
        <w:rPr>
          <w:color w:val="auto"/>
          <w:szCs w:val="21"/>
          <w:highlight w:val="none"/>
        </w:rPr>
      </w:pPr>
      <w:r>
        <w:rPr>
          <w:rFonts w:hint="eastAsia"/>
          <w:color w:val="auto"/>
          <w:szCs w:val="21"/>
          <w:highlight w:val="none"/>
        </w:rPr>
        <w:t>3、</w:t>
      </w:r>
      <w:r>
        <w:rPr>
          <w:rFonts w:hint="eastAsia"/>
          <w:color w:val="auto"/>
          <w:szCs w:val="21"/>
          <w:highlight w:val="none"/>
        </w:rPr>
        <w:tab/>
      </w:r>
      <w:r>
        <w:rPr>
          <w:rFonts w:hint="eastAsia"/>
          <w:color w:val="auto"/>
          <w:szCs w:val="21"/>
          <w:highlight w:val="none"/>
        </w:rPr>
        <w:t>除为本项目执行之需要，或者在本项目进行当中，本公司按法律的强制性规定，在征得贵公司同意后，向有关证券交易所、证券监管机构及其它司法、行政部门，对本项目或有关保密信息做出适当的披露外，本公司不得向任何第三方泄露本公司已得到的保密信息和本项目的情况（本公司直接或间接参与本项目的项目有关人员违反本承诺函的规定，泄露保密信息视为本公司违反保密义务）。</w:t>
      </w:r>
    </w:p>
    <w:p>
      <w:pPr>
        <w:spacing w:line="360" w:lineRule="auto"/>
        <w:ind w:firstLine="420"/>
        <w:rPr>
          <w:color w:val="auto"/>
          <w:szCs w:val="21"/>
          <w:highlight w:val="none"/>
        </w:rPr>
      </w:pPr>
      <w:r>
        <w:rPr>
          <w:rFonts w:hint="eastAsia"/>
          <w:color w:val="auto"/>
          <w:szCs w:val="21"/>
          <w:highlight w:val="none"/>
        </w:rPr>
        <w:t>4、若司法、行政等权力机关依照法律的有关规定，要求本公司披露保密信息，本公司保证：</w:t>
      </w:r>
    </w:p>
    <w:p>
      <w:pPr>
        <w:spacing w:line="360" w:lineRule="auto"/>
        <w:ind w:firstLine="420"/>
        <w:rPr>
          <w:color w:val="auto"/>
          <w:szCs w:val="21"/>
          <w:highlight w:val="none"/>
        </w:rPr>
      </w:pPr>
      <w:r>
        <w:rPr>
          <w:rFonts w:hint="eastAsia"/>
          <w:color w:val="auto"/>
          <w:szCs w:val="21"/>
          <w:highlight w:val="none"/>
        </w:rPr>
        <w:t>(1)在遇到上述情况时，立即书面通知贵公司，以便贵公司及时采取适当的保护性措施或其它适当的补救办法；</w:t>
      </w:r>
    </w:p>
    <w:p>
      <w:pPr>
        <w:spacing w:line="360" w:lineRule="auto"/>
        <w:ind w:firstLine="420"/>
        <w:rPr>
          <w:color w:val="auto"/>
          <w:szCs w:val="21"/>
          <w:highlight w:val="none"/>
        </w:rPr>
      </w:pPr>
      <w:r>
        <w:rPr>
          <w:rFonts w:hint="eastAsia"/>
          <w:color w:val="auto"/>
          <w:szCs w:val="21"/>
          <w:highlight w:val="none"/>
        </w:rPr>
        <w:t>(2)</w:t>
      </w:r>
      <w:r>
        <w:rPr>
          <w:rFonts w:hint="eastAsia"/>
          <w:color w:val="auto"/>
          <w:szCs w:val="21"/>
          <w:highlight w:val="none"/>
        </w:rPr>
        <w:tab/>
      </w:r>
      <w:r>
        <w:rPr>
          <w:rFonts w:hint="eastAsia"/>
          <w:color w:val="auto"/>
          <w:szCs w:val="21"/>
          <w:highlight w:val="none"/>
        </w:rPr>
        <w:t>若本公司按上述要求必须提供保密信息，本公司将配合贵公司采取合法及合理的措施，以使所提供的保密信息能得到保密。</w:t>
      </w:r>
    </w:p>
    <w:p>
      <w:pPr>
        <w:spacing w:line="360" w:lineRule="auto"/>
        <w:ind w:firstLine="420"/>
        <w:rPr>
          <w:color w:val="auto"/>
          <w:szCs w:val="21"/>
          <w:highlight w:val="none"/>
        </w:rPr>
      </w:pPr>
      <w:r>
        <w:rPr>
          <w:rFonts w:hint="eastAsia"/>
          <w:color w:val="auto"/>
          <w:szCs w:val="21"/>
          <w:highlight w:val="none"/>
        </w:rPr>
        <w:t>5、</w:t>
      </w:r>
      <w:r>
        <w:rPr>
          <w:rFonts w:hint="eastAsia"/>
          <w:color w:val="auto"/>
          <w:szCs w:val="21"/>
          <w:highlight w:val="none"/>
        </w:rPr>
        <w:tab/>
      </w:r>
      <w:r>
        <w:rPr>
          <w:rFonts w:hint="eastAsia"/>
          <w:color w:val="auto"/>
          <w:szCs w:val="21"/>
          <w:highlight w:val="none"/>
        </w:rPr>
        <w:t>除上段第（2）款外，本公司承诺保密信息的使用只限于本项目，未经贵公司同意，不得将保密信息用于任何其它目的。本项目完成后，根据贵公司要求，本公司应把保密信息归还贵公司，不得留存复制品或复印件，但根据有关法律法规或证券交易所的强制性规定必须保留的除外。</w:t>
      </w:r>
    </w:p>
    <w:p>
      <w:pPr>
        <w:spacing w:line="360" w:lineRule="auto"/>
        <w:ind w:firstLine="420"/>
        <w:rPr>
          <w:color w:val="auto"/>
          <w:szCs w:val="21"/>
          <w:highlight w:val="none"/>
        </w:rPr>
      </w:pPr>
      <w:r>
        <w:rPr>
          <w:rFonts w:hint="eastAsia"/>
          <w:color w:val="auto"/>
          <w:szCs w:val="21"/>
          <w:highlight w:val="none"/>
        </w:rPr>
        <w:t>6、本公司承认并同意，贵公司向本公司披露保密信息不构成贵公司向本公司转让或授予贵公司对其商标、专利或技术秘密等拥有的权益，亦不构成向本公司转让或授予本公司使用第三方许可贵公司使用的商标、专利或技术秘密等有关权益。</w:t>
      </w:r>
    </w:p>
    <w:p>
      <w:pPr>
        <w:spacing w:line="360" w:lineRule="auto"/>
        <w:ind w:firstLine="420"/>
        <w:rPr>
          <w:color w:val="auto"/>
          <w:szCs w:val="21"/>
          <w:highlight w:val="none"/>
        </w:rPr>
      </w:pPr>
      <w:r>
        <w:rPr>
          <w:rFonts w:hint="eastAsia"/>
          <w:color w:val="auto"/>
          <w:szCs w:val="21"/>
          <w:highlight w:val="none"/>
        </w:rPr>
        <w:t>第三条</w:t>
      </w:r>
      <w:r>
        <w:rPr>
          <w:rFonts w:hint="eastAsia"/>
          <w:color w:val="auto"/>
          <w:szCs w:val="21"/>
          <w:highlight w:val="none"/>
        </w:rPr>
        <w:tab/>
      </w:r>
      <w:r>
        <w:rPr>
          <w:rFonts w:hint="eastAsia"/>
          <w:color w:val="auto"/>
          <w:szCs w:val="21"/>
          <w:highlight w:val="none"/>
        </w:rPr>
        <w:t>保密期限</w:t>
      </w:r>
    </w:p>
    <w:p>
      <w:pPr>
        <w:spacing w:line="360" w:lineRule="auto"/>
        <w:ind w:firstLine="420"/>
        <w:rPr>
          <w:color w:val="auto"/>
          <w:szCs w:val="21"/>
          <w:highlight w:val="none"/>
        </w:rPr>
      </w:pPr>
      <w:r>
        <w:rPr>
          <w:rFonts w:hint="eastAsia"/>
          <w:color w:val="auto"/>
          <w:szCs w:val="21"/>
          <w:highlight w:val="none"/>
        </w:rPr>
        <w:t>保密期限自本承诺函生效之日起开始。除贵公司书面同意解除本公司保密义务外，本承诺函规定的保密义务在本项目进行期间和本项目完成后5年内，继续有效。但对贵公司已经正式对外发布的信息，本公司不需继续承担保密义务。</w:t>
      </w:r>
    </w:p>
    <w:p>
      <w:pPr>
        <w:spacing w:line="360" w:lineRule="auto"/>
        <w:ind w:firstLine="420"/>
        <w:rPr>
          <w:color w:val="auto"/>
          <w:szCs w:val="21"/>
          <w:highlight w:val="none"/>
        </w:rPr>
      </w:pPr>
      <w:r>
        <w:rPr>
          <w:rFonts w:hint="eastAsia"/>
          <w:color w:val="auto"/>
          <w:szCs w:val="21"/>
          <w:highlight w:val="none"/>
        </w:rPr>
        <w:t>第四条</w:t>
      </w:r>
      <w:r>
        <w:rPr>
          <w:rFonts w:hint="eastAsia"/>
          <w:color w:val="auto"/>
          <w:szCs w:val="21"/>
          <w:highlight w:val="none"/>
        </w:rPr>
        <w:tab/>
      </w:r>
      <w:r>
        <w:rPr>
          <w:rFonts w:hint="eastAsia"/>
          <w:color w:val="auto"/>
          <w:szCs w:val="21"/>
          <w:highlight w:val="none"/>
        </w:rPr>
        <w:t>赔偿责任</w:t>
      </w:r>
    </w:p>
    <w:p>
      <w:pPr>
        <w:spacing w:line="360" w:lineRule="auto"/>
        <w:ind w:firstLine="420"/>
        <w:rPr>
          <w:color w:val="auto"/>
          <w:szCs w:val="21"/>
          <w:highlight w:val="none"/>
        </w:rPr>
      </w:pPr>
      <w:r>
        <w:rPr>
          <w:rFonts w:hint="eastAsia"/>
          <w:color w:val="auto"/>
          <w:szCs w:val="21"/>
          <w:highlight w:val="none"/>
        </w:rPr>
        <w:t>若本公司或项目有关人员违反本承诺函规定的保密义务或不正当地使用保密信息，给贵公司造成损失的，本公司将承担赔偿责任。</w:t>
      </w:r>
    </w:p>
    <w:p>
      <w:pPr>
        <w:spacing w:line="360" w:lineRule="auto"/>
        <w:ind w:firstLine="420"/>
        <w:rPr>
          <w:color w:val="auto"/>
          <w:szCs w:val="21"/>
          <w:highlight w:val="none"/>
        </w:rPr>
      </w:pPr>
      <w:r>
        <w:rPr>
          <w:rFonts w:hint="eastAsia"/>
          <w:color w:val="auto"/>
          <w:szCs w:val="21"/>
          <w:highlight w:val="none"/>
        </w:rPr>
        <w:t>第五条</w:t>
      </w:r>
      <w:r>
        <w:rPr>
          <w:rFonts w:hint="eastAsia"/>
          <w:color w:val="auto"/>
          <w:szCs w:val="21"/>
          <w:highlight w:val="none"/>
        </w:rPr>
        <w:tab/>
      </w:r>
      <w:r>
        <w:rPr>
          <w:rFonts w:hint="eastAsia"/>
          <w:color w:val="auto"/>
          <w:szCs w:val="21"/>
          <w:highlight w:val="none"/>
        </w:rPr>
        <w:t>法律适用</w:t>
      </w:r>
    </w:p>
    <w:p>
      <w:pPr>
        <w:spacing w:line="360" w:lineRule="auto"/>
        <w:ind w:firstLine="420"/>
        <w:rPr>
          <w:color w:val="auto"/>
          <w:szCs w:val="21"/>
          <w:highlight w:val="none"/>
        </w:rPr>
      </w:pPr>
      <w:r>
        <w:rPr>
          <w:rFonts w:hint="eastAsia"/>
          <w:color w:val="auto"/>
          <w:szCs w:val="21"/>
          <w:highlight w:val="none"/>
        </w:rPr>
        <w:t>本承诺函的签署、解释、履行、变更、解除、终止和争议解决均适用中华人民共和国法律。</w:t>
      </w:r>
    </w:p>
    <w:p>
      <w:pPr>
        <w:spacing w:line="360" w:lineRule="auto"/>
        <w:ind w:firstLine="420"/>
        <w:rPr>
          <w:color w:val="auto"/>
          <w:szCs w:val="21"/>
          <w:highlight w:val="none"/>
        </w:rPr>
      </w:pPr>
      <w:r>
        <w:rPr>
          <w:rFonts w:hint="eastAsia"/>
          <w:color w:val="auto"/>
          <w:szCs w:val="21"/>
          <w:highlight w:val="none"/>
        </w:rPr>
        <w:t>第六条</w:t>
      </w:r>
      <w:r>
        <w:rPr>
          <w:rFonts w:hint="eastAsia"/>
          <w:color w:val="auto"/>
          <w:szCs w:val="21"/>
          <w:highlight w:val="none"/>
        </w:rPr>
        <w:tab/>
      </w:r>
      <w:r>
        <w:rPr>
          <w:rFonts w:hint="eastAsia"/>
          <w:color w:val="auto"/>
          <w:szCs w:val="21"/>
          <w:highlight w:val="none"/>
        </w:rPr>
        <w:t>争议解决</w:t>
      </w:r>
    </w:p>
    <w:p>
      <w:pPr>
        <w:spacing w:line="360" w:lineRule="auto"/>
        <w:ind w:firstLine="420"/>
        <w:rPr>
          <w:color w:val="auto"/>
          <w:szCs w:val="21"/>
          <w:highlight w:val="none"/>
        </w:rPr>
      </w:pPr>
      <w:r>
        <w:rPr>
          <w:rFonts w:hint="eastAsia"/>
          <w:color w:val="auto"/>
          <w:szCs w:val="21"/>
          <w:highlight w:val="none"/>
        </w:rPr>
        <w:t>因本公司履行本承诺函或者与本承诺函有关的一切争议，如协商不成，均应在贵公司住所地人民法院通过诉讼解决。</w:t>
      </w:r>
    </w:p>
    <w:p>
      <w:pPr>
        <w:spacing w:line="360" w:lineRule="auto"/>
        <w:ind w:firstLine="420"/>
        <w:rPr>
          <w:color w:val="auto"/>
          <w:szCs w:val="21"/>
          <w:highlight w:val="none"/>
        </w:rPr>
      </w:pPr>
      <w:r>
        <w:rPr>
          <w:rFonts w:hint="eastAsia"/>
          <w:color w:val="auto"/>
          <w:szCs w:val="21"/>
          <w:highlight w:val="none"/>
        </w:rPr>
        <w:t>第七条</w:t>
      </w:r>
      <w:r>
        <w:rPr>
          <w:rFonts w:hint="eastAsia"/>
          <w:color w:val="auto"/>
          <w:szCs w:val="21"/>
          <w:highlight w:val="none"/>
        </w:rPr>
        <w:tab/>
      </w:r>
      <w:r>
        <w:rPr>
          <w:rFonts w:hint="eastAsia"/>
          <w:color w:val="auto"/>
          <w:szCs w:val="21"/>
          <w:highlight w:val="none"/>
        </w:rPr>
        <w:t>本承诺函的生效</w:t>
      </w:r>
    </w:p>
    <w:p>
      <w:pPr>
        <w:spacing w:line="360" w:lineRule="auto"/>
        <w:ind w:firstLine="420"/>
        <w:rPr>
          <w:color w:val="auto"/>
          <w:szCs w:val="21"/>
          <w:highlight w:val="none"/>
        </w:rPr>
      </w:pPr>
      <w:r>
        <w:rPr>
          <w:rFonts w:hint="eastAsia"/>
          <w:color w:val="auto"/>
          <w:szCs w:val="21"/>
          <w:highlight w:val="none"/>
        </w:rPr>
        <w:t>本承诺函自本公司法定代表人或授权代表签字之日起生效。自生效日起，即对本公司产生法律约束力。本承诺函的复印件、传真件等拷贝与原件具有同等效力。</w:t>
      </w:r>
    </w:p>
    <w:p>
      <w:pPr>
        <w:spacing w:line="360" w:lineRule="auto"/>
        <w:ind w:firstLine="420"/>
        <w:jc w:val="center"/>
        <w:rPr>
          <w:color w:val="auto"/>
          <w:szCs w:val="21"/>
          <w:highlight w:val="none"/>
        </w:rPr>
      </w:pPr>
      <w:r>
        <w:rPr>
          <w:rFonts w:hint="eastAsia"/>
          <w:color w:val="auto"/>
          <w:szCs w:val="21"/>
          <w:highlight w:val="none"/>
        </w:rPr>
        <w:t xml:space="preserve">                                                  </w:t>
      </w:r>
    </w:p>
    <w:p>
      <w:pPr>
        <w:spacing w:line="360" w:lineRule="auto"/>
        <w:ind w:firstLine="420"/>
        <w:jc w:val="center"/>
        <w:rPr>
          <w:color w:val="auto"/>
          <w:szCs w:val="21"/>
          <w:highlight w:val="none"/>
        </w:rPr>
      </w:pPr>
    </w:p>
    <w:p>
      <w:pPr>
        <w:spacing w:line="360" w:lineRule="auto"/>
        <w:ind w:firstLine="420"/>
        <w:jc w:val="center"/>
        <w:rPr>
          <w:color w:val="auto"/>
          <w:szCs w:val="21"/>
          <w:highlight w:val="none"/>
        </w:rPr>
      </w:pPr>
    </w:p>
    <w:p>
      <w:pPr>
        <w:spacing w:line="360" w:lineRule="auto"/>
        <w:ind w:firstLine="420"/>
        <w:jc w:val="right"/>
        <w:rPr>
          <w:color w:val="auto"/>
          <w:szCs w:val="21"/>
          <w:highlight w:val="none"/>
        </w:rPr>
      </w:pPr>
      <w:r>
        <w:rPr>
          <w:rFonts w:hint="eastAsia"/>
          <w:color w:val="auto"/>
          <w:szCs w:val="21"/>
          <w:highlight w:val="none"/>
        </w:rPr>
        <w:t xml:space="preserve">   （报价人名称）公司 （盖章）</w:t>
      </w:r>
    </w:p>
    <w:p>
      <w:pPr>
        <w:spacing w:line="360" w:lineRule="auto"/>
        <w:ind w:firstLine="420"/>
        <w:jc w:val="center"/>
        <w:rPr>
          <w:color w:val="auto"/>
          <w:szCs w:val="21"/>
          <w:highlight w:val="none"/>
        </w:rPr>
      </w:pPr>
      <w:r>
        <w:rPr>
          <w:rFonts w:hint="eastAsia"/>
          <w:color w:val="auto"/>
          <w:szCs w:val="21"/>
          <w:highlight w:val="none"/>
        </w:rPr>
        <w:t xml:space="preserve">                                     报价人授权代表：</w:t>
      </w:r>
      <w:r>
        <w:rPr>
          <w:rFonts w:hint="eastAsia"/>
          <w:color w:val="auto"/>
          <w:szCs w:val="21"/>
          <w:highlight w:val="none"/>
          <w:u w:val="single"/>
        </w:rPr>
        <w:t xml:space="preserve">              </w:t>
      </w:r>
      <w:r>
        <w:rPr>
          <w:rFonts w:hint="eastAsia"/>
          <w:color w:val="auto"/>
          <w:szCs w:val="21"/>
          <w:highlight w:val="none"/>
        </w:rPr>
        <w:t xml:space="preserve">                </w:t>
      </w:r>
    </w:p>
    <w:p>
      <w:pPr>
        <w:spacing w:line="360" w:lineRule="auto"/>
        <w:ind w:firstLine="420"/>
        <w:jc w:val="right"/>
        <w:rPr>
          <w:color w:val="auto"/>
          <w:szCs w:val="21"/>
          <w:highlight w:val="none"/>
        </w:rPr>
      </w:pPr>
      <w:r>
        <w:rPr>
          <w:rFonts w:hint="eastAsia"/>
          <w:color w:val="auto"/>
          <w:szCs w:val="21"/>
          <w:highlight w:val="none"/>
        </w:rPr>
        <w:t>签字日期：  年   月  日</w:t>
      </w:r>
    </w:p>
    <w:bookmarkEnd w:id="197"/>
    <w:p>
      <w:pPr>
        <w:rPr>
          <w:rFonts w:ascii="宋体" w:hAnsi="宋体"/>
          <w:color w:val="auto"/>
          <w:szCs w:val="21"/>
          <w:highlight w:val="none"/>
        </w:rPr>
      </w:pPr>
    </w:p>
    <w:p>
      <w:pPr>
        <w:rPr>
          <w:rFonts w:ascii="宋体" w:hAnsi="宋体"/>
          <w:color w:val="auto"/>
          <w:highlight w:val="none"/>
        </w:rPr>
      </w:pPr>
    </w:p>
    <w:p>
      <w:pPr>
        <w:pStyle w:val="10"/>
        <w:rPr>
          <w:color w:val="auto"/>
          <w:highlight w:val="none"/>
        </w:rPr>
      </w:pPr>
    </w:p>
    <w:p>
      <w:pPr>
        <w:pStyle w:val="11"/>
        <w:ind w:firstLine="420"/>
        <w:rPr>
          <w:color w:val="auto"/>
          <w:highlight w:val="none"/>
        </w:rPr>
      </w:pPr>
    </w:p>
    <w:p>
      <w:pPr>
        <w:rPr>
          <w:color w:val="auto"/>
          <w:highlight w:val="none"/>
        </w:rPr>
      </w:pPr>
    </w:p>
    <w:p>
      <w:pPr>
        <w:pStyle w:val="10"/>
        <w:rPr>
          <w:color w:val="auto"/>
          <w:highlight w:val="none"/>
        </w:rPr>
      </w:pPr>
    </w:p>
    <w:p>
      <w:pPr>
        <w:pStyle w:val="11"/>
        <w:ind w:firstLine="420"/>
        <w:rPr>
          <w:color w:val="auto"/>
          <w:highlight w:val="none"/>
        </w:rPr>
      </w:pPr>
    </w:p>
    <w:p>
      <w:pPr>
        <w:rPr>
          <w:color w:val="auto"/>
          <w:highlight w:val="none"/>
        </w:rPr>
      </w:pPr>
    </w:p>
    <w:p>
      <w:pPr>
        <w:pStyle w:val="10"/>
        <w:rPr>
          <w:color w:val="auto"/>
          <w:highlight w:val="none"/>
        </w:rPr>
      </w:pPr>
    </w:p>
    <w:p>
      <w:pPr>
        <w:pStyle w:val="11"/>
        <w:ind w:firstLine="420"/>
        <w:rPr>
          <w:color w:val="auto"/>
          <w:highlight w:val="none"/>
        </w:rPr>
      </w:pPr>
    </w:p>
    <w:p>
      <w:pPr>
        <w:rPr>
          <w:color w:val="auto"/>
          <w:highlight w:val="none"/>
        </w:rPr>
      </w:pPr>
    </w:p>
    <w:p>
      <w:pPr>
        <w:pStyle w:val="10"/>
        <w:rPr>
          <w:color w:val="auto"/>
          <w:highlight w:val="none"/>
        </w:rPr>
      </w:pPr>
    </w:p>
    <w:p>
      <w:pPr>
        <w:pStyle w:val="11"/>
        <w:ind w:firstLine="420"/>
        <w:rPr>
          <w:color w:val="auto"/>
          <w:highlight w:val="none"/>
        </w:rPr>
      </w:pPr>
    </w:p>
    <w:p>
      <w:pPr>
        <w:pStyle w:val="11"/>
        <w:ind w:firstLine="420"/>
        <w:rPr>
          <w:color w:val="auto"/>
          <w:highlight w:val="none"/>
        </w:rPr>
      </w:pPr>
    </w:p>
    <w:p>
      <w:pPr>
        <w:pStyle w:val="34"/>
        <w:ind w:firstLine="0" w:firstLineChars="0"/>
        <w:jc w:val="left"/>
        <w:outlineLvl w:val="1"/>
        <w:rPr>
          <w:rFonts w:cs="Times New Roman" w:asciiTheme="minorEastAsia" w:hAnsiTheme="minorEastAsia" w:eastAsiaTheme="minorEastAsia"/>
          <w:b/>
          <w:bCs/>
          <w:color w:val="auto"/>
          <w:kern w:val="44"/>
          <w:sz w:val="28"/>
          <w:szCs w:val="28"/>
          <w:highlight w:val="none"/>
        </w:rPr>
      </w:pPr>
      <w:bookmarkStart w:id="198" w:name="_Toc133413409"/>
      <w:bookmarkStart w:id="199" w:name="_Hlk133417907"/>
      <w:r>
        <w:rPr>
          <w:rFonts w:cs="Times New Roman" w:asciiTheme="minorEastAsia" w:hAnsiTheme="minorEastAsia" w:eastAsiaTheme="minorEastAsia"/>
          <w:b/>
          <w:bCs/>
          <w:color w:val="auto"/>
          <w:kern w:val="44"/>
          <w:sz w:val="28"/>
          <w:szCs w:val="28"/>
          <w:highlight w:val="none"/>
        </w:rPr>
        <w:t>5</w:t>
      </w:r>
      <w:r>
        <w:rPr>
          <w:rFonts w:hint="eastAsia" w:cs="Times New Roman" w:asciiTheme="minorEastAsia" w:hAnsiTheme="minorEastAsia" w:eastAsiaTheme="minorEastAsia"/>
          <w:b/>
          <w:bCs/>
          <w:color w:val="auto"/>
          <w:kern w:val="44"/>
          <w:sz w:val="28"/>
          <w:szCs w:val="28"/>
          <w:highlight w:val="none"/>
        </w:rPr>
        <w:t>、</w:t>
      </w:r>
      <w:r>
        <w:rPr>
          <w:rFonts w:hint="eastAsia"/>
          <w:b/>
          <w:bCs/>
          <w:color w:val="auto"/>
          <w:sz w:val="28"/>
          <w:szCs w:val="32"/>
          <w:highlight w:val="none"/>
        </w:rPr>
        <w:t>诚信承诺书</w:t>
      </w:r>
      <w:bookmarkEnd w:id="198"/>
    </w:p>
    <w:p>
      <w:pPr>
        <w:jc w:val="center"/>
        <w:rPr>
          <w:b/>
          <w:bCs/>
          <w:color w:val="auto"/>
          <w:sz w:val="28"/>
          <w:szCs w:val="32"/>
          <w:highlight w:val="none"/>
        </w:rPr>
      </w:pPr>
      <w:r>
        <w:rPr>
          <w:rFonts w:hint="eastAsia"/>
          <w:b/>
          <w:bCs/>
          <w:color w:val="auto"/>
          <w:sz w:val="28"/>
          <w:szCs w:val="32"/>
          <w:highlight w:val="none"/>
        </w:rPr>
        <w:t>诚信承诺书</w:t>
      </w:r>
      <w:r>
        <w:rPr>
          <w:b/>
          <w:bCs/>
          <w:color w:val="auto"/>
          <w:sz w:val="28"/>
          <w:szCs w:val="32"/>
          <w:highlight w:val="none"/>
        </w:rPr>
        <w:cr/>
      </w:r>
    </w:p>
    <w:p>
      <w:pPr>
        <w:spacing w:line="360" w:lineRule="auto"/>
        <w:ind w:firstLine="420"/>
        <w:rPr>
          <w:color w:val="auto"/>
          <w:szCs w:val="21"/>
          <w:highlight w:val="none"/>
        </w:rPr>
      </w:pPr>
      <w:bookmarkStart w:id="200" w:name="_Toc65865768"/>
      <w:r>
        <w:rPr>
          <w:rFonts w:hint="eastAsia"/>
          <w:color w:val="auto"/>
          <w:szCs w:val="21"/>
          <w:highlight w:val="none"/>
          <w:u w:val="single"/>
        </w:rPr>
        <w:t xml:space="preserve">（采购人） </w:t>
      </w:r>
      <w:r>
        <w:rPr>
          <w:color w:val="auto"/>
          <w:szCs w:val="21"/>
          <w:highlight w:val="none"/>
          <w:u w:val="single"/>
        </w:rPr>
        <w:t xml:space="preserve">       </w:t>
      </w:r>
      <w:r>
        <w:rPr>
          <w:rFonts w:hint="eastAsia"/>
          <w:color w:val="auto"/>
          <w:szCs w:val="21"/>
          <w:highlight w:val="none"/>
        </w:rPr>
        <w:t>：</w:t>
      </w:r>
    </w:p>
    <w:p>
      <w:pPr>
        <w:spacing w:line="360" w:lineRule="auto"/>
        <w:ind w:firstLine="420"/>
        <w:rPr>
          <w:color w:val="auto"/>
          <w:szCs w:val="21"/>
          <w:highlight w:val="none"/>
        </w:rPr>
      </w:pPr>
      <w:r>
        <w:rPr>
          <w:rFonts w:hint="eastAsia"/>
          <w:color w:val="auto"/>
          <w:szCs w:val="21"/>
          <w:highlight w:val="none"/>
        </w:rPr>
        <w:t>我公司</w:t>
      </w:r>
      <w:r>
        <w:rPr>
          <w:color w:val="auto"/>
          <w:szCs w:val="21"/>
          <w:highlight w:val="none"/>
          <w:u w:val="single"/>
        </w:rPr>
        <w:t xml:space="preserve">    </w:t>
      </w:r>
      <w:r>
        <w:rPr>
          <w:rFonts w:hint="eastAsia"/>
          <w:color w:val="auto"/>
          <w:szCs w:val="21"/>
          <w:highlight w:val="none"/>
          <w:u w:val="single"/>
        </w:rPr>
        <w:t xml:space="preserve">（供应商名称） </w:t>
      </w:r>
      <w:r>
        <w:rPr>
          <w:color w:val="auto"/>
          <w:szCs w:val="21"/>
          <w:highlight w:val="none"/>
          <w:u w:val="single"/>
        </w:rPr>
        <w:t xml:space="preserve">   </w:t>
      </w:r>
      <w:r>
        <w:rPr>
          <w:rFonts w:hint="eastAsia"/>
          <w:color w:val="auto"/>
          <w:szCs w:val="21"/>
          <w:highlight w:val="none"/>
        </w:rPr>
        <w:t>已详细阅读了项目名称、包号（项目编号：）采购文件，自</w:t>
      </w:r>
    </w:p>
    <w:p>
      <w:pPr>
        <w:spacing w:line="360" w:lineRule="auto"/>
        <w:rPr>
          <w:color w:val="auto"/>
          <w:szCs w:val="21"/>
          <w:highlight w:val="none"/>
        </w:rPr>
      </w:pPr>
      <w:r>
        <w:rPr>
          <w:rFonts w:hint="eastAsia"/>
          <w:color w:val="auto"/>
          <w:szCs w:val="21"/>
          <w:highlight w:val="none"/>
        </w:rPr>
        <w:t>愿参加本次招标，现就有关事项郑重承诺如下：</w:t>
      </w:r>
    </w:p>
    <w:p>
      <w:pPr>
        <w:spacing w:line="360" w:lineRule="auto"/>
        <w:ind w:firstLine="420"/>
        <w:rPr>
          <w:color w:val="auto"/>
          <w:szCs w:val="21"/>
          <w:highlight w:val="none"/>
        </w:rPr>
      </w:pPr>
      <w:r>
        <w:rPr>
          <w:rFonts w:hint="eastAsia"/>
          <w:color w:val="auto"/>
          <w:szCs w:val="21"/>
          <w:highlight w:val="none"/>
        </w:rPr>
        <w:t>一、诚信报价，材料真实。我公司保证所提供的全部材料、报价内容均真实、合法、有效，保证不出借或者借用其他企业资质，不以他人名义报价，不弄虚作假；</w:t>
      </w:r>
    </w:p>
    <w:p>
      <w:pPr>
        <w:spacing w:line="360" w:lineRule="auto"/>
        <w:ind w:firstLine="420"/>
        <w:rPr>
          <w:color w:val="auto"/>
          <w:szCs w:val="21"/>
          <w:highlight w:val="none"/>
        </w:rPr>
      </w:pPr>
      <w:r>
        <w:rPr>
          <w:rFonts w:hint="eastAsia"/>
          <w:color w:val="auto"/>
          <w:szCs w:val="21"/>
          <w:highlight w:val="none"/>
        </w:rPr>
        <w:t>二、遵纪守法，公平竞争。不与其他供应商相互串通、哄抬价格，不排挤其他供应商，不损害采购人的合法权益；不向采购人、采购代理机构、评标小组成员等及其他参与采购活动的人员行贿或采用其他不正当手段谋取成交；</w:t>
      </w:r>
    </w:p>
    <w:p>
      <w:pPr>
        <w:spacing w:line="360" w:lineRule="auto"/>
        <w:ind w:firstLine="420"/>
        <w:rPr>
          <w:color w:val="auto"/>
          <w:szCs w:val="21"/>
          <w:highlight w:val="none"/>
        </w:rPr>
      </w:pPr>
      <w:r>
        <w:rPr>
          <w:rFonts w:hint="eastAsia"/>
          <w:color w:val="auto"/>
          <w:szCs w:val="21"/>
          <w:highlight w:val="none"/>
        </w:rPr>
        <w:t>三、不捏造事实或借用他人名义进行虚假、恶意质疑和投诉，不以质疑或投诉为名排挤竞争对手，干扰采购秩序；</w:t>
      </w:r>
    </w:p>
    <w:p>
      <w:pPr>
        <w:spacing w:line="360" w:lineRule="auto"/>
        <w:ind w:firstLine="420"/>
        <w:rPr>
          <w:color w:val="auto"/>
          <w:szCs w:val="21"/>
          <w:highlight w:val="none"/>
        </w:rPr>
      </w:pPr>
      <w:r>
        <w:rPr>
          <w:rFonts w:hint="eastAsia"/>
          <w:color w:val="auto"/>
          <w:szCs w:val="21"/>
          <w:highlight w:val="none"/>
        </w:rPr>
        <w:t>四、若成交后，将按照规定及时与采购人签订采购合同，不与采购人订立有悖于采购结果的合同或协议；严格履行采购合同，不降低合同约定的产品质量及相关服务，不擅自变更、中止、终止合同，或者拒绝履行合同义务。</w:t>
      </w:r>
    </w:p>
    <w:p>
      <w:pPr>
        <w:spacing w:line="360" w:lineRule="auto"/>
        <w:ind w:firstLine="420"/>
        <w:rPr>
          <w:color w:val="auto"/>
          <w:szCs w:val="21"/>
          <w:highlight w:val="none"/>
        </w:rPr>
      </w:pPr>
      <w:r>
        <w:rPr>
          <w:rFonts w:hint="eastAsia"/>
          <w:color w:val="auto"/>
          <w:szCs w:val="21"/>
          <w:highlight w:val="none"/>
        </w:rPr>
        <w:t>若有违反以上承诺内容的行为，我公司自愿接受取消报价资格、记入信用档案、媒体通报、1～3年内禁止参与贵司采购活动等处罚；如已成交的，自动放弃成交资格，并承担全部法律责任；给采购人造成损失的，依法承担赔偿责任。</w:t>
      </w:r>
    </w:p>
    <w:p>
      <w:pPr>
        <w:pStyle w:val="26"/>
        <w:rPr>
          <w:color w:val="auto"/>
          <w:highlight w:val="none"/>
        </w:rPr>
      </w:pPr>
    </w:p>
    <w:p>
      <w:pPr>
        <w:spacing w:line="360" w:lineRule="auto"/>
        <w:jc w:val="center"/>
        <w:rPr>
          <w:rFonts w:ascii="宋体" w:hAnsi="宋体" w:cs="宋体"/>
          <w:color w:val="auto"/>
          <w:szCs w:val="21"/>
          <w:highlight w:val="none"/>
          <w:u w:val="single"/>
        </w:rPr>
      </w:pPr>
      <w:r>
        <w:rPr>
          <w:rFonts w:hint="eastAsia" w:ascii="宋体" w:hAnsi="宋体" w:cs="宋体"/>
          <w:color w:val="auto"/>
          <w:sz w:val="24"/>
          <w:highlight w:val="none"/>
        </w:rPr>
        <w:t xml:space="preserve">     </w:t>
      </w:r>
      <w:r>
        <w:rPr>
          <w:rFonts w:hint="eastAsia" w:ascii="宋体" w:hAnsi="宋体" w:cs="宋体"/>
          <w:color w:val="auto"/>
          <w:szCs w:val="21"/>
          <w:highlight w:val="none"/>
        </w:rPr>
        <w:t>报价人(盖章)：</w:t>
      </w:r>
      <w:r>
        <w:rPr>
          <w:rFonts w:hint="eastAsia" w:ascii="宋体" w:hAnsi="宋体" w:cs="宋体"/>
          <w:color w:val="auto"/>
          <w:szCs w:val="21"/>
          <w:highlight w:val="none"/>
          <w:u w:val="single"/>
        </w:rPr>
        <w:t xml:space="preserve">                        </w:t>
      </w:r>
    </w:p>
    <w:p>
      <w:pPr>
        <w:spacing w:line="360" w:lineRule="auto"/>
        <w:jc w:val="center"/>
        <w:rPr>
          <w:rFonts w:ascii="宋体" w:hAnsi="宋体" w:cs="宋体"/>
          <w:color w:val="auto"/>
          <w:szCs w:val="21"/>
          <w:highlight w:val="none"/>
          <w:u w:val="single"/>
        </w:rPr>
      </w:pPr>
      <w:r>
        <w:rPr>
          <w:rFonts w:hint="eastAsia" w:ascii="宋体" w:hAnsi="宋体" w:cs="Arial"/>
          <w:color w:val="auto"/>
          <w:kern w:val="0"/>
          <w:szCs w:val="21"/>
          <w:highlight w:val="none"/>
        </w:rPr>
        <w:t xml:space="preserve">    法定代表人或授权委托人</w:t>
      </w:r>
      <w:r>
        <w:rPr>
          <w:rFonts w:hint="eastAsia" w:ascii="宋体" w:hAnsi="宋体" w:cs="宋体"/>
          <w:color w:val="auto"/>
          <w:szCs w:val="21"/>
          <w:highlight w:val="none"/>
        </w:rPr>
        <w:t>（签字或盖章）：</w:t>
      </w:r>
      <w:r>
        <w:rPr>
          <w:rFonts w:hint="eastAsia" w:ascii="宋体" w:hAnsi="宋体" w:cs="宋体"/>
          <w:color w:val="auto"/>
          <w:szCs w:val="21"/>
          <w:highlight w:val="none"/>
          <w:u w:val="single"/>
        </w:rPr>
        <w:t xml:space="preserve">              </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 xml:space="preserve">                   日期：  年  月   日</w:t>
      </w:r>
    </w:p>
    <w:p>
      <w:pPr>
        <w:pStyle w:val="26"/>
        <w:rPr>
          <w:color w:val="auto"/>
          <w:sz w:val="21"/>
          <w:szCs w:val="21"/>
          <w:highlight w:val="none"/>
        </w:rPr>
      </w:pPr>
    </w:p>
    <w:p>
      <w:pPr>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注：本承诺书作为响应文件的必备要件，由供应商的</w:t>
      </w:r>
      <w:r>
        <w:rPr>
          <w:rFonts w:hint="eastAsia" w:ascii="宋体" w:hAnsi="宋体" w:cs="Arial"/>
          <w:b/>
          <w:bCs/>
          <w:color w:val="auto"/>
          <w:kern w:val="0"/>
          <w:szCs w:val="21"/>
          <w:highlight w:val="none"/>
        </w:rPr>
        <w:t>法定代表人或授权委托人</w:t>
      </w:r>
      <w:r>
        <w:rPr>
          <w:rFonts w:hint="eastAsia" w:ascii="宋体" w:hAnsi="宋体" w:cs="宋体"/>
          <w:b/>
          <w:bCs/>
          <w:color w:val="auto"/>
          <w:szCs w:val="21"/>
          <w:highlight w:val="none"/>
        </w:rPr>
        <w:t>签署，否则视为未实质上响应采购文件，由供应商承担由此造成的一切后果和损失。</w:t>
      </w:r>
    </w:p>
    <w:bookmarkEnd w:id="199"/>
    <w:p>
      <w:pPr>
        <w:pStyle w:val="10"/>
        <w:rPr>
          <w:color w:val="auto"/>
          <w:highlight w:val="none"/>
        </w:rPr>
      </w:pPr>
    </w:p>
    <w:p>
      <w:pPr>
        <w:pStyle w:val="11"/>
        <w:ind w:firstLine="420"/>
        <w:rPr>
          <w:color w:val="auto"/>
          <w:highlight w:val="none"/>
        </w:rPr>
      </w:pPr>
    </w:p>
    <w:bookmarkEnd w:id="200"/>
    <w:p>
      <w:pPr>
        <w:pStyle w:val="10"/>
        <w:rPr>
          <w:color w:val="auto"/>
          <w:highlight w:val="none"/>
        </w:rPr>
      </w:pPr>
    </w:p>
    <w:p>
      <w:pPr>
        <w:pStyle w:val="34"/>
        <w:ind w:firstLine="166" w:firstLineChars="59"/>
        <w:jc w:val="left"/>
        <w:outlineLvl w:val="1"/>
        <w:rPr>
          <w:rFonts w:cs="Times New Roman" w:asciiTheme="minorEastAsia" w:hAnsiTheme="minorEastAsia" w:eastAsiaTheme="minorEastAsia"/>
          <w:b/>
          <w:bCs/>
          <w:color w:val="auto"/>
          <w:kern w:val="44"/>
          <w:sz w:val="28"/>
          <w:szCs w:val="28"/>
          <w:highlight w:val="none"/>
        </w:rPr>
      </w:pPr>
      <w:bookmarkStart w:id="201" w:name="_Toc65865769"/>
      <w:bookmarkStart w:id="202" w:name="_Toc133413410"/>
      <w:bookmarkStart w:id="203" w:name="_Hlk133417953"/>
      <w:r>
        <w:rPr>
          <w:rFonts w:cs="Times New Roman" w:asciiTheme="minorEastAsia" w:hAnsiTheme="minorEastAsia" w:eastAsiaTheme="minorEastAsia"/>
          <w:b/>
          <w:bCs/>
          <w:color w:val="auto"/>
          <w:kern w:val="44"/>
          <w:sz w:val="28"/>
          <w:szCs w:val="28"/>
          <w:highlight w:val="none"/>
        </w:rPr>
        <w:t>6</w:t>
      </w:r>
      <w:r>
        <w:rPr>
          <w:rFonts w:hint="eastAsia" w:cs="Times New Roman" w:asciiTheme="minorEastAsia" w:hAnsiTheme="minorEastAsia" w:eastAsiaTheme="minorEastAsia"/>
          <w:b/>
          <w:bCs/>
          <w:color w:val="auto"/>
          <w:kern w:val="44"/>
          <w:sz w:val="28"/>
          <w:szCs w:val="28"/>
          <w:highlight w:val="none"/>
        </w:rPr>
        <w:t>、资格资质证明文件</w:t>
      </w:r>
      <w:bookmarkEnd w:id="201"/>
      <w:bookmarkEnd w:id="202"/>
    </w:p>
    <w:p>
      <w:pPr>
        <w:spacing w:line="360" w:lineRule="auto"/>
        <w:rPr>
          <w:color w:val="auto"/>
          <w:sz w:val="24"/>
          <w:highlight w:val="none"/>
        </w:rPr>
      </w:pPr>
      <w:r>
        <w:rPr>
          <w:rFonts w:hint="eastAsia"/>
          <w:color w:val="auto"/>
          <w:highlight w:val="none"/>
        </w:rPr>
        <w:t xml:space="preserve">  </w:t>
      </w:r>
      <w:r>
        <w:rPr>
          <w:rFonts w:hint="eastAsia"/>
          <w:color w:val="auto"/>
          <w:sz w:val="24"/>
          <w:highlight w:val="none"/>
        </w:rPr>
        <w:t>包括但不限于以下文件：</w:t>
      </w:r>
    </w:p>
    <w:p>
      <w:pPr>
        <w:spacing w:line="360" w:lineRule="auto"/>
        <w:ind w:firstLine="240" w:firstLineChars="100"/>
        <w:rPr>
          <w:color w:val="auto"/>
          <w:sz w:val="24"/>
          <w:highlight w:val="none"/>
        </w:rPr>
      </w:pPr>
      <w:r>
        <w:rPr>
          <w:rFonts w:hint="eastAsia"/>
          <w:color w:val="auto"/>
          <w:sz w:val="24"/>
          <w:highlight w:val="none"/>
        </w:rPr>
        <w:t>（1）企业营业执照扫描件或照片</w:t>
      </w:r>
    </w:p>
    <w:p>
      <w:pPr>
        <w:spacing w:line="360" w:lineRule="auto"/>
        <w:ind w:firstLine="240" w:firstLineChars="100"/>
        <w:rPr>
          <w:color w:val="auto"/>
          <w:sz w:val="24"/>
          <w:highlight w:val="none"/>
        </w:rPr>
      </w:pPr>
    </w:p>
    <w:p>
      <w:pPr>
        <w:spacing w:line="360" w:lineRule="auto"/>
        <w:ind w:firstLine="240" w:firstLineChars="100"/>
        <w:rPr>
          <w:color w:val="auto"/>
          <w:sz w:val="24"/>
          <w:highlight w:val="none"/>
        </w:rPr>
      </w:pPr>
      <w:r>
        <w:rPr>
          <w:rFonts w:hint="eastAsia"/>
          <w:color w:val="auto"/>
          <w:sz w:val="24"/>
          <w:highlight w:val="none"/>
        </w:rPr>
        <w:t>（2）质量管理体系认证证书</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2078"/>
        <w:gridCol w:w="6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Calibri" w:hAnsi="Calibri"/>
                <w:color w:val="auto"/>
                <w:szCs w:val="20"/>
                <w:highlight w:val="none"/>
                <w:lang w:bidi="ar"/>
              </w:rPr>
            </w:pPr>
            <w:r>
              <w:rPr>
                <w:rFonts w:hint="eastAsia"/>
                <w:color w:val="auto"/>
                <w:szCs w:val="20"/>
                <w:highlight w:val="none"/>
                <w:lang w:bidi="ar"/>
              </w:rPr>
              <w:t>序号</w:t>
            </w:r>
          </w:p>
        </w:tc>
        <w:tc>
          <w:tcPr>
            <w:tcW w:w="219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Calibri" w:hAnsi="Calibri"/>
                <w:color w:val="auto"/>
                <w:szCs w:val="20"/>
                <w:highlight w:val="none"/>
                <w:lang w:bidi="ar"/>
              </w:rPr>
            </w:pPr>
            <w:r>
              <w:rPr>
                <w:rFonts w:hint="eastAsia"/>
                <w:color w:val="auto"/>
                <w:kern w:val="0"/>
                <w:sz w:val="20"/>
                <w:szCs w:val="20"/>
                <w:highlight w:val="none"/>
                <w:lang w:bidi="ar"/>
              </w:rPr>
              <w:t>名称</w:t>
            </w:r>
          </w:p>
        </w:tc>
        <w:tc>
          <w:tcPr>
            <w:tcW w:w="659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Calibri" w:hAnsi="Calibri"/>
                <w:color w:val="auto"/>
                <w:szCs w:val="20"/>
                <w:highlight w:val="none"/>
                <w:lang w:bidi="ar"/>
              </w:rPr>
            </w:pPr>
            <w:r>
              <w:rPr>
                <w:rFonts w:hint="eastAsia"/>
                <w:color w:val="auto"/>
                <w:szCs w:val="20"/>
                <w:highlight w:val="none"/>
                <w:lang w:bidi="ar"/>
              </w:rPr>
              <w:t>报价人填写内容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Calibri" w:hAnsi="Calibri"/>
                <w:color w:val="auto"/>
                <w:szCs w:val="20"/>
                <w:highlight w:val="none"/>
                <w:lang w:bidi="ar"/>
              </w:rPr>
            </w:pPr>
            <w:r>
              <w:rPr>
                <w:color w:val="auto"/>
                <w:szCs w:val="20"/>
                <w:highlight w:val="none"/>
                <w:lang w:bidi="ar"/>
              </w:rPr>
              <w:t>1</w:t>
            </w:r>
          </w:p>
        </w:tc>
        <w:tc>
          <w:tcPr>
            <w:tcW w:w="219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Calibri" w:hAnsi="Calibri"/>
                <w:color w:val="auto"/>
                <w:szCs w:val="20"/>
                <w:highlight w:val="none"/>
                <w:lang w:bidi="ar"/>
              </w:rPr>
            </w:pPr>
            <w:r>
              <w:rPr>
                <w:rFonts w:hint="eastAsia"/>
                <w:color w:val="auto"/>
                <w:kern w:val="0"/>
                <w:sz w:val="20"/>
                <w:szCs w:val="20"/>
                <w:highlight w:val="none"/>
                <w:lang w:bidi="ar"/>
              </w:rPr>
              <w:t>统一社会信用代码</w:t>
            </w:r>
          </w:p>
        </w:tc>
        <w:tc>
          <w:tcPr>
            <w:tcW w:w="659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Calibri" w:hAnsi="Calibri"/>
                <w:color w:val="auto"/>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Calibri" w:hAnsi="Calibri"/>
                <w:color w:val="auto"/>
                <w:szCs w:val="20"/>
                <w:highlight w:val="none"/>
                <w:lang w:bidi="ar"/>
              </w:rPr>
            </w:pPr>
            <w:r>
              <w:rPr>
                <w:color w:val="auto"/>
                <w:szCs w:val="20"/>
                <w:highlight w:val="none"/>
                <w:lang w:bidi="ar"/>
              </w:rPr>
              <w:t>2</w:t>
            </w:r>
          </w:p>
        </w:tc>
        <w:tc>
          <w:tcPr>
            <w:tcW w:w="219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Calibri" w:hAnsi="Calibri"/>
                <w:color w:val="auto"/>
                <w:szCs w:val="20"/>
                <w:highlight w:val="none"/>
                <w:lang w:bidi="ar"/>
              </w:rPr>
            </w:pPr>
            <w:r>
              <w:rPr>
                <w:rFonts w:hint="eastAsia"/>
                <w:color w:val="auto"/>
                <w:kern w:val="0"/>
                <w:sz w:val="20"/>
                <w:szCs w:val="20"/>
                <w:highlight w:val="none"/>
                <w:lang w:bidi="ar"/>
              </w:rPr>
              <w:t>认证体系标准</w:t>
            </w:r>
          </w:p>
        </w:tc>
        <w:tc>
          <w:tcPr>
            <w:tcW w:w="659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Calibri" w:hAnsi="Calibri"/>
                <w:color w:val="auto"/>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Calibri" w:hAnsi="Calibri"/>
                <w:color w:val="auto"/>
                <w:szCs w:val="20"/>
                <w:highlight w:val="none"/>
                <w:lang w:bidi="ar"/>
              </w:rPr>
            </w:pPr>
            <w:r>
              <w:rPr>
                <w:color w:val="auto"/>
                <w:szCs w:val="20"/>
                <w:highlight w:val="none"/>
                <w:lang w:bidi="ar"/>
              </w:rPr>
              <w:t>3</w:t>
            </w:r>
          </w:p>
        </w:tc>
        <w:tc>
          <w:tcPr>
            <w:tcW w:w="219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Calibri" w:hAnsi="Calibri"/>
                <w:color w:val="auto"/>
                <w:szCs w:val="20"/>
                <w:highlight w:val="none"/>
                <w:lang w:bidi="ar"/>
              </w:rPr>
            </w:pPr>
            <w:r>
              <w:rPr>
                <w:rFonts w:hint="eastAsia"/>
                <w:color w:val="auto"/>
                <w:kern w:val="0"/>
                <w:sz w:val="20"/>
                <w:szCs w:val="20"/>
                <w:highlight w:val="none"/>
                <w:lang w:bidi="ar"/>
              </w:rPr>
              <w:t>认证范围</w:t>
            </w:r>
          </w:p>
        </w:tc>
        <w:tc>
          <w:tcPr>
            <w:tcW w:w="659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Calibri" w:hAnsi="Calibri"/>
                <w:color w:val="auto"/>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Calibri" w:hAnsi="Calibri"/>
                <w:color w:val="auto"/>
                <w:szCs w:val="20"/>
                <w:highlight w:val="none"/>
                <w:lang w:bidi="ar"/>
              </w:rPr>
            </w:pPr>
            <w:r>
              <w:rPr>
                <w:color w:val="auto"/>
                <w:szCs w:val="20"/>
                <w:highlight w:val="none"/>
                <w:lang w:bidi="ar"/>
              </w:rPr>
              <w:t>4</w:t>
            </w:r>
          </w:p>
        </w:tc>
        <w:tc>
          <w:tcPr>
            <w:tcW w:w="219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Calibri" w:hAnsi="Calibri"/>
                <w:color w:val="auto"/>
                <w:szCs w:val="20"/>
                <w:highlight w:val="none"/>
                <w:lang w:bidi="ar"/>
              </w:rPr>
            </w:pPr>
            <w:r>
              <w:rPr>
                <w:rFonts w:hint="eastAsia"/>
                <w:color w:val="auto"/>
                <w:kern w:val="0"/>
                <w:sz w:val="20"/>
                <w:szCs w:val="20"/>
                <w:highlight w:val="none"/>
                <w:lang w:bidi="ar"/>
              </w:rPr>
              <w:t>认证有效期</w:t>
            </w:r>
          </w:p>
        </w:tc>
        <w:tc>
          <w:tcPr>
            <w:tcW w:w="659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Calibri" w:hAnsi="Calibri"/>
                <w:color w:val="auto"/>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Calibri" w:hAnsi="Calibri"/>
                <w:color w:val="auto"/>
                <w:szCs w:val="20"/>
                <w:highlight w:val="none"/>
                <w:lang w:bidi="ar"/>
              </w:rPr>
            </w:pPr>
            <w:r>
              <w:rPr>
                <w:color w:val="auto"/>
                <w:szCs w:val="20"/>
                <w:highlight w:val="none"/>
                <w:lang w:bidi="ar"/>
              </w:rPr>
              <w:t>5</w:t>
            </w:r>
          </w:p>
        </w:tc>
        <w:tc>
          <w:tcPr>
            <w:tcW w:w="219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Calibri" w:hAnsi="Calibri"/>
                <w:color w:val="auto"/>
                <w:szCs w:val="20"/>
                <w:highlight w:val="none"/>
                <w:lang w:bidi="ar"/>
              </w:rPr>
            </w:pPr>
            <w:r>
              <w:rPr>
                <w:rFonts w:hint="eastAsia"/>
                <w:color w:val="auto"/>
                <w:kern w:val="0"/>
                <w:sz w:val="20"/>
                <w:szCs w:val="20"/>
                <w:highlight w:val="none"/>
                <w:lang w:bidi="ar"/>
              </w:rPr>
              <w:t>认证机构</w:t>
            </w:r>
          </w:p>
        </w:tc>
        <w:tc>
          <w:tcPr>
            <w:tcW w:w="659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Calibri" w:hAnsi="Calibri"/>
                <w:color w:val="auto"/>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Calibri" w:hAnsi="Calibri"/>
                <w:color w:val="auto"/>
                <w:szCs w:val="20"/>
                <w:highlight w:val="none"/>
                <w:lang w:bidi="ar"/>
              </w:rPr>
            </w:pPr>
            <w:r>
              <w:rPr>
                <w:color w:val="auto"/>
                <w:szCs w:val="20"/>
                <w:highlight w:val="none"/>
                <w:lang w:bidi="ar"/>
              </w:rPr>
              <w:t>6</w:t>
            </w:r>
          </w:p>
        </w:tc>
        <w:tc>
          <w:tcPr>
            <w:tcW w:w="219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Calibri" w:hAnsi="Calibri"/>
                <w:color w:val="auto"/>
                <w:szCs w:val="20"/>
                <w:highlight w:val="none"/>
                <w:lang w:bidi="ar"/>
              </w:rPr>
            </w:pPr>
            <w:r>
              <w:rPr>
                <w:rFonts w:hint="eastAsia"/>
                <w:color w:val="auto"/>
                <w:kern w:val="0"/>
                <w:sz w:val="20"/>
                <w:szCs w:val="20"/>
                <w:highlight w:val="none"/>
                <w:lang w:bidi="ar"/>
              </w:rPr>
              <w:t>签发日期</w:t>
            </w:r>
          </w:p>
        </w:tc>
        <w:tc>
          <w:tcPr>
            <w:tcW w:w="659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Calibri" w:hAnsi="Calibri"/>
                <w:color w:val="auto"/>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Calibri" w:hAnsi="Calibri"/>
                <w:color w:val="auto"/>
                <w:szCs w:val="20"/>
                <w:highlight w:val="none"/>
                <w:lang w:bidi="ar"/>
              </w:rPr>
            </w:pPr>
            <w:r>
              <w:rPr>
                <w:color w:val="auto"/>
                <w:szCs w:val="20"/>
                <w:highlight w:val="none"/>
                <w:lang w:bidi="ar"/>
              </w:rPr>
              <w:t>7</w:t>
            </w:r>
          </w:p>
        </w:tc>
        <w:tc>
          <w:tcPr>
            <w:tcW w:w="219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Calibri" w:hAnsi="Calibri"/>
                <w:color w:val="auto"/>
                <w:szCs w:val="20"/>
                <w:highlight w:val="none"/>
                <w:lang w:bidi="ar"/>
              </w:rPr>
            </w:pPr>
            <w:r>
              <w:rPr>
                <w:rFonts w:hint="eastAsia"/>
                <w:color w:val="auto"/>
                <w:kern w:val="0"/>
                <w:sz w:val="20"/>
                <w:szCs w:val="20"/>
                <w:highlight w:val="none"/>
                <w:lang w:bidi="ar"/>
              </w:rPr>
              <w:t>备注</w:t>
            </w:r>
            <w:r>
              <w:rPr>
                <w:color w:val="auto"/>
                <w:kern w:val="0"/>
                <w:sz w:val="20"/>
                <w:szCs w:val="20"/>
                <w:highlight w:val="none"/>
                <w:lang w:bidi="ar"/>
              </w:rPr>
              <w:t>1</w:t>
            </w:r>
          </w:p>
        </w:tc>
        <w:tc>
          <w:tcPr>
            <w:tcW w:w="659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Calibri" w:hAnsi="Calibri"/>
                <w:color w:val="auto"/>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Calibri" w:hAnsi="Calibri"/>
                <w:color w:val="auto"/>
                <w:szCs w:val="20"/>
                <w:highlight w:val="none"/>
                <w:lang w:bidi="ar"/>
              </w:rPr>
            </w:pPr>
            <w:r>
              <w:rPr>
                <w:color w:val="auto"/>
                <w:szCs w:val="20"/>
                <w:highlight w:val="none"/>
                <w:lang w:bidi="ar"/>
              </w:rPr>
              <w:t>8</w:t>
            </w:r>
          </w:p>
        </w:tc>
        <w:tc>
          <w:tcPr>
            <w:tcW w:w="219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Calibri" w:hAnsi="Calibri"/>
                <w:color w:val="auto"/>
                <w:szCs w:val="20"/>
                <w:highlight w:val="none"/>
                <w:lang w:bidi="ar"/>
              </w:rPr>
            </w:pPr>
            <w:r>
              <w:rPr>
                <w:rFonts w:hint="eastAsia"/>
                <w:color w:val="auto"/>
                <w:kern w:val="0"/>
                <w:sz w:val="20"/>
                <w:szCs w:val="20"/>
                <w:highlight w:val="none"/>
                <w:lang w:bidi="ar"/>
              </w:rPr>
              <w:t>备注</w:t>
            </w:r>
            <w:r>
              <w:rPr>
                <w:color w:val="auto"/>
                <w:kern w:val="0"/>
                <w:sz w:val="20"/>
                <w:szCs w:val="20"/>
                <w:highlight w:val="none"/>
                <w:lang w:bidi="ar"/>
              </w:rPr>
              <w:t>2</w:t>
            </w:r>
          </w:p>
        </w:tc>
        <w:tc>
          <w:tcPr>
            <w:tcW w:w="659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Calibri" w:hAnsi="Calibri"/>
                <w:color w:val="auto"/>
                <w:szCs w:val="20"/>
                <w:highlight w:val="none"/>
                <w:lang w:bidi="ar"/>
              </w:rPr>
            </w:pPr>
          </w:p>
        </w:tc>
      </w:tr>
    </w:tbl>
    <w:p>
      <w:pPr>
        <w:adjustRightInd w:val="0"/>
        <w:snapToGrid w:val="0"/>
        <w:spacing w:line="360" w:lineRule="auto"/>
        <w:ind w:firstLine="480"/>
        <w:rPr>
          <w:color w:val="auto"/>
          <w:szCs w:val="20"/>
          <w:highlight w:val="none"/>
          <w:lang w:bidi="ar"/>
        </w:rPr>
      </w:pPr>
      <w:r>
        <w:rPr>
          <w:rFonts w:hint="eastAsia"/>
          <w:color w:val="auto"/>
          <w:szCs w:val="20"/>
          <w:highlight w:val="none"/>
          <w:lang w:bidi="ar"/>
        </w:rPr>
        <w:t>注：报价人应填写上表，并上传认证证书扫描件或照片。</w:t>
      </w:r>
    </w:p>
    <w:p>
      <w:pPr>
        <w:spacing w:line="360" w:lineRule="auto"/>
        <w:ind w:firstLine="240" w:firstLineChars="100"/>
        <w:rPr>
          <w:color w:val="auto"/>
          <w:sz w:val="24"/>
          <w:highlight w:val="none"/>
        </w:rPr>
      </w:pPr>
    </w:p>
    <w:p>
      <w:pPr>
        <w:spacing w:line="360" w:lineRule="auto"/>
        <w:ind w:firstLine="240" w:firstLineChars="100"/>
        <w:rPr>
          <w:color w:val="auto"/>
          <w:sz w:val="24"/>
          <w:highlight w:val="none"/>
        </w:rPr>
      </w:pPr>
      <w:r>
        <w:rPr>
          <w:rFonts w:hint="eastAsia"/>
          <w:color w:val="auto"/>
          <w:sz w:val="24"/>
          <w:highlight w:val="none"/>
        </w:rPr>
        <w:t>（3）近年完成的类似项目情况表（如有）</w:t>
      </w:r>
    </w:p>
    <w:tbl>
      <w:tblPr>
        <w:tblStyle w:val="27"/>
        <w:tblpPr w:leftFromText="180" w:rightFromText="180" w:vertAnchor="text" w:horzAnchor="margin" w:tblpXSpec="center" w:tblpY="34"/>
        <w:tblW w:w="9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231"/>
        <w:gridCol w:w="921"/>
        <w:gridCol w:w="1138"/>
        <w:gridCol w:w="1176"/>
        <w:gridCol w:w="1176"/>
        <w:gridCol w:w="1176"/>
        <w:gridCol w:w="1617"/>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44" w:type="dxa"/>
            <w:vAlign w:val="center"/>
          </w:tcPr>
          <w:p>
            <w:pPr>
              <w:pStyle w:val="65"/>
              <w:ind w:firstLine="0" w:firstLineChars="0"/>
              <w:jc w:val="center"/>
              <w:rPr>
                <w:b/>
                <w:color w:val="auto"/>
                <w:sz w:val="21"/>
                <w:szCs w:val="21"/>
                <w:highlight w:val="none"/>
              </w:rPr>
            </w:pPr>
            <w:r>
              <w:rPr>
                <w:rFonts w:hint="eastAsia"/>
                <w:b/>
                <w:color w:val="auto"/>
                <w:sz w:val="21"/>
                <w:szCs w:val="21"/>
                <w:highlight w:val="none"/>
              </w:rPr>
              <w:t>序号</w:t>
            </w:r>
          </w:p>
        </w:tc>
        <w:tc>
          <w:tcPr>
            <w:tcW w:w="1231" w:type="dxa"/>
            <w:vAlign w:val="center"/>
          </w:tcPr>
          <w:p>
            <w:pPr>
              <w:pStyle w:val="65"/>
              <w:ind w:firstLine="0" w:firstLineChars="0"/>
              <w:jc w:val="center"/>
              <w:rPr>
                <w:b/>
                <w:color w:val="auto"/>
                <w:sz w:val="21"/>
                <w:szCs w:val="21"/>
                <w:highlight w:val="none"/>
              </w:rPr>
            </w:pPr>
            <w:r>
              <w:rPr>
                <w:rFonts w:hint="eastAsia"/>
                <w:b/>
                <w:color w:val="auto"/>
                <w:sz w:val="21"/>
                <w:szCs w:val="21"/>
                <w:highlight w:val="none"/>
              </w:rPr>
              <w:t>设备名称</w:t>
            </w:r>
          </w:p>
        </w:tc>
        <w:tc>
          <w:tcPr>
            <w:tcW w:w="921" w:type="dxa"/>
            <w:vAlign w:val="center"/>
          </w:tcPr>
          <w:p>
            <w:pPr>
              <w:pStyle w:val="65"/>
              <w:ind w:firstLine="0" w:firstLineChars="0"/>
              <w:jc w:val="center"/>
              <w:rPr>
                <w:b/>
                <w:color w:val="auto"/>
                <w:sz w:val="21"/>
                <w:szCs w:val="21"/>
                <w:highlight w:val="none"/>
              </w:rPr>
            </w:pPr>
            <w:r>
              <w:rPr>
                <w:rFonts w:hint="eastAsia"/>
                <w:b/>
                <w:color w:val="auto"/>
                <w:sz w:val="21"/>
                <w:szCs w:val="21"/>
                <w:highlight w:val="none"/>
              </w:rPr>
              <w:t>规格和型号</w:t>
            </w:r>
          </w:p>
        </w:tc>
        <w:tc>
          <w:tcPr>
            <w:tcW w:w="1138" w:type="dxa"/>
            <w:vAlign w:val="center"/>
          </w:tcPr>
          <w:p>
            <w:pPr>
              <w:pStyle w:val="65"/>
              <w:ind w:firstLine="0" w:firstLineChars="0"/>
              <w:jc w:val="center"/>
              <w:rPr>
                <w:b/>
                <w:color w:val="auto"/>
                <w:sz w:val="21"/>
                <w:szCs w:val="21"/>
                <w:highlight w:val="none"/>
              </w:rPr>
            </w:pPr>
            <w:r>
              <w:rPr>
                <w:rFonts w:hint="eastAsia"/>
                <w:b/>
                <w:color w:val="auto"/>
                <w:sz w:val="21"/>
                <w:szCs w:val="21"/>
                <w:highlight w:val="none"/>
              </w:rPr>
              <w:t>项目名称</w:t>
            </w:r>
          </w:p>
        </w:tc>
        <w:tc>
          <w:tcPr>
            <w:tcW w:w="1176" w:type="dxa"/>
            <w:vAlign w:val="center"/>
          </w:tcPr>
          <w:p>
            <w:pPr>
              <w:pStyle w:val="65"/>
              <w:ind w:firstLine="0" w:firstLineChars="0"/>
              <w:jc w:val="center"/>
              <w:rPr>
                <w:b/>
                <w:color w:val="auto"/>
                <w:sz w:val="21"/>
                <w:szCs w:val="21"/>
                <w:highlight w:val="none"/>
              </w:rPr>
            </w:pPr>
            <w:r>
              <w:rPr>
                <w:rFonts w:hint="eastAsia"/>
                <w:b/>
                <w:color w:val="auto"/>
                <w:sz w:val="21"/>
                <w:szCs w:val="21"/>
                <w:highlight w:val="none"/>
              </w:rPr>
              <w:t>买方名称</w:t>
            </w:r>
          </w:p>
        </w:tc>
        <w:tc>
          <w:tcPr>
            <w:tcW w:w="1176" w:type="dxa"/>
            <w:vAlign w:val="center"/>
          </w:tcPr>
          <w:p>
            <w:pPr>
              <w:pStyle w:val="65"/>
              <w:ind w:firstLine="0" w:firstLineChars="0"/>
              <w:jc w:val="center"/>
              <w:rPr>
                <w:b/>
                <w:color w:val="auto"/>
                <w:sz w:val="21"/>
                <w:szCs w:val="21"/>
                <w:highlight w:val="none"/>
              </w:rPr>
            </w:pPr>
            <w:r>
              <w:rPr>
                <w:rFonts w:hint="eastAsia"/>
                <w:b/>
                <w:color w:val="auto"/>
                <w:sz w:val="21"/>
                <w:szCs w:val="21"/>
                <w:highlight w:val="none"/>
              </w:rPr>
              <w:t>买方联系人及电话</w:t>
            </w:r>
          </w:p>
        </w:tc>
        <w:tc>
          <w:tcPr>
            <w:tcW w:w="1176" w:type="dxa"/>
            <w:vAlign w:val="center"/>
          </w:tcPr>
          <w:p>
            <w:pPr>
              <w:pStyle w:val="65"/>
              <w:ind w:firstLine="0" w:firstLineChars="0"/>
              <w:jc w:val="center"/>
              <w:rPr>
                <w:b/>
                <w:color w:val="auto"/>
                <w:sz w:val="21"/>
                <w:szCs w:val="21"/>
                <w:highlight w:val="none"/>
              </w:rPr>
            </w:pPr>
            <w:r>
              <w:rPr>
                <w:rFonts w:hint="eastAsia"/>
                <w:b/>
                <w:color w:val="auto"/>
                <w:sz w:val="21"/>
                <w:szCs w:val="21"/>
                <w:highlight w:val="none"/>
              </w:rPr>
              <w:t>合同价格</w:t>
            </w:r>
          </w:p>
        </w:tc>
        <w:tc>
          <w:tcPr>
            <w:tcW w:w="1617" w:type="dxa"/>
            <w:vAlign w:val="center"/>
          </w:tcPr>
          <w:p>
            <w:pPr>
              <w:pStyle w:val="65"/>
              <w:ind w:firstLine="0" w:firstLineChars="0"/>
              <w:jc w:val="center"/>
              <w:rPr>
                <w:b/>
                <w:color w:val="auto"/>
                <w:sz w:val="21"/>
                <w:szCs w:val="21"/>
                <w:highlight w:val="none"/>
              </w:rPr>
            </w:pPr>
            <w:r>
              <w:rPr>
                <w:rFonts w:hint="eastAsia"/>
                <w:b/>
                <w:color w:val="auto"/>
                <w:sz w:val="21"/>
                <w:szCs w:val="21"/>
                <w:highlight w:val="none"/>
              </w:rPr>
              <w:t>项目概况及报价人履约情况</w:t>
            </w:r>
          </w:p>
        </w:tc>
        <w:tc>
          <w:tcPr>
            <w:tcW w:w="846" w:type="dxa"/>
            <w:vAlign w:val="center"/>
          </w:tcPr>
          <w:p>
            <w:pPr>
              <w:pStyle w:val="65"/>
              <w:ind w:firstLine="0" w:firstLineChars="0"/>
              <w:jc w:val="center"/>
              <w:rPr>
                <w:b/>
                <w:color w:val="auto"/>
                <w:sz w:val="21"/>
                <w:szCs w:val="21"/>
                <w:highlight w:val="none"/>
              </w:rPr>
            </w:pPr>
            <w:r>
              <w:rPr>
                <w:rFonts w:hint="eastAsia"/>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44" w:type="dxa"/>
            <w:vAlign w:val="center"/>
          </w:tcPr>
          <w:p>
            <w:pPr>
              <w:pStyle w:val="65"/>
              <w:ind w:firstLine="420"/>
              <w:rPr>
                <w:color w:val="auto"/>
                <w:sz w:val="21"/>
                <w:szCs w:val="21"/>
                <w:highlight w:val="none"/>
              </w:rPr>
            </w:pPr>
          </w:p>
        </w:tc>
        <w:tc>
          <w:tcPr>
            <w:tcW w:w="1231" w:type="dxa"/>
            <w:vAlign w:val="center"/>
          </w:tcPr>
          <w:p>
            <w:pPr>
              <w:pStyle w:val="65"/>
              <w:ind w:firstLine="420"/>
              <w:rPr>
                <w:color w:val="auto"/>
                <w:sz w:val="21"/>
                <w:szCs w:val="21"/>
                <w:highlight w:val="none"/>
              </w:rPr>
            </w:pPr>
          </w:p>
        </w:tc>
        <w:tc>
          <w:tcPr>
            <w:tcW w:w="921" w:type="dxa"/>
            <w:vAlign w:val="center"/>
          </w:tcPr>
          <w:p>
            <w:pPr>
              <w:pStyle w:val="65"/>
              <w:ind w:firstLine="420"/>
              <w:rPr>
                <w:color w:val="auto"/>
                <w:sz w:val="21"/>
                <w:szCs w:val="21"/>
                <w:highlight w:val="none"/>
              </w:rPr>
            </w:pPr>
          </w:p>
        </w:tc>
        <w:tc>
          <w:tcPr>
            <w:tcW w:w="1138" w:type="dxa"/>
            <w:vAlign w:val="center"/>
          </w:tcPr>
          <w:p>
            <w:pPr>
              <w:pStyle w:val="65"/>
              <w:ind w:firstLine="420"/>
              <w:rPr>
                <w:color w:val="auto"/>
                <w:sz w:val="21"/>
                <w:szCs w:val="21"/>
                <w:highlight w:val="none"/>
              </w:rPr>
            </w:pPr>
          </w:p>
        </w:tc>
        <w:tc>
          <w:tcPr>
            <w:tcW w:w="1176" w:type="dxa"/>
            <w:vAlign w:val="center"/>
          </w:tcPr>
          <w:p>
            <w:pPr>
              <w:pStyle w:val="65"/>
              <w:ind w:firstLine="420"/>
              <w:rPr>
                <w:color w:val="auto"/>
                <w:sz w:val="21"/>
                <w:szCs w:val="21"/>
                <w:highlight w:val="none"/>
              </w:rPr>
            </w:pPr>
          </w:p>
        </w:tc>
        <w:tc>
          <w:tcPr>
            <w:tcW w:w="1176" w:type="dxa"/>
            <w:vAlign w:val="center"/>
          </w:tcPr>
          <w:p>
            <w:pPr>
              <w:pStyle w:val="65"/>
              <w:ind w:firstLine="420"/>
              <w:rPr>
                <w:color w:val="auto"/>
                <w:sz w:val="21"/>
                <w:szCs w:val="21"/>
                <w:highlight w:val="none"/>
              </w:rPr>
            </w:pPr>
          </w:p>
        </w:tc>
        <w:tc>
          <w:tcPr>
            <w:tcW w:w="1176" w:type="dxa"/>
            <w:vAlign w:val="center"/>
          </w:tcPr>
          <w:p>
            <w:pPr>
              <w:pStyle w:val="65"/>
              <w:ind w:firstLine="420"/>
              <w:rPr>
                <w:color w:val="auto"/>
                <w:sz w:val="21"/>
                <w:szCs w:val="21"/>
                <w:highlight w:val="none"/>
              </w:rPr>
            </w:pPr>
          </w:p>
        </w:tc>
        <w:tc>
          <w:tcPr>
            <w:tcW w:w="1617" w:type="dxa"/>
            <w:vAlign w:val="center"/>
          </w:tcPr>
          <w:p>
            <w:pPr>
              <w:pStyle w:val="65"/>
              <w:ind w:firstLine="420"/>
              <w:rPr>
                <w:color w:val="auto"/>
                <w:sz w:val="21"/>
                <w:szCs w:val="21"/>
                <w:highlight w:val="none"/>
              </w:rPr>
            </w:pPr>
          </w:p>
        </w:tc>
        <w:tc>
          <w:tcPr>
            <w:tcW w:w="846" w:type="dxa"/>
            <w:vAlign w:val="center"/>
          </w:tcPr>
          <w:p>
            <w:pPr>
              <w:pStyle w:val="65"/>
              <w:ind w:firstLine="420"/>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44" w:type="dxa"/>
            <w:vAlign w:val="center"/>
          </w:tcPr>
          <w:p>
            <w:pPr>
              <w:pStyle w:val="65"/>
              <w:ind w:firstLine="420"/>
              <w:rPr>
                <w:color w:val="auto"/>
                <w:sz w:val="21"/>
                <w:szCs w:val="21"/>
                <w:highlight w:val="none"/>
              </w:rPr>
            </w:pPr>
          </w:p>
        </w:tc>
        <w:tc>
          <w:tcPr>
            <w:tcW w:w="1231" w:type="dxa"/>
            <w:vAlign w:val="center"/>
          </w:tcPr>
          <w:p>
            <w:pPr>
              <w:pStyle w:val="65"/>
              <w:ind w:firstLine="420"/>
              <w:rPr>
                <w:color w:val="auto"/>
                <w:sz w:val="21"/>
                <w:szCs w:val="21"/>
                <w:highlight w:val="none"/>
              </w:rPr>
            </w:pPr>
          </w:p>
        </w:tc>
        <w:tc>
          <w:tcPr>
            <w:tcW w:w="921" w:type="dxa"/>
            <w:vAlign w:val="center"/>
          </w:tcPr>
          <w:p>
            <w:pPr>
              <w:pStyle w:val="65"/>
              <w:ind w:firstLine="420"/>
              <w:rPr>
                <w:color w:val="auto"/>
                <w:sz w:val="21"/>
                <w:szCs w:val="21"/>
                <w:highlight w:val="none"/>
              </w:rPr>
            </w:pPr>
          </w:p>
        </w:tc>
        <w:tc>
          <w:tcPr>
            <w:tcW w:w="1138" w:type="dxa"/>
            <w:vAlign w:val="center"/>
          </w:tcPr>
          <w:p>
            <w:pPr>
              <w:pStyle w:val="65"/>
              <w:ind w:firstLine="420"/>
              <w:rPr>
                <w:color w:val="auto"/>
                <w:sz w:val="21"/>
                <w:szCs w:val="21"/>
                <w:highlight w:val="none"/>
              </w:rPr>
            </w:pPr>
          </w:p>
        </w:tc>
        <w:tc>
          <w:tcPr>
            <w:tcW w:w="1176" w:type="dxa"/>
            <w:vAlign w:val="center"/>
          </w:tcPr>
          <w:p>
            <w:pPr>
              <w:pStyle w:val="65"/>
              <w:ind w:firstLine="420"/>
              <w:rPr>
                <w:color w:val="auto"/>
                <w:sz w:val="21"/>
                <w:szCs w:val="21"/>
                <w:highlight w:val="none"/>
              </w:rPr>
            </w:pPr>
          </w:p>
        </w:tc>
        <w:tc>
          <w:tcPr>
            <w:tcW w:w="1176" w:type="dxa"/>
            <w:vAlign w:val="center"/>
          </w:tcPr>
          <w:p>
            <w:pPr>
              <w:pStyle w:val="65"/>
              <w:ind w:firstLine="420"/>
              <w:rPr>
                <w:color w:val="auto"/>
                <w:sz w:val="21"/>
                <w:szCs w:val="21"/>
                <w:highlight w:val="none"/>
              </w:rPr>
            </w:pPr>
          </w:p>
        </w:tc>
        <w:tc>
          <w:tcPr>
            <w:tcW w:w="1176" w:type="dxa"/>
            <w:vAlign w:val="center"/>
          </w:tcPr>
          <w:p>
            <w:pPr>
              <w:pStyle w:val="65"/>
              <w:ind w:firstLine="420"/>
              <w:rPr>
                <w:color w:val="auto"/>
                <w:sz w:val="21"/>
                <w:szCs w:val="21"/>
                <w:highlight w:val="none"/>
              </w:rPr>
            </w:pPr>
          </w:p>
        </w:tc>
        <w:tc>
          <w:tcPr>
            <w:tcW w:w="1617" w:type="dxa"/>
            <w:vAlign w:val="center"/>
          </w:tcPr>
          <w:p>
            <w:pPr>
              <w:pStyle w:val="65"/>
              <w:ind w:firstLine="420"/>
              <w:rPr>
                <w:color w:val="auto"/>
                <w:sz w:val="21"/>
                <w:szCs w:val="21"/>
                <w:highlight w:val="none"/>
              </w:rPr>
            </w:pPr>
          </w:p>
        </w:tc>
        <w:tc>
          <w:tcPr>
            <w:tcW w:w="846" w:type="dxa"/>
            <w:vAlign w:val="center"/>
          </w:tcPr>
          <w:p>
            <w:pPr>
              <w:pStyle w:val="65"/>
              <w:ind w:firstLine="420"/>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44" w:type="dxa"/>
            <w:vAlign w:val="center"/>
          </w:tcPr>
          <w:p>
            <w:pPr>
              <w:pStyle w:val="65"/>
              <w:ind w:firstLine="420"/>
              <w:rPr>
                <w:color w:val="auto"/>
                <w:sz w:val="21"/>
                <w:szCs w:val="21"/>
                <w:highlight w:val="none"/>
              </w:rPr>
            </w:pPr>
          </w:p>
        </w:tc>
        <w:tc>
          <w:tcPr>
            <w:tcW w:w="1231" w:type="dxa"/>
            <w:vAlign w:val="center"/>
          </w:tcPr>
          <w:p>
            <w:pPr>
              <w:pStyle w:val="65"/>
              <w:ind w:firstLine="420"/>
              <w:rPr>
                <w:color w:val="auto"/>
                <w:sz w:val="21"/>
                <w:szCs w:val="21"/>
                <w:highlight w:val="none"/>
              </w:rPr>
            </w:pPr>
          </w:p>
        </w:tc>
        <w:tc>
          <w:tcPr>
            <w:tcW w:w="921" w:type="dxa"/>
            <w:vAlign w:val="center"/>
          </w:tcPr>
          <w:p>
            <w:pPr>
              <w:pStyle w:val="65"/>
              <w:ind w:firstLine="420"/>
              <w:rPr>
                <w:color w:val="auto"/>
                <w:sz w:val="21"/>
                <w:szCs w:val="21"/>
                <w:highlight w:val="none"/>
              </w:rPr>
            </w:pPr>
          </w:p>
        </w:tc>
        <w:tc>
          <w:tcPr>
            <w:tcW w:w="1138" w:type="dxa"/>
            <w:vAlign w:val="center"/>
          </w:tcPr>
          <w:p>
            <w:pPr>
              <w:pStyle w:val="65"/>
              <w:ind w:firstLine="420"/>
              <w:rPr>
                <w:color w:val="auto"/>
                <w:sz w:val="21"/>
                <w:szCs w:val="21"/>
                <w:highlight w:val="none"/>
              </w:rPr>
            </w:pPr>
          </w:p>
        </w:tc>
        <w:tc>
          <w:tcPr>
            <w:tcW w:w="1176" w:type="dxa"/>
            <w:vAlign w:val="center"/>
          </w:tcPr>
          <w:p>
            <w:pPr>
              <w:pStyle w:val="65"/>
              <w:ind w:firstLine="420"/>
              <w:rPr>
                <w:color w:val="auto"/>
                <w:sz w:val="21"/>
                <w:szCs w:val="21"/>
                <w:highlight w:val="none"/>
              </w:rPr>
            </w:pPr>
          </w:p>
        </w:tc>
        <w:tc>
          <w:tcPr>
            <w:tcW w:w="1176" w:type="dxa"/>
            <w:vAlign w:val="center"/>
          </w:tcPr>
          <w:p>
            <w:pPr>
              <w:pStyle w:val="65"/>
              <w:ind w:firstLine="420"/>
              <w:rPr>
                <w:color w:val="auto"/>
                <w:sz w:val="21"/>
                <w:szCs w:val="21"/>
                <w:highlight w:val="none"/>
              </w:rPr>
            </w:pPr>
          </w:p>
        </w:tc>
        <w:tc>
          <w:tcPr>
            <w:tcW w:w="1176" w:type="dxa"/>
            <w:vAlign w:val="center"/>
          </w:tcPr>
          <w:p>
            <w:pPr>
              <w:pStyle w:val="65"/>
              <w:ind w:firstLine="420"/>
              <w:rPr>
                <w:color w:val="auto"/>
                <w:sz w:val="21"/>
                <w:szCs w:val="21"/>
                <w:highlight w:val="none"/>
              </w:rPr>
            </w:pPr>
          </w:p>
        </w:tc>
        <w:tc>
          <w:tcPr>
            <w:tcW w:w="1617" w:type="dxa"/>
            <w:vAlign w:val="center"/>
          </w:tcPr>
          <w:p>
            <w:pPr>
              <w:pStyle w:val="65"/>
              <w:ind w:firstLine="420"/>
              <w:rPr>
                <w:color w:val="auto"/>
                <w:sz w:val="21"/>
                <w:szCs w:val="21"/>
                <w:highlight w:val="none"/>
              </w:rPr>
            </w:pPr>
          </w:p>
        </w:tc>
        <w:tc>
          <w:tcPr>
            <w:tcW w:w="846" w:type="dxa"/>
            <w:vAlign w:val="center"/>
          </w:tcPr>
          <w:p>
            <w:pPr>
              <w:pStyle w:val="65"/>
              <w:ind w:firstLine="420"/>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44" w:type="dxa"/>
            <w:vAlign w:val="center"/>
          </w:tcPr>
          <w:p>
            <w:pPr>
              <w:pStyle w:val="65"/>
              <w:ind w:firstLine="420"/>
              <w:rPr>
                <w:color w:val="auto"/>
                <w:sz w:val="21"/>
                <w:szCs w:val="21"/>
                <w:highlight w:val="none"/>
              </w:rPr>
            </w:pPr>
          </w:p>
        </w:tc>
        <w:tc>
          <w:tcPr>
            <w:tcW w:w="1231" w:type="dxa"/>
            <w:vAlign w:val="center"/>
          </w:tcPr>
          <w:p>
            <w:pPr>
              <w:pStyle w:val="65"/>
              <w:ind w:firstLine="420"/>
              <w:rPr>
                <w:color w:val="auto"/>
                <w:sz w:val="21"/>
                <w:szCs w:val="21"/>
                <w:highlight w:val="none"/>
              </w:rPr>
            </w:pPr>
          </w:p>
        </w:tc>
        <w:tc>
          <w:tcPr>
            <w:tcW w:w="921" w:type="dxa"/>
            <w:vAlign w:val="center"/>
          </w:tcPr>
          <w:p>
            <w:pPr>
              <w:pStyle w:val="65"/>
              <w:ind w:firstLine="420"/>
              <w:rPr>
                <w:color w:val="auto"/>
                <w:sz w:val="21"/>
                <w:szCs w:val="21"/>
                <w:highlight w:val="none"/>
              </w:rPr>
            </w:pPr>
          </w:p>
        </w:tc>
        <w:tc>
          <w:tcPr>
            <w:tcW w:w="1138" w:type="dxa"/>
            <w:vAlign w:val="center"/>
          </w:tcPr>
          <w:p>
            <w:pPr>
              <w:pStyle w:val="65"/>
              <w:ind w:firstLine="420"/>
              <w:rPr>
                <w:color w:val="auto"/>
                <w:sz w:val="21"/>
                <w:szCs w:val="21"/>
                <w:highlight w:val="none"/>
              </w:rPr>
            </w:pPr>
          </w:p>
        </w:tc>
        <w:tc>
          <w:tcPr>
            <w:tcW w:w="1176" w:type="dxa"/>
            <w:vAlign w:val="center"/>
          </w:tcPr>
          <w:p>
            <w:pPr>
              <w:pStyle w:val="65"/>
              <w:ind w:firstLine="420"/>
              <w:rPr>
                <w:color w:val="auto"/>
                <w:sz w:val="21"/>
                <w:szCs w:val="21"/>
                <w:highlight w:val="none"/>
              </w:rPr>
            </w:pPr>
          </w:p>
        </w:tc>
        <w:tc>
          <w:tcPr>
            <w:tcW w:w="1176" w:type="dxa"/>
            <w:vAlign w:val="center"/>
          </w:tcPr>
          <w:p>
            <w:pPr>
              <w:pStyle w:val="65"/>
              <w:ind w:firstLine="420"/>
              <w:rPr>
                <w:color w:val="auto"/>
                <w:sz w:val="21"/>
                <w:szCs w:val="21"/>
                <w:highlight w:val="none"/>
              </w:rPr>
            </w:pPr>
          </w:p>
        </w:tc>
        <w:tc>
          <w:tcPr>
            <w:tcW w:w="1176" w:type="dxa"/>
            <w:vAlign w:val="center"/>
          </w:tcPr>
          <w:p>
            <w:pPr>
              <w:pStyle w:val="65"/>
              <w:ind w:firstLine="420"/>
              <w:rPr>
                <w:color w:val="auto"/>
                <w:sz w:val="21"/>
                <w:szCs w:val="21"/>
                <w:highlight w:val="none"/>
              </w:rPr>
            </w:pPr>
          </w:p>
        </w:tc>
        <w:tc>
          <w:tcPr>
            <w:tcW w:w="1617" w:type="dxa"/>
            <w:vAlign w:val="center"/>
          </w:tcPr>
          <w:p>
            <w:pPr>
              <w:pStyle w:val="65"/>
              <w:ind w:firstLine="420"/>
              <w:rPr>
                <w:color w:val="auto"/>
                <w:sz w:val="21"/>
                <w:szCs w:val="21"/>
                <w:highlight w:val="none"/>
              </w:rPr>
            </w:pPr>
          </w:p>
        </w:tc>
        <w:tc>
          <w:tcPr>
            <w:tcW w:w="846" w:type="dxa"/>
            <w:vAlign w:val="center"/>
          </w:tcPr>
          <w:p>
            <w:pPr>
              <w:pStyle w:val="65"/>
              <w:ind w:firstLine="420"/>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44" w:type="dxa"/>
            <w:vAlign w:val="center"/>
          </w:tcPr>
          <w:p>
            <w:pPr>
              <w:pStyle w:val="65"/>
              <w:ind w:firstLine="420"/>
              <w:rPr>
                <w:color w:val="auto"/>
                <w:sz w:val="21"/>
                <w:szCs w:val="21"/>
                <w:highlight w:val="none"/>
              </w:rPr>
            </w:pPr>
          </w:p>
        </w:tc>
        <w:tc>
          <w:tcPr>
            <w:tcW w:w="1231" w:type="dxa"/>
            <w:vAlign w:val="center"/>
          </w:tcPr>
          <w:p>
            <w:pPr>
              <w:pStyle w:val="65"/>
              <w:ind w:firstLine="420"/>
              <w:rPr>
                <w:color w:val="auto"/>
                <w:sz w:val="21"/>
                <w:szCs w:val="21"/>
                <w:highlight w:val="none"/>
              </w:rPr>
            </w:pPr>
          </w:p>
        </w:tc>
        <w:tc>
          <w:tcPr>
            <w:tcW w:w="921" w:type="dxa"/>
            <w:vAlign w:val="center"/>
          </w:tcPr>
          <w:p>
            <w:pPr>
              <w:pStyle w:val="65"/>
              <w:ind w:firstLine="420"/>
              <w:rPr>
                <w:color w:val="auto"/>
                <w:sz w:val="21"/>
                <w:szCs w:val="21"/>
                <w:highlight w:val="none"/>
              </w:rPr>
            </w:pPr>
          </w:p>
        </w:tc>
        <w:tc>
          <w:tcPr>
            <w:tcW w:w="1138" w:type="dxa"/>
            <w:vAlign w:val="center"/>
          </w:tcPr>
          <w:p>
            <w:pPr>
              <w:pStyle w:val="65"/>
              <w:ind w:firstLine="420"/>
              <w:rPr>
                <w:color w:val="auto"/>
                <w:sz w:val="21"/>
                <w:szCs w:val="21"/>
                <w:highlight w:val="none"/>
              </w:rPr>
            </w:pPr>
          </w:p>
        </w:tc>
        <w:tc>
          <w:tcPr>
            <w:tcW w:w="1176" w:type="dxa"/>
            <w:vAlign w:val="center"/>
          </w:tcPr>
          <w:p>
            <w:pPr>
              <w:pStyle w:val="65"/>
              <w:ind w:firstLine="420"/>
              <w:rPr>
                <w:color w:val="auto"/>
                <w:sz w:val="21"/>
                <w:szCs w:val="21"/>
                <w:highlight w:val="none"/>
              </w:rPr>
            </w:pPr>
          </w:p>
        </w:tc>
        <w:tc>
          <w:tcPr>
            <w:tcW w:w="1176" w:type="dxa"/>
            <w:vAlign w:val="center"/>
          </w:tcPr>
          <w:p>
            <w:pPr>
              <w:pStyle w:val="65"/>
              <w:ind w:firstLine="420"/>
              <w:rPr>
                <w:color w:val="auto"/>
                <w:sz w:val="21"/>
                <w:szCs w:val="21"/>
                <w:highlight w:val="none"/>
              </w:rPr>
            </w:pPr>
          </w:p>
        </w:tc>
        <w:tc>
          <w:tcPr>
            <w:tcW w:w="1176" w:type="dxa"/>
            <w:vAlign w:val="center"/>
          </w:tcPr>
          <w:p>
            <w:pPr>
              <w:pStyle w:val="65"/>
              <w:ind w:firstLine="420"/>
              <w:rPr>
                <w:color w:val="auto"/>
                <w:sz w:val="21"/>
                <w:szCs w:val="21"/>
                <w:highlight w:val="none"/>
              </w:rPr>
            </w:pPr>
          </w:p>
        </w:tc>
        <w:tc>
          <w:tcPr>
            <w:tcW w:w="1617" w:type="dxa"/>
            <w:vAlign w:val="center"/>
          </w:tcPr>
          <w:p>
            <w:pPr>
              <w:pStyle w:val="65"/>
              <w:ind w:firstLine="420"/>
              <w:rPr>
                <w:color w:val="auto"/>
                <w:sz w:val="21"/>
                <w:szCs w:val="21"/>
                <w:highlight w:val="none"/>
              </w:rPr>
            </w:pPr>
          </w:p>
        </w:tc>
        <w:tc>
          <w:tcPr>
            <w:tcW w:w="846" w:type="dxa"/>
            <w:vAlign w:val="center"/>
          </w:tcPr>
          <w:p>
            <w:pPr>
              <w:pStyle w:val="65"/>
              <w:ind w:firstLine="420"/>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44" w:type="dxa"/>
            <w:vAlign w:val="center"/>
          </w:tcPr>
          <w:p>
            <w:pPr>
              <w:pStyle w:val="65"/>
              <w:ind w:firstLine="420"/>
              <w:rPr>
                <w:color w:val="auto"/>
                <w:sz w:val="21"/>
                <w:szCs w:val="21"/>
                <w:highlight w:val="none"/>
              </w:rPr>
            </w:pPr>
          </w:p>
        </w:tc>
        <w:tc>
          <w:tcPr>
            <w:tcW w:w="1231" w:type="dxa"/>
            <w:vAlign w:val="center"/>
          </w:tcPr>
          <w:p>
            <w:pPr>
              <w:pStyle w:val="65"/>
              <w:ind w:firstLine="420"/>
              <w:rPr>
                <w:color w:val="auto"/>
                <w:sz w:val="21"/>
                <w:szCs w:val="21"/>
                <w:highlight w:val="none"/>
              </w:rPr>
            </w:pPr>
          </w:p>
        </w:tc>
        <w:tc>
          <w:tcPr>
            <w:tcW w:w="921" w:type="dxa"/>
            <w:vAlign w:val="center"/>
          </w:tcPr>
          <w:p>
            <w:pPr>
              <w:pStyle w:val="65"/>
              <w:ind w:firstLine="420"/>
              <w:rPr>
                <w:color w:val="auto"/>
                <w:sz w:val="21"/>
                <w:szCs w:val="21"/>
                <w:highlight w:val="none"/>
              </w:rPr>
            </w:pPr>
          </w:p>
        </w:tc>
        <w:tc>
          <w:tcPr>
            <w:tcW w:w="1138" w:type="dxa"/>
            <w:vAlign w:val="center"/>
          </w:tcPr>
          <w:p>
            <w:pPr>
              <w:pStyle w:val="65"/>
              <w:ind w:firstLine="420"/>
              <w:rPr>
                <w:color w:val="auto"/>
                <w:sz w:val="21"/>
                <w:szCs w:val="21"/>
                <w:highlight w:val="none"/>
              </w:rPr>
            </w:pPr>
          </w:p>
        </w:tc>
        <w:tc>
          <w:tcPr>
            <w:tcW w:w="1176" w:type="dxa"/>
            <w:vAlign w:val="center"/>
          </w:tcPr>
          <w:p>
            <w:pPr>
              <w:pStyle w:val="65"/>
              <w:ind w:firstLine="420"/>
              <w:rPr>
                <w:color w:val="auto"/>
                <w:sz w:val="21"/>
                <w:szCs w:val="21"/>
                <w:highlight w:val="none"/>
              </w:rPr>
            </w:pPr>
          </w:p>
        </w:tc>
        <w:tc>
          <w:tcPr>
            <w:tcW w:w="1176" w:type="dxa"/>
            <w:vAlign w:val="center"/>
          </w:tcPr>
          <w:p>
            <w:pPr>
              <w:pStyle w:val="65"/>
              <w:ind w:firstLine="420"/>
              <w:rPr>
                <w:color w:val="auto"/>
                <w:sz w:val="21"/>
                <w:szCs w:val="21"/>
                <w:highlight w:val="none"/>
              </w:rPr>
            </w:pPr>
          </w:p>
        </w:tc>
        <w:tc>
          <w:tcPr>
            <w:tcW w:w="1176" w:type="dxa"/>
            <w:vAlign w:val="center"/>
          </w:tcPr>
          <w:p>
            <w:pPr>
              <w:pStyle w:val="65"/>
              <w:ind w:firstLine="420"/>
              <w:rPr>
                <w:color w:val="auto"/>
                <w:sz w:val="21"/>
                <w:szCs w:val="21"/>
                <w:highlight w:val="none"/>
              </w:rPr>
            </w:pPr>
          </w:p>
        </w:tc>
        <w:tc>
          <w:tcPr>
            <w:tcW w:w="1617" w:type="dxa"/>
            <w:vAlign w:val="center"/>
          </w:tcPr>
          <w:p>
            <w:pPr>
              <w:pStyle w:val="65"/>
              <w:ind w:firstLine="420"/>
              <w:rPr>
                <w:color w:val="auto"/>
                <w:sz w:val="21"/>
                <w:szCs w:val="21"/>
                <w:highlight w:val="none"/>
              </w:rPr>
            </w:pPr>
          </w:p>
        </w:tc>
        <w:tc>
          <w:tcPr>
            <w:tcW w:w="846" w:type="dxa"/>
            <w:vAlign w:val="center"/>
          </w:tcPr>
          <w:p>
            <w:pPr>
              <w:pStyle w:val="65"/>
              <w:ind w:firstLine="420"/>
              <w:rPr>
                <w:color w:val="auto"/>
                <w:sz w:val="21"/>
                <w:szCs w:val="21"/>
                <w:highlight w:val="none"/>
              </w:rPr>
            </w:pPr>
          </w:p>
        </w:tc>
      </w:tr>
    </w:tbl>
    <w:p>
      <w:pPr>
        <w:rPr>
          <w:color w:val="auto"/>
          <w:szCs w:val="21"/>
          <w:highlight w:val="none"/>
        </w:rPr>
      </w:pPr>
      <w:r>
        <w:rPr>
          <w:rFonts w:hint="eastAsia"/>
          <w:color w:val="auto"/>
          <w:szCs w:val="21"/>
          <w:highlight w:val="none"/>
        </w:rPr>
        <w:t>注：</w:t>
      </w:r>
      <w:bookmarkStart w:id="204" w:name="_Hlk133410530"/>
      <w:r>
        <w:rPr>
          <w:rFonts w:hint="eastAsia"/>
          <w:color w:val="auto"/>
          <w:szCs w:val="21"/>
          <w:highlight w:val="none"/>
        </w:rPr>
        <w:t>提供业绩数量以满足资格要求的合同复印件数量为准。报价人在递交响应文件时，须同时提交能证明报价人满足业绩资格要求的合同复印件（提供合同封面、签字盖章页和表征主要技术参数及供货范围页）、用户及联系电话、投运情况的有关证明鉴定材料，详细说明供货、完成情况和出现的重要质量问题及改进措施。否则采购人有权将该响应文件视为无效。</w:t>
      </w:r>
      <w:bookmarkEnd w:id="204"/>
    </w:p>
    <w:p>
      <w:pPr>
        <w:spacing w:line="360" w:lineRule="auto"/>
        <w:ind w:firstLine="240" w:firstLineChars="100"/>
        <w:rPr>
          <w:color w:val="auto"/>
          <w:sz w:val="24"/>
          <w:highlight w:val="none"/>
        </w:rPr>
      </w:pPr>
      <w:bookmarkStart w:id="205" w:name="_Toc106872839"/>
      <w:bookmarkStart w:id="206" w:name="_Toc21201"/>
      <w:bookmarkStart w:id="207" w:name="_Toc6561281"/>
      <w:bookmarkStart w:id="208" w:name="_Toc105679046"/>
    </w:p>
    <w:p>
      <w:pPr>
        <w:spacing w:line="360" w:lineRule="auto"/>
        <w:ind w:firstLine="240" w:firstLineChars="100"/>
        <w:rPr>
          <w:color w:val="auto"/>
          <w:sz w:val="24"/>
          <w:highlight w:val="none"/>
        </w:rPr>
      </w:pPr>
      <w:r>
        <w:rPr>
          <w:rFonts w:hint="eastAsia"/>
          <w:color w:val="auto"/>
          <w:sz w:val="24"/>
          <w:highlight w:val="none"/>
        </w:rPr>
        <w:t>（4）近年发生的诉讼及仲裁情况</w:t>
      </w:r>
      <w:bookmarkEnd w:id="205"/>
      <w:bookmarkEnd w:id="206"/>
      <w:bookmarkEnd w:id="207"/>
      <w:bookmarkEnd w:id="208"/>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7"/>
        <w:gridCol w:w="1616"/>
        <w:gridCol w:w="1616"/>
        <w:gridCol w:w="2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rPr>
                <w:rFonts w:ascii="宋体" w:hAns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b/>
                <w:bCs/>
                <w:color w:val="auto"/>
                <w:szCs w:val="21"/>
                <w:highlight w:val="none"/>
              </w:rPr>
            </w:pPr>
            <w:r>
              <w:rPr>
                <w:rFonts w:hint="eastAsia" w:ascii="宋体" w:hAnsi="宋体"/>
                <w:b/>
                <w:bCs/>
                <w:color w:val="auto"/>
                <w:szCs w:val="21"/>
                <w:highlight w:val="none"/>
              </w:rPr>
              <w:t>胜诉案件数量</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b/>
                <w:bCs/>
                <w:color w:val="auto"/>
                <w:szCs w:val="21"/>
                <w:highlight w:val="none"/>
              </w:rPr>
            </w:pPr>
            <w:r>
              <w:rPr>
                <w:rFonts w:hint="eastAsia" w:ascii="宋体" w:hAnsi="宋体"/>
                <w:b/>
                <w:bCs/>
                <w:color w:val="auto"/>
                <w:szCs w:val="21"/>
                <w:highlight w:val="none"/>
              </w:rPr>
              <w:t>败诉案件数量</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b/>
                <w:bCs/>
                <w:color w:val="auto"/>
                <w:szCs w:val="21"/>
                <w:highlight w:val="none"/>
              </w:rPr>
            </w:pPr>
            <w:r>
              <w:rPr>
                <w:rFonts w:hint="eastAsia" w:ascii="宋体" w:hAnsi="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报价人做为原告的案件数量</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rPr>
                <w:rFonts w:ascii="宋体" w:hAns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rPr>
                <w:rFonts w:ascii="宋体" w:hAnsi="宋体"/>
                <w:color w:val="auto"/>
                <w:szCs w:val="21"/>
                <w:highlight w:val="none"/>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报价人做为被告的案件数量</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rPr>
                <w:rFonts w:ascii="宋体" w:hAns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rPr>
                <w:rFonts w:ascii="宋体" w:hAnsi="宋体"/>
                <w:color w:val="auto"/>
                <w:szCs w:val="21"/>
                <w:highlight w:val="none"/>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rPr>
                <w:rFonts w:ascii="宋体" w:hAnsi="宋体"/>
                <w:color w:val="auto"/>
                <w:szCs w:val="21"/>
                <w:highlight w:val="none"/>
              </w:rPr>
            </w:pPr>
          </w:p>
        </w:tc>
      </w:tr>
    </w:tbl>
    <w:p>
      <w:pPr>
        <w:adjustRightInd w:val="0"/>
        <w:snapToGrid w:val="0"/>
        <w:spacing w:line="360" w:lineRule="auto"/>
        <w:ind w:firstLine="420" w:firstLineChars="200"/>
        <w:rPr>
          <w:rFonts w:ascii="宋体" w:hAnsi="宋体"/>
          <w:color w:val="auto"/>
          <w:highlight w:val="none"/>
        </w:rPr>
      </w:pPr>
      <w:r>
        <w:rPr>
          <w:rFonts w:hint="eastAsia" w:ascii="宋体" w:hAnsi="宋体"/>
          <w:color w:val="auto"/>
          <w:szCs w:val="21"/>
          <w:highlight w:val="none"/>
        </w:rPr>
        <w:t>注：报价人应在中国裁判文书网（https://wenshu.court.gov.cn）查询，并提供查询页面截屏。</w:t>
      </w:r>
      <w:r>
        <w:rPr>
          <w:rFonts w:hint="eastAsia" w:ascii="宋体" w:hAnsi="宋体"/>
          <w:color w:val="auto"/>
          <w:highlight w:val="none"/>
        </w:rPr>
        <w:t>查询日期为响应文件递交截止时间前14日内。</w:t>
      </w:r>
      <w:bookmarkStart w:id="209" w:name="_Toc3489"/>
      <w:bookmarkStart w:id="210" w:name="_Toc19151"/>
      <w:bookmarkStart w:id="211" w:name="_Toc23710"/>
      <w:bookmarkStart w:id="212" w:name="_Toc19617"/>
      <w:bookmarkStart w:id="213" w:name="_Toc18341"/>
      <w:bookmarkStart w:id="214" w:name="_Toc23814"/>
      <w:bookmarkStart w:id="215" w:name="_Toc20912"/>
      <w:bookmarkStart w:id="216" w:name="_Toc10882"/>
      <w:bookmarkStart w:id="217" w:name="_Toc105679048"/>
      <w:bookmarkStart w:id="218" w:name="_Toc106872840"/>
      <w:bookmarkStart w:id="219" w:name="_Toc8653"/>
    </w:p>
    <w:p>
      <w:pPr>
        <w:spacing w:line="360" w:lineRule="auto"/>
        <w:ind w:firstLine="240" w:firstLineChars="100"/>
        <w:rPr>
          <w:color w:val="auto"/>
          <w:sz w:val="24"/>
          <w:highlight w:val="none"/>
        </w:rPr>
      </w:pPr>
    </w:p>
    <w:p>
      <w:pPr>
        <w:spacing w:line="360" w:lineRule="auto"/>
        <w:ind w:firstLine="240" w:firstLineChars="100"/>
        <w:rPr>
          <w:color w:val="auto"/>
          <w:sz w:val="24"/>
          <w:highlight w:val="none"/>
        </w:rPr>
      </w:pPr>
      <w:r>
        <w:rPr>
          <w:rFonts w:hint="eastAsia"/>
          <w:color w:val="auto"/>
          <w:sz w:val="24"/>
          <w:highlight w:val="none"/>
        </w:rPr>
        <w:t>（</w:t>
      </w:r>
      <w:r>
        <w:rPr>
          <w:color w:val="auto"/>
          <w:sz w:val="24"/>
          <w:highlight w:val="none"/>
        </w:rPr>
        <w:t>5</w:t>
      </w:r>
      <w:r>
        <w:rPr>
          <w:rFonts w:hint="eastAsia"/>
          <w:color w:val="auto"/>
          <w:sz w:val="24"/>
          <w:highlight w:val="none"/>
        </w:rPr>
        <w:t>）其他管理体系认证证书</w:t>
      </w:r>
      <w:bookmarkEnd w:id="209"/>
      <w:bookmarkEnd w:id="210"/>
      <w:bookmarkEnd w:id="211"/>
      <w:bookmarkEnd w:id="212"/>
      <w:bookmarkEnd w:id="213"/>
      <w:bookmarkEnd w:id="214"/>
      <w:bookmarkEnd w:id="215"/>
      <w:bookmarkEnd w:id="216"/>
      <w:r>
        <w:rPr>
          <w:rFonts w:hint="eastAsia"/>
          <w:color w:val="auto"/>
          <w:sz w:val="24"/>
          <w:highlight w:val="none"/>
        </w:rPr>
        <w:t>（如有）</w:t>
      </w:r>
      <w:bookmarkEnd w:id="217"/>
      <w:bookmarkEnd w:id="218"/>
      <w:bookmarkEnd w:id="219"/>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2078"/>
        <w:gridCol w:w="6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Calibri" w:hAnsi="Calibri"/>
                <w:b/>
                <w:bCs/>
                <w:color w:val="auto"/>
                <w:szCs w:val="20"/>
                <w:highlight w:val="none"/>
                <w:lang w:bidi="ar"/>
              </w:rPr>
            </w:pPr>
            <w:r>
              <w:rPr>
                <w:rFonts w:hint="eastAsia"/>
                <w:b/>
                <w:bCs/>
                <w:color w:val="auto"/>
                <w:szCs w:val="20"/>
                <w:highlight w:val="none"/>
                <w:lang w:bidi="ar"/>
              </w:rPr>
              <w:t>序号</w:t>
            </w:r>
          </w:p>
        </w:tc>
        <w:tc>
          <w:tcPr>
            <w:tcW w:w="21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Calibri" w:hAnsi="Calibri"/>
                <w:b/>
                <w:bCs/>
                <w:color w:val="auto"/>
                <w:szCs w:val="20"/>
                <w:highlight w:val="none"/>
                <w:lang w:bidi="ar"/>
              </w:rPr>
            </w:pPr>
            <w:r>
              <w:rPr>
                <w:rFonts w:hint="eastAsia"/>
                <w:b/>
                <w:bCs/>
                <w:color w:val="auto"/>
                <w:kern w:val="0"/>
                <w:sz w:val="20"/>
                <w:szCs w:val="20"/>
                <w:highlight w:val="none"/>
                <w:lang w:bidi="ar"/>
              </w:rPr>
              <w:t>名称</w:t>
            </w:r>
          </w:p>
        </w:tc>
        <w:tc>
          <w:tcPr>
            <w:tcW w:w="65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Calibri" w:hAnsi="Calibri"/>
                <w:b/>
                <w:bCs/>
                <w:color w:val="auto"/>
                <w:szCs w:val="20"/>
                <w:highlight w:val="none"/>
                <w:lang w:bidi="ar"/>
              </w:rPr>
            </w:pPr>
            <w:r>
              <w:rPr>
                <w:rFonts w:hint="eastAsia"/>
                <w:b/>
                <w:bCs/>
                <w:color w:val="auto"/>
                <w:szCs w:val="20"/>
                <w:highlight w:val="none"/>
                <w:lang w:bidi="ar"/>
              </w:rPr>
              <w:t>报价人填写内容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Calibri" w:hAnsi="Calibri"/>
                <w:color w:val="auto"/>
                <w:szCs w:val="20"/>
                <w:highlight w:val="none"/>
                <w:lang w:bidi="ar"/>
              </w:rPr>
            </w:pPr>
            <w:r>
              <w:rPr>
                <w:color w:val="auto"/>
                <w:szCs w:val="20"/>
                <w:highlight w:val="none"/>
                <w:lang w:bidi="ar"/>
              </w:rPr>
              <w:t>1</w:t>
            </w:r>
          </w:p>
        </w:tc>
        <w:tc>
          <w:tcPr>
            <w:tcW w:w="219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Calibri" w:hAnsi="Calibri"/>
                <w:color w:val="auto"/>
                <w:szCs w:val="20"/>
                <w:highlight w:val="none"/>
                <w:lang w:bidi="ar"/>
              </w:rPr>
            </w:pPr>
            <w:r>
              <w:rPr>
                <w:rFonts w:hint="eastAsia"/>
                <w:color w:val="auto"/>
                <w:kern w:val="0"/>
                <w:sz w:val="20"/>
                <w:szCs w:val="20"/>
                <w:highlight w:val="none"/>
                <w:lang w:bidi="ar"/>
              </w:rPr>
              <w:t>统一社会信用代码</w:t>
            </w:r>
          </w:p>
        </w:tc>
        <w:tc>
          <w:tcPr>
            <w:tcW w:w="659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Calibri" w:hAnsi="Calibri"/>
                <w:color w:val="auto"/>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Calibri" w:hAnsi="Calibri"/>
                <w:color w:val="auto"/>
                <w:szCs w:val="20"/>
                <w:highlight w:val="none"/>
                <w:lang w:bidi="ar"/>
              </w:rPr>
            </w:pPr>
            <w:r>
              <w:rPr>
                <w:color w:val="auto"/>
                <w:szCs w:val="20"/>
                <w:highlight w:val="none"/>
                <w:lang w:bidi="ar"/>
              </w:rPr>
              <w:t>2</w:t>
            </w:r>
          </w:p>
        </w:tc>
        <w:tc>
          <w:tcPr>
            <w:tcW w:w="219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Calibri" w:hAnsi="Calibri"/>
                <w:color w:val="auto"/>
                <w:szCs w:val="20"/>
                <w:highlight w:val="none"/>
                <w:lang w:bidi="ar"/>
              </w:rPr>
            </w:pPr>
            <w:r>
              <w:rPr>
                <w:rFonts w:hint="eastAsia"/>
                <w:color w:val="auto"/>
                <w:kern w:val="0"/>
                <w:sz w:val="20"/>
                <w:szCs w:val="20"/>
                <w:highlight w:val="none"/>
                <w:lang w:bidi="ar"/>
              </w:rPr>
              <w:t>认证体系标准</w:t>
            </w:r>
          </w:p>
        </w:tc>
        <w:tc>
          <w:tcPr>
            <w:tcW w:w="659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Calibri" w:hAnsi="Calibri"/>
                <w:color w:val="auto"/>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Calibri" w:hAnsi="Calibri"/>
                <w:color w:val="auto"/>
                <w:szCs w:val="20"/>
                <w:highlight w:val="none"/>
                <w:lang w:bidi="ar"/>
              </w:rPr>
            </w:pPr>
            <w:r>
              <w:rPr>
                <w:color w:val="auto"/>
                <w:szCs w:val="20"/>
                <w:highlight w:val="none"/>
                <w:lang w:bidi="ar"/>
              </w:rPr>
              <w:t>3</w:t>
            </w:r>
          </w:p>
        </w:tc>
        <w:tc>
          <w:tcPr>
            <w:tcW w:w="219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Calibri" w:hAnsi="Calibri"/>
                <w:color w:val="auto"/>
                <w:szCs w:val="20"/>
                <w:highlight w:val="none"/>
                <w:lang w:bidi="ar"/>
              </w:rPr>
            </w:pPr>
            <w:r>
              <w:rPr>
                <w:rFonts w:hint="eastAsia"/>
                <w:color w:val="auto"/>
                <w:kern w:val="0"/>
                <w:sz w:val="20"/>
                <w:szCs w:val="20"/>
                <w:highlight w:val="none"/>
                <w:lang w:bidi="ar"/>
              </w:rPr>
              <w:t>认证范围</w:t>
            </w:r>
          </w:p>
        </w:tc>
        <w:tc>
          <w:tcPr>
            <w:tcW w:w="659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Calibri" w:hAnsi="Calibri"/>
                <w:color w:val="auto"/>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Calibri" w:hAnsi="Calibri"/>
                <w:color w:val="auto"/>
                <w:szCs w:val="20"/>
                <w:highlight w:val="none"/>
                <w:lang w:bidi="ar"/>
              </w:rPr>
            </w:pPr>
            <w:r>
              <w:rPr>
                <w:color w:val="auto"/>
                <w:szCs w:val="20"/>
                <w:highlight w:val="none"/>
                <w:lang w:bidi="ar"/>
              </w:rPr>
              <w:t>4</w:t>
            </w:r>
          </w:p>
        </w:tc>
        <w:tc>
          <w:tcPr>
            <w:tcW w:w="219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Calibri" w:hAnsi="Calibri"/>
                <w:color w:val="auto"/>
                <w:szCs w:val="20"/>
                <w:highlight w:val="none"/>
                <w:lang w:bidi="ar"/>
              </w:rPr>
            </w:pPr>
            <w:r>
              <w:rPr>
                <w:rFonts w:hint="eastAsia"/>
                <w:color w:val="auto"/>
                <w:kern w:val="0"/>
                <w:sz w:val="20"/>
                <w:szCs w:val="20"/>
                <w:highlight w:val="none"/>
                <w:lang w:bidi="ar"/>
              </w:rPr>
              <w:t>认证有效期</w:t>
            </w:r>
          </w:p>
        </w:tc>
        <w:tc>
          <w:tcPr>
            <w:tcW w:w="659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Calibri" w:hAnsi="Calibri"/>
                <w:color w:val="auto"/>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Calibri" w:hAnsi="Calibri"/>
                <w:color w:val="auto"/>
                <w:szCs w:val="20"/>
                <w:highlight w:val="none"/>
                <w:lang w:bidi="ar"/>
              </w:rPr>
            </w:pPr>
            <w:r>
              <w:rPr>
                <w:color w:val="auto"/>
                <w:szCs w:val="20"/>
                <w:highlight w:val="none"/>
                <w:lang w:bidi="ar"/>
              </w:rPr>
              <w:t>5</w:t>
            </w:r>
          </w:p>
        </w:tc>
        <w:tc>
          <w:tcPr>
            <w:tcW w:w="219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Calibri" w:hAnsi="Calibri"/>
                <w:color w:val="auto"/>
                <w:szCs w:val="20"/>
                <w:highlight w:val="none"/>
                <w:lang w:bidi="ar"/>
              </w:rPr>
            </w:pPr>
            <w:r>
              <w:rPr>
                <w:rFonts w:hint="eastAsia"/>
                <w:color w:val="auto"/>
                <w:kern w:val="0"/>
                <w:sz w:val="20"/>
                <w:szCs w:val="20"/>
                <w:highlight w:val="none"/>
                <w:lang w:bidi="ar"/>
              </w:rPr>
              <w:t>认证机构</w:t>
            </w:r>
          </w:p>
        </w:tc>
        <w:tc>
          <w:tcPr>
            <w:tcW w:w="659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Calibri" w:hAnsi="Calibri"/>
                <w:color w:val="auto"/>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Calibri" w:hAnsi="Calibri"/>
                <w:color w:val="auto"/>
                <w:szCs w:val="20"/>
                <w:highlight w:val="none"/>
                <w:lang w:bidi="ar"/>
              </w:rPr>
            </w:pPr>
            <w:r>
              <w:rPr>
                <w:color w:val="auto"/>
                <w:szCs w:val="20"/>
                <w:highlight w:val="none"/>
                <w:lang w:bidi="ar"/>
              </w:rPr>
              <w:t>6</w:t>
            </w:r>
          </w:p>
        </w:tc>
        <w:tc>
          <w:tcPr>
            <w:tcW w:w="219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Calibri" w:hAnsi="Calibri"/>
                <w:color w:val="auto"/>
                <w:szCs w:val="20"/>
                <w:highlight w:val="none"/>
                <w:lang w:bidi="ar"/>
              </w:rPr>
            </w:pPr>
            <w:r>
              <w:rPr>
                <w:rFonts w:hint="eastAsia"/>
                <w:color w:val="auto"/>
                <w:kern w:val="0"/>
                <w:sz w:val="20"/>
                <w:szCs w:val="20"/>
                <w:highlight w:val="none"/>
                <w:lang w:bidi="ar"/>
              </w:rPr>
              <w:t>签发日期</w:t>
            </w:r>
          </w:p>
        </w:tc>
        <w:tc>
          <w:tcPr>
            <w:tcW w:w="659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Calibri" w:hAnsi="Calibri"/>
                <w:color w:val="auto"/>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Calibri" w:hAnsi="Calibri"/>
                <w:color w:val="auto"/>
                <w:szCs w:val="20"/>
                <w:highlight w:val="none"/>
                <w:lang w:bidi="ar"/>
              </w:rPr>
            </w:pPr>
            <w:r>
              <w:rPr>
                <w:color w:val="auto"/>
                <w:szCs w:val="20"/>
                <w:highlight w:val="none"/>
                <w:lang w:bidi="ar"/>
              </w:rPr>
              <w:t>7</w:t>
            </w:r>
          </w:p>
        </w:tc>
        <w:tc>
          <w:tcPr>
            <w:tcW w:w="219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Calibri" w:hAnsi="Calibri"/>
                <w:color w:val="auto"/>
                <w:szCs w:val="20"/>
                <w:highlight w:val="none"/>
                <w:lang w:bidi="ar"/>
              </w:rPr>
            </w:pPr>
            <w:r>
              <w:rPr>
                <w:rFonts w:hint="eastAsia"/>
                <w:color w:val="auto"/>
                <w:kern w:val="0"/>
                <w:sz w:val="20"/>
                <w:szCs w:val="20"/>
                <w:highlight w:val="none"/>
                <w:lang w:bidi="ar"/>
              </w:rPr>
              <w:t>备注</w:t>
            </w:r>
            <w:r>
              <w:rPr>
                <w:color w:val="auto"/>
                <w:kern w:val="0"/>
                <w:sz w:val="20"/>
                <w:szCs w:val="20"/>
                <w:highlight w:val="none"/>
                <w:lang w:bidi="ar"/>
              </w:rPr>
              <w:t>1</w:t>
            </w:r>
          </w:p>
        </w:tc>
        <w:tc>
          <w:tcPr>
            <w:tcW w:w="659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Calibri" w:hAnsi="Calibri"/>
                <w:color w:val="auto"/>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Calibri" w:hAnsi="Calibri"/>
                <w:color w:val="auto"/>
                <w:szCs w:val="20"/>
                <w:highlight w:val="none"/>
                <w:lang w:bidi="ar"/>
              </w:rPr>
            </w:pPr>
            <w:r>
              <w:rPr>
                <w:color w:val="auto"/>
                <w:szCs w:val="20"/>
                <w:highlight w:val="none"/>
                <w:lang w:bidi="ar"/>
              </w:rPr>
              <w:t>8</w:t>
            </w:r>
          </w:p>
        </w:tc>
        <w:tc>
          <w:tcPr>
            <w:tcW w:w="219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Calibri" w:hAnsi="Calibri"/>
                <w:color w:val="auto"/>
                <w:szCs w:val="20"/>
                <w:highlight w:val="none"/>
                <w:lang w:bidi="ar"/>
              </w:rPr>
            </w:pPr>
            <w:r>
              <w:rPr>
                <w:rFonts w:hint="eastAsia"/>
                <w:color w:val="auto"/>
                <w:kern w:val="0"/>
                <w:sz w:val="20"/>
                <w:szCs w:val="20"/>
                <w:highlight w:val="none"/>
                <w:lang w:bidi="ar"/>
              </w:rPr>
              <w:t>备注</w:t>
            </w:r>
            <w:r>
              <w:rPr>
                <w:color w:val="auto"/>
                <w:kern w:val="0"/>
                <w:sz w:val="20"/>
                <w:szCs w:val="20"/>
                <w:highlight w:val="none"/>
                <w:lang w:bidi="ar"/>
              </w:rPr>
              <w:t>2</w:t>
            </w:r>
          </w:p>
        </w:tc>
        <w:tc>
          <w:tcPr>
            <w:tcW w:w="659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Calibri" w:hAnsi="Calibri"/>
                <w:color w:val="auto"/>
                <w:szCs w:val="20"/>
                <w:highlight w:val="none"/>
                <w:lang w:bidi="ar"/>
              </w:rPr>
            </w:pPr>
          </w:p>
        </w:tc>
      </w:tr>
    </w:tbl>
    <w:p>
      <w:pPr>
        <w:adjustRightInd w:val="0"/>
        <w:snapToGrid w:val="0"/>
        <w:spacing w:line="360" w:lineRule="auto"/>
        <w:ind w:firstLine="480"/>
        <w:rPr>
          <w:color w:val="auto"/>
          <w:szCs w:val="20"/>
          <w:highlight w:val="none"/>
          <w:lang w:bidi="ar"/>
        </w:rPr>
      </w:pPr>
      <w:r>
        <w:rPr>
          <w:rFonts w:hint="eastAsia"/>
          <w:color w:val="auto"/>
          <w:szCs w:val="20"/>
          <w:highlight w:val="none"/>
          <w:lang w:bidi="ar"/>
        </w:rPr>
        <w:t>注：报价人应填写上表，并上传认证证书扫描件或照片。</w:t>
      </w:r>
    </w:p>
    <w:p>
      <w:pPr>
        <w:spacing w:line="360" w:lineRule="auto"/>
        <w:ind w:firstLine="240" w:firstLineChars="100"/>
        <w:rPr>
          <w:color w:val="auto"/>
          <w:sz w:val="24"/>
          <w:highlight w:val="none"/>
        </w:rPr>
      </w:pPr>
    </w:p>
    <w:p>
      <w:pPr>
        <w:spacing w:line="360" w:lineRule="auto"/>
        <w:ind w:firstLine="240" w:firstLineChars="100"/>
        <w:rPr>
          <w:color w:val="auto"/>
          <w:sz w:val="24"/>
          <w:highlight w:val="none"/>
        </w:rPr>
      </w:pPr>
      <w:r>
        <w:rPr>
          <w:rFonts w:hint="eastAsia"/>
          <w:color w:val="auto"/>
          <w:sz w:val="24"/>
          <w:highlight w:val="none"/>
        </w:rPr>
        <w:t>（</w:t>
      </w:r>
      <w:r>
        <w:rPr>
          <w:color w:val="auto"/>
          <w:sz w:val="24"/>
          <w:highlight w:val="none"/>
        </w:rPr>
        <w:t>6</w:t>
      </w:r>
      <w:r>
        <w:rPr>
          <w:rFonts w:hint="eastAsia"/>
          <w:color w:val="auto"/>
          <w:sz w:val="24"/>
          <w:highlight w:val="none"/>
        </w:rPr>
        <w:t>）采购文件要求的其他资格资质文件（如有）</w:t>
      </w:r>
    </w:p>
    <w:p>
      <w:pPr>
        <w:adjustRightInd w:val="0"/>
        <w:snapToGrid w:val="0"/>
        <w:spacing w:line="360" w:lineRule="auto"/>
        <w:ind w:firstLine="480"/>
        <w:rPr>
          <w:color w:val="auto"/>
          <w:szCs w:val="20"/>
          <w:highlight w:val="none"/>
          <w:lang w:bidi="ar"/>
        </w:rPr>
      </w:pPr>
      <w:r>
        <w:rPr>
          <w:rFonts w:hint="eastAsia"/>
          <w:color w:val="auto"/>
          <w:szCs w:val="20"/>
          <w:highlight w:val="none"/>
          <w:lang w:bidi="ar"/>
        </w:rPr>
        <w:t>（如生产许可证、安全许可证、其他认证认可证书等）</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2078"/>
        <w:gridCol w:w="6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Calibri" w:hAnsi="Calibri"/>
                <w:color w:val="auto"/>
                <w:szCs w:val="20"/>
                <w:highlight w:val="none"/>
                <w:lang w:bidi="ar"/>
              </w:rPr>
            </w:pPr>
            <w:r>
              <w:rPr>
                <w:rFonts w:hint="eastAsia"/>
                <w:color w:val="auto"/>
                <w:szCs w:val="20"/>
                <w:highlight w:val="none"/>
                <w:lang w:bidi="ar"/>
              </w:rPr>
              <w:t>序号</w:t>
            </w:r>
          </w:p>
        </w:tc>
        <w:tc>
          <w:tcPr>
            <w:tcW w:w="219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Calibri" w:hAnsi="Calibri"/>
                <w:color w:val="auto"/>
                <w:szCs w:val="20"/>
                <w:highlight w:val="none"/>
                <w:lang w:bidi="ar"/>
              </w:rPr>
            </w:pPr>
            <w:r>
              <w:rPr>
                <w:rFonts w:hint="eastAsia"/>
                <w:color w:val="auto"/>
                <w:kern w:val="0"/>
                <w:sz w:val="20"/>
                <w:szCs w:val="20"/>
                <w:highlight w:val="none"/>
                <w:lang w:bidi="ar"/>
              </w:rPr>
              <w:t>名称</w:t>
            </w:r>
          </w:p>
        </w:tc>
        <w:tc>
          <w:tcPr>
            <w:tcW w:w="659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Calibri" w:hAnsi="Calibri"/>
                <w:color w:val="auto"/>
                <w:szCs w:val="20"/>
                <w:highlight w:val="none"/>
                <w:lang w:bidi="ar"/>
              </w:rPr>
            </w:pPr>
            <w:r>
              <w:rPr>
                <w:rFonts w:hint="eastAsia"/>
                <w:color w:val="auto"/>
                <w:szCs w:val="20"/>
                <w:highlight w:val="none"/>
                <w:lang w:bidi="ar"/>
              </w:rPr>
              <w:t>报价人填写内容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Calibri" w:hAnsi="Calibri"/>
                <w:color w:val="auto"/>
                <w:szCs w:val="20"/>
                <w:highlight w:val="none"/>
                <w:lang w:bidi="ar"/>
              </w:rPr>
            </w:pPr>
            <w:r>
              <w:rPr>
                <w:color w:val="auto"/>
                <w:szCs w:val="20"/>
                <w:highlight w:val="none"/>
                <w:lang w:bidi="ar"/>
              </w:rPr>
              <w:t>1</w:t>
            </w:r>
          </w:p>
        </w:tc>
        <w:tc>
          <w:tcPr>
            <w:tcW w:w="219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Calibri" w:hAnsi="Calibri"/>
                <w:color w:val="auto"/>
                <w:szCs w:val="20"/>
                <w:highlight w:val="none"/>
                <w:lang w:bidi="ar"/>
              </w:rPr>
            </w:pPr>
            <w:r>
              <w:rPr>
                <w:rFonts w:hint="eastAsia"/>
                <w:color w:val="auto"/>
                <w:kern w:val="0"/>
                <w:sz w:val="20"/>
                <w:szCs w:val="20"/>
                <w:highlight w:val="none"/>
                <w:lang w:bidi="ar"/>
              </w:rPr>
              <w:t>编号</w:t>
            </w:r>
          </w:p>
        </w:tc>
        <w:tc>
          <w:tcPr>
            <w:tcW w:w="659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Calibri" w:hAnsi="Calibri"/>
                <w:color w:val="auto"/>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Calibri" w:hAnsi="Calibri"/>
                <w:color w:val="auto"/>
                <w:szCs w:val="20"/>
                <w:highlight w:val="none"/>
                <w:lang w:bidi="ar"/>
              </w:rPr>
            </w:pPr>
            <w:r>
              <w:rPr>
                <w:color w:val="auto"/>
                <w:szCs w:val="20"/>
                <w:highlight w:val="none"/>
                <w:lang w:bidi="ar"/>
              </w:rPr>
              <w:t>2</w:t>
            </w:r>
          </w:p>
        </w:tc>
        <w:tc>
          <w:tcPr>
            <w:tcW w:w="219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Calibri" w:hAnsi="Calibri"/>
                <w:color w:val="auto"/>
                <w:szCs w:val="20"/>
                <w:highlight w:val="none"/>
                <w:lang w:bidi="ar"/>
              </w:rPr>
            </w:pPr>
            <w:r>
              <w:rPr>
                <w:rFonts w:hint="eastAsia"/>
                <w:color w:val="auto"/>
                <w:kern w:val="0"/>
                <w:sz w:val="20"/>
                <w:szCs w:val="20"/>
                <w:highlight w:val="none"/>
                <w:lang w:bidi="ar"/>
              </w:rPr>
              <w:t>类别等级</w:t>
            </w:r>
          </w:p>
        </w:tc>
        <w:tc>
          <w:tcPr>
            <w:tcW w:w="659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Calibri" w:hAnsi="Calibri"/>
                <w:color w:val="auto"/>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Calibri" w:hAnsi="Calibri"/>
                <w:color w:val="auto"/>
                <w:szCs w:val="20"/>
                <w:highlight w:val="none"/>
                <w:lang w:bidi="ar"/>
              </w:rPr>
            </w:pPr>
            <w:r>
              <w:rPr>
                <w:color w:val="auto"/>
                <w:szCs w:val="20"/>
                <w:highlight w:val="none"/>
                <w:lang w:bidi="ar"/>
              </w:rPr>
              <w:t>3</w:t>
            </w:r>
          </w:p>
        </w:tc>
        <w:tc>
          <w:tcPr>
            <w:tcW w:w="219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Calibri" w:hAnsi="Calibri"/>
                <w:color w:val="auto"/>
                <w:szCs w:val="20"/>
                <w:highlight w:val="none"/>
                <w:lang w:bidi="ar"/>
              </w:rPr>
            </w:pPr>
            <w:r>
              <w:rPr>
                <w:rFonts w:hint="eastAsia"/>
                <w:color w:val="auto"/>
                <w:kern w:val="0"/>
                <w:sz w:val="20"/>
                <w:szCs w:val="20"/>
                <w:highlight w:val="none"/>
                <w:lang w:bidi="ar"/>
              </w:rPr>
              <w:t>适用范围</w:t>
            </w:r>
          </w:p>
        </w:tc>
        <w:tc>
          <w:tcPr>
            <w:tcW w:w="659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Calibri" w:hAnsi="Calibri"/>
                <w:color w:val="auto"/>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Calibri" w:hAnsi="Calibri"/>
                <w:color w:val="auto"/>
                <w:szCs w:val="20"/>
                <w:highlight w:val="none"/>
                <w:lang w:bidi="ar"/>
              </w:rPr>
            </w:pPr>
            <w:r>
              <w:rPr>
                <w:color w:val="auto"/>
                <w:szCs w:val="20"/>
                <w:highlight w:val="none"/>
                <w:lang w:bidi="ar"/>
              </w:rPr>
              <w:t>4</w:t>
            </w:r>
          </w:p>
        </w:tc>
        <w:tc>
          <w:tcPr>
            <w:tcW w:w="219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Calibri" w:hAnsi="Calibri"/>
                <w:color w:val="auto"/>
                <w:szCs w:val="20"/>
                <w:highlight w:val="none"/>
                <w:lang w:bidi="ar"/>
              </w:rPr>
            </w:pPr>
            <w:r>
              <w:rPr>
                <w:rFonts w:hint="eastAsia"/>
                <w:color w:val="auto"/>
                <w:kern w:val="0"/>
                <w:sz w:val="20"/>
                <w:szCs w:val="20"/>
                <w:highlight w:val="none"/>
                <w:lang w:bidi="ar"/>
              </w:rPr>
              <w:t>有效期</w:t>
            </w:r>
          </w:p>
        </w:tc>
        <w:tc>
          <w:tcPr>
            <w:tcW w:w="659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Calibri" w:hAnsi="Calibri"/>
                <w:color w:val="auto"/>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Calibri" w:hAnsi="Calibri"/>
                <w:color w:val="auto"/>
                <w:szCs w:val="20"/>
                <w:highlight w:val="none"/>
                <w:lang w:bidi="ar"/>
              </w:rPr>
            </w:pPr>
            <w:r>
              <w:rPr>
                <w:color w:val="auto"/>
                <w:szCs w:val="20"/>
                <w:highlight w:val="none"/>
                <w:lang w:bidi="ar"/>
              </w:rPr>
              <w:t>5</w:t>
            </w:r>
          </w:p>
        </w:tc>
        <w:tc>
          <w:tcPr>
            <w:tcW w:w="219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Calibri" w:hAnsi="Calibri"/>
                <w:color w:val="auto"/>
                <w:szCs w:val="20"/>
                <w:highlight w:val="none"/>
                <w:lang w:bidi="ar"/>
              </w:rPr>
            </w:pPr>
            <w:r>
              <w:rPr>
                <w:rFonts w:hint="eastAsia"/>
                <w:color w:val="auto"/>
                <w:kern w:val="0"/>
                <w:sz w:val="20"/>
                <w:szCs w:val="20"/>
                <w:highlight w:val="none"/>
                <w:lang w:bidi="ar"/>
              </w:rPr>
              <w:t>签发机构</w:t>
            </w:r>
          </w:p>
        </w:tc>
        <w:tc>
          <w:tcPr>
            <w:tcW w:w="659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Calibri" w:hAnsi="Calibri"/>
                <w:color w:val="auto"/>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Calibri" w:hAnsi="Calibri"/>
                <w:color w:val="auto"/>
                <w:szCs w:val="20"/>
                <w:highlight w:val="none"/>
                <w:lang w:bidi="ar"/>
              </w:rPr>
            </w:pPr>
            <w:r>
              <w:rPr>
                <w:color w:val="auto"/>
                <w:szCs w:val="20"/>
                <w:highlight w:val="none"/>
                <w:lang w:bidi="ar"/>
              </w:rPr>
              <w:t>6</w:t>
            </w:r>
          </w:p>
        </w:tc>
        <w:tc>
          <w:tcPr>
            <w:tcW w:w="219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Calibri" w:hAnsi="Calibri"/>
                <w:color w:val="auto"/>
                <w:szCs w:val="20"/>
                <w:highlight w:val="none"/>
                <w:lang w:bidi="ar"/>
              </w:rPr>
            </w:pPr>
            <w:r>
              <w:rPr>
                <w:rFonts w:hint="eastAsia"/>
                <w:color w:val="auto"/>
                <w:kern w:val="0"/>
                <w:sz w:val="20"/>
                <w:szCs w:val="20"/>
                <w:highlight w:val="none"/>
                <w:lang w:bidi="ar"/>
              </w:rPr>
              <w:t>签发日期</w:t>
            </w:r>
          </w:p>
        </w:tc>
        <w:tc>
          <w:tcPr>
            <w:tcW w:w="659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Calibri" w:hAnsi="Calibri"/>
                <w:color w:val="auto"/>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Calibri" w:hAnsi="Calibri"/>
                <w:color w:val="auto"/>
                <w:szCs w:val="20"/>
                <w:highlight w:val="none"/>
                <w:lang w:bidi="ar"/>
              </w:rPr>
            </w:pPr>
            <w:r>
              <w:rPr>
                <w:color w:val="auto"/>
                <w:szCs w:val="20"/>
                <w:highlight w:val="none"/>
                <w:lang w:bidi="ar"/>
              </w:rPr>
              <w:t>7</w:t>
            </w:r>
          </w:p>
        </w:tc>
        <w:tc>
          <w:tcPr>
            <w:tcW w:w="219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Calibri" w:hAnsi="Calibri"/>
                <w:color w:val="auto"/>
                <w:szCs w:val="20"/>
                <w:highlight w:val="none"/>
                <w:lang w:bidi="ar"/>
              </w:rPr>
            </w:pPr>
            <w:r>
              <w:rPr>
                <w:rFonts w:hint="eastAsia"/>
                <w:color w:val="auto"/>
                <w:kern w:val="0"/>
                <w:sz w:val="20"/>
                <w:szCs w:val="20"/>
                <w:highlight w:val="none"/>
                <w:lang w:bidi="ar"/>
              </w:rPr>
              <w:t>备注</w:t>
            </w:r>
            <w:r>
              <w:rPr>
                <w:color w:val="auto"/>
                <w:kern w:val="0"/>
                <w:sz w:val="20"/>
                <w:szCs w:val="20"/>
                <w:highlight w:val="none"/>
                <w:lang w:bidi="ar"/>
              </w:rPr>
              <w:t>1</w:t>
            </w:r>
          </w:p>
        </w:tc>
        <w:tc>
          <w:tcPr>
            <w:tcW w:w="659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Calibri" w:hAnsi="Calibri"/>
                <w:color w:val="auto"/>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Calibri" w:hAnsi="Calibri"/>
                <w:color w:val="auto"/>
                <w:szCs w:val="20"/>
                <w:highlight w:val="none"/>
                <w:lang w:bidi="ar"/>
              </w:rPr>
            </w:pPr>
            <w:r>
              <w:rPr>
                <w:color w:val="auto"/>
                <w:szCs w:val="20"/>
                <w:highlight w:val="none"/>
                <w:lang w:bidi="ar"/>
              </w:rPr>
              <w:t>8</w:t>
            </w:r>
          </w:p>
        </w:tc>
        <w:tc>
          <w:tcPr>
            <w:tcW w:w="219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Calibri" w:hAnsi="Calibri"/>
                <w:color w:val="auto"/>
                <w:szCs w:val="20"/>
                <w:highlight w:val="none"/>
                <w:lang w:bidi="ar"/>
              </w:rPr>
            </w:pPr>
            <w:r>
              <w:rPr>
                <w:rFonts w:hint="eastAsia"/>
                <w:color w:val="auto"/>
                <w:kern w:val="0"/>
                <w:sz w:val="20"/>
                <w:szCs w:val="20"/>
                <w:highlight w:val="none"/>
                <w:lang w:bidi="ar"/>
              </w:rPr>
              <w:t>备注</w:t>
            </w:r>
            <w:r>
              <w:rPr>
                <w:color w:val="auto"/>
                <w:kern w:val="0"/>
                <w:sz w:val="20"/>
                <w:szCs w:val="20"/>
                <w:highlight w:val="none"/>
                <w:lang w:bidi="ar"/>
              </w:rPr>
              <w:t>2</w:t>
            </w:r>
          </w:p>
        </w:tc>
        <w:tc>
          <w:tcPr>
            <w:tcW w:w="659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Calibri" w:hAnsi="Calibri"/>
                <w:color w:val="auto"/>
                <w:szCs w:val="20"/>
                <w:highlight w:val="none"/>
                <w:lang w:bidi="ar"/>
              </w:rPr>
            </w:pPr>
          </w:p>
        </w:tc>
      </w:tr>
    </w:tbl>
    <w:p>
      <w:pPr>
        <w:adjustRightInd w:val="0"/>
        <w:snapToGrid w:val="0"/>
        <w:spacing w:line="360" w:lineRule="auto"/>
        <w:ind w:firstLine="480"/>
        <w:rPr>
          <w:color w:val="auto"/>
          <w:szCs w:val="20"/>
          <w:highlight w:val="none"/>
          <w:lang w:bidi="ar"/>
        </w:rPr>
      </w:pPr>
      <w:r>
        <w:rPr>
          <w:rFonts w:hint="eastAsia"/>
          <w:color w:val="auto"/>
          <w:szCs w:val="20"/>
          <w:highlight w:val="none"/>
          <w:lang w:bidi="ar"/>
        </w:rPr>
        <w:t>注：</w:t>
      </w:r>
      <w:r>
        <w:rPr>
          <w:color w:val="auto"/>
          <w:szCs w:val="20"/>
          <w:highlight w:val="none"/>
          <w:lang w:bidi="ar"/>
        </w:rPr>
        <w:t>1</w:t>
      </w:r>
      <w:r>
        <w:rPr>
          <w:rFonts w:hint="eastAsia"/>
          <w:color w:val="auto"/>
          <w:szCs w:val="20"/>
          <w:highlight w:val="none"/>
          <w:lang w:bidi="ar"/>
        </w:rPr>
        <w:t>）报价人应填写上表，并上传资格资质文件扫描件或照片。2）一证一表。</w:t>
      </w:r>
    </w:p>
    <w:p>
      <w:pPr>
        <w:pStyle w:val="10"/>
        <w:ind w:firstLine="0" w:firstLineChars="0"/>
        <w:rPr>
          <w:color w:val="auto"/>
          <w:highlight w:val="none"/>
        </w:rPr>
      </w:pPr>
    </w:p>
    <w:p>
      <w:pPr>
        <w:pStyle w:val="34"/>
        <w:ind w:firstLine="166" w:firstLineChars="59"/>
        <w:jc w:val="left"/>
        <w:outlineLvl w:val="1"/>
        <w:rPr>
          <w:rFonts w:cs="Times New Roman" w:asciiTheme="minorEastAsia" w:hAnsiTheme="minorEastAsia" w:eastAsiaTheme="minorEastAsia"/>
          <w:b/>
          <w:bCs/>
          <w:color w:val="auto"/>
          <w:kern w:val="44"/>
          <w:sz w:val="28"/>
          <w:szCs w:val="28"/>
          <w:highlight w:val="none"/>
        </w:rPr>
      </w:pPr>
      <w:bookmarkStart w:id="220" w:name="_Toc65865772"/>
      <w:bookmarkStart w:id="221" w:name="_Toc6561277"/>
      <w:bookmarkStart w:id="222" w:name="_Toc133413411"/>
      <w:r>
        <w:rPr>
          <w:rFonts w:cs="Times New Roman" w:asciiTheme="minorEastAsia" w:hAnsiTheme="minorEastAsia" w:eastAsiaTheme="minorEastAsia"/>
          <w:b/>
          <w:bCs/>
          <w:color w:val="auto"/>
          <w:kern w:val="44"/>
          <w:sz w:val="28"/>
          <w:szCs w:val="28"/>
          <w:highlight w:val="none"/>
        </w:rPr>
        <w:t>7</w:t>
      </w:r>
      <w:r>
        <w:rPr>
          <w:rFonts w:hint="eastAsia" w:cs="Times New Roman" w:asciiTheme="minorEastAsia" w:hAnsiTheme="minorEastAsia" w:eastAsiaTheme="minorEastAsia"/>
          <w:b/>
          <w:bCs/>
          <w:color w:val="auto"/>
          <w:kern w:val="44"/>
          <w:sz w:val="28"/>
          <w:szCs w:val="28"/>
          <w:highlight w:val="none"/>
        </w:rPr>
        <w:t>、企业基本情况</w:t>
      </w:r>
      <w:bookmarkEnd w:id="220"/>
      <w:bookmarkEnd w:id="221"/>
      <w:r>
        <w:rPr>
          <w:rFonts w:hint="eastAsia" w:cs="Times New Roman" w:asciiTheme="minorEastAsia" w:hAnsiTheme="minorEastAsia" w:eastAsiaTheme="minorEastAsia"/>
          <w:b/>
          <w:bCs/>
          <w:color w:val="auto"/>
          <w:kern w:val="44"/>
          <w:sz w:val="28"/>
          <w:szCs w:val="28"/>
          <w:highlight w:val="none"/>
        </w:rPr>
        <w:t>(简介)</w:t>
      </w:r>
      <w:bookmarkEnd w:id="222"/>
    </w:p>
    <w:p>
      <w:pPr>
        <w:adjustRightInd w:val="0"/>
        <w:snapToGrid w:val="0"/>
        <w:spacing w:line="360" w:lineRule="auto"/>
        <w:ind w:firstLine="210" w:firstLineChars="100"/>
        <w:rPr>
          <w:color w:val="auto"/>
          <w:szCs w:val="20"/>
          <w:highlight w:val="none"/>
          <w:lang w:bidi="ar"/>
        </w:rPr>
      </w:pPr>
      <w:bookmarkStart w:id="223" w:name="_Toc7606"/>
      <w:r>
        <w:rPr>
          <w:rFonts w:hint="eastAsia"/>
          <w:color w:val="auto"/>
          <w:szCs w:val="20"/>
          <w:highlight w:val="none"/>
          <w:lang w:bidi="ar"/>
        </w:rPr>
        <w:t>包括组织机构、生产能力、设备、厂房、人员等，限</w:t>
      </w:r>
      <w:r>
        <w:rPr>
          <w:color w:val="auto"/>
          <w:szCs w:val="20"/>
          <w:highlight w:val="none"/>
          <w:lang w:bidi="ar"/>
        </w:rPr>
        <w:t>3000</w:t>
      </w:r>
      <w:r>
        <w:rPr>
          <w:rFonts w:hint="eastAsia"/>
          <w:color w:val="auto"/>
          <w:szCs w:val="20"/>
          <w:highlight w:val="none"/>
          <w:lang w:bidi="ar"/>
        </w:rPr>
        <w:t>字以内。</w:t>
      </w:r>
      <w:bookmarkEnd w:id="223"/>
    </w:p>
    <w:bookmarkEnd w:id="203"/>
    <w:p>
      <w:pPr>
        <w:pStyle w:val="33"/>
        <w:rPr>
          <w:color w:val="auto"/>
          <w:highlight w:val="none"/>
        </w:rPr>
      </w:pPr>
    </w:p>
    <w:p>
      <w:pPr>
        <w:pStyle w:val="33"/>
        <w:rPr>
          <w:color w:val="auto"/>
          <w:highlight w:val="none"/>
        </w:rPr>
        <w:sectPr>
          <w:headerReference r:id="rId9" w:type="default"/>
          <w:pgSz w:w="11906" w:h="16838"/>
          <w:pgMar w:top="1440" w:right="1588" w:bottom="1440" w:left="1588" w:header="720" w:footer="720" w:gutter="0"/>
          <w:cols w:space="720" w:num="1"/>
          <w:docGrid w:type="lines" w:linePitch="312" w:charSpace="0"/>
        </w:sectPr>
      </w:pPr>
    </w:p>
    <w:p>
      <w:pPr>
        <w:widowControl/>
        <w:jc w:val="left"/>
        <w:outlineLvl w:val="0"/>
        <w:rPr>
          <w:rFonts w:ascii="宋体" w:hAnsi="宋体"/>
          <w:b/>
          <w:bCs/>
          <w:color w:val="auto"/>
          <w:sz w:val="24"/>
          <w:highlight w:val="none"/>
        </w:rPr>
      </w:pPr>
      <w:bookmarkStart w:id="224" w:name="_Toc10940"/>
      <w:bookmarkStart w:id="225" w:name="_Toc21583"/>
      <w:bookmarkStart w:id="226" w:name="_Toc3307"/>
      <w:bookmarkStart w:id="227" w:name="_Toc12335"/>
      <w:bookmarkStart w:id="228" w:name="_Toc19046"/>
      <w:bookmarkStart w:id="229" w:name="_Toc1930"/>
      <w:bookmarkStart w:id="230" w:name="_Toc16220"/>
      <w:bookmarkStart w:id="231" w:name="_Toc9512"/>
      <w:bookmarkStart w:id="232" w:name="_Toc133413412"/>
      <w:bookmarkStart w:id="233" w:name="_Toc2565"/>
      <w:r>
        <w:rPr>
          <w:rFonts w:hint="eastAsia" w:ascii="宋体" w:hAnsi="宋体"/>
          <w:b/>
          <w:bCs/>
          <w:color w:val="auto"/>
          <w:sz w:val="24"/>
          <w:highlight w:val="none"/>
        </w:rPr>
        <w:t>附件四 响应文件技术部分模板</w:t>
      </w:r>
      <w:bookmarkEnd w:id="224"/>
      <w:bookmarkEnd w:id="225"/>
      <w:bookmarkEnd w:id="226"/>
      <w:bookmarkEnd w:id="227"/>
      <w:bookmarkEnd w:id="228"/>
      <w:bookmarkEnd w:id="229"/>
      <w:bookmarkEnd w:id="230"/>
      <w:bookmarkEnd w:id="231"/>
      <w:bookmarkEnd w:id="232"/>
      <w:bookmarkEnd w:id="233"/>
    </w:p>
    <w:p>
      <w:pPr>
        <w:keepNext/>
        <w:keepLines/>
        <w:spacing w:before="100" w:after="100"/>
        <w:jc w:val="center"/>
        <w:rPr>
          <w:rFonts w:ascii="宋体" w:hAnsi="宋体"/>
          <w:b/>
          <w:bCs/>
          <w:color w:val="auto"/>
          <w:spacing w:val="-20"/>
          <w:kern w:val="44"/>
          <w:sz w:val="40"/>
          <w:szCs w:val="40"/>
          <w:highlight w:val="none"/>
        </w:rPr>
      </w:pPr>
    </w:p>
    <w:p>
      <w:pPr>
        <w:keepNext/>
        <w:keepLines/>
        <w:spacing w:before="100" w:after="100"/>
        <w:jc w:val="center"/>
        <w:rPr>
          <w:rFonts w:ascii="宋体" w:hAnsi="宋体"/>
          <w:b/>
          <w:bCs/>
          <w:color w:val="auto"/>
          <w:spacing w:val="-20"/>
          <w:kern w:val="44"/>
          <w:sz w:val="40"/>
          <w:szCs w:val="40"/>
          <w:highlight w:val="none"/>
        </w:rPr>
      </w:pPr>
    </w:p>
    <w:p>
      <w:pPr>
        <w:keepNext/>
        <w:keepLines/>
        <w:spacing w:before="100" w:after="100"/>
        <w:jc w:val="center"/>
        <w:rPr>
          <w:rFonts w:ascii="宋体" w:hAnsi="宋体"/>
          <w:b/>
          <w:bCs/>
          <w:color w:val="auto"/>
          <w:spacing w:val="-20"/>
          <w:kern w:val="44"/>
          <w:sz w:val="52"/>
          <w:szCs w:val="52"/>
          <w:highlight w:val="none"/>
        </w:rPr>
      </w:pPr>
      <w:r>
        <w:rPr>
          <w:rFonts w:hint="eastAsia" w:ascii="宋体" w:hAnsi="宋体"/>
          <w:b/>
          <w:bCs/>
          <w:color w:val="auto"/>
          <w:spacing w:val="-20"/>
          <w:kern w:val="44"/>
          <w:sz w:val="52"/>
          <w:szCs w:val="52"/>
          <w:highlight w:val="none"/>
          <w:u w:val="single"/>
        </w:rPr>
        <w:t>2022年工信部数据字典项目TC220807A电力设备数据字典测试床的算法训练和测试设备</w:t>
      </w:r>
      <w:r>
        <w:rPr>
          <w:rFonts w:hint="eastAsia" w:ascii="宋体" w:hAnsi="宋体"/>
          <w:b/>
          <w:bCs/>
          <w:color w:val="auto"/>
          <w:spacing w:val="-20"/>
          <w:kern w:val="44"/>
          <w:sz w:val="52"/>
          <w:szCs w:val="52"/>
          <w:highlight w:val="none"/>
        </w:rPr>
        <w:t>采购</w:t>
      </w:r>
    </w:p>
    <w:p>
      <w:pPr>
        <w:keepNext/>
        <w:keepLines/>
        <w:spacing w:before="100" w:after="100"/>
        <w:jc w:val="center"/>
        <w:rPr>
          <w:rFonts w:ascii="宋体" w:hAnsi="宋体"/>
          <w:b/>
          <w:bCs/>
          <w:color w:val="auto"/>
          <w:kern w:val="44"/>
          <w:sz w:val="52"/>
          <w:szCs w:val="52"/>
          <w:highlight w:val="none"/>
        </w:rPr>
      </w:pPr>
      <w:r>
        <w:rPr>
          <w:rFonts w:hint="eastAsia" w:ascii="宋体" w:hAnsi="宋体"/>
          <w:b/>
          <w:bCs/>
          <w:color w:val="auto"/>
          <w:kern w:val="44"/>
          <w:sz w:val="52"/>
          <w:szCs w:val="52"/>
          <w:highlight w:val="none"/>
        </w:rPr>
        <w:t>响应文件</w:t>
      </w:r>
    </w:p>
    <w:p>
      <w:pPr>
        <w:keepNext/>
        <w:keepLines/>
        <w:spacing w:before="100" w:after="100"/>
        <w:jc w:val="center"/>
        <w:rPr>
          <w:rFonts w:ascii="宋体" w:hAnsi="宋体"/>
          <w:b/>
          <w:bCs/>
          <w:color w:val="auto"/>
          <w:kern w:val="44"/>
          <w:sz w:val="52"/>
          <w:szCs w:val="52"/>
          <w:highlight w:val="none"/>
        </w:rPr>
      </w:pPr>
      <w:r>
        <w:rPr>
          <w:rFonts w:hint="eastAsia" w:ascii="宋体" w:hAnsi="宋体"/>
          <w:b/>
          <w:bCs/>
          <w:color w:val="auto"/>
          <w:kern w:val="44"/>
          <w:sz w:val="52"/>
          <w:szCs w:val="52"/>
          <w:highlight w:val="none"/>
        </w:rPr>
        <w:t>（技术部分）</w:t>
      </w:r>
    </w:p>
    <w:p>
      <w:pPr>
        <w:jc w:val="center"/>
        <w:rPr>
          <w:rFonts w:ascii="宋体" w:hAnsi="宋体"/>
          <w:color w:val="auto"/>
          <w:sz w:val="28"/>
          <w:szCs w:val="28"/>
          <w:highlight w:val="none"/>
        </w:rPr>
      </w:pPr>
      <w:r>
        <w:rPr>
          <w:rFonts w:hint="eastAsia" w:ascii="宋体" w:hAnsi="宋体"/>
          <w:color w:val="auto"/>
          <w:sz w:val="28"/>
          <w:szCs w:val="28"/>
          <w:highlight w:val="none"/>
        </w:rPr>
        <w:t>询价单编号：</w:t>
      </w:r>
    </w:p>
    <w:p>
      <w:pPr>
        <w:jc w:val="center"/>
        <w:rPr>
          <w:rFonts w:ascii="宋体" w:hAnsi="宋体"/>
          <w:color w:val="auto"/>
          <w:sz w:val="28"/>
          <w:szCs w:val="28"/>
          <w:highlight w:val="none"/>
        </w:rPr>
      </w:pPr>
    </w:p>
    <w:p>
      <w:pPr>
        <w:jc w:val="center"/>
        <w:rPr>
          <w:rFonts w:ascii="宋体" w:hAnsi="宋体"/>
          <w:color w:val="auto"/>
          <w:sz w:val="28"/>
          <w:szCs w:val="28"/>
          <w:highlight w:val="none"/>
        </w:rPr>
      </w:pPr>
    </w:p>
    <w:p>
      <w:pPr>
        <w:jc w:val="center"/>
        <w:rPr>
          <w:rFonts w:ascii="宋体" w:hAnsi="宋体"/>
          <w:color w:val="auto"/>
          <w:sz w:val="28"/>
          <w:szCs w:val="28"/>
          <w:highlight w:val="none"/>
        </w:rPr>
      </w:pPr>
    </w:p>
    <w:p>
      <w:pPr>
        <w:jc w:val="center"/>
        <w:rPr>
          <w:rFonts w:ascii="宋体" w:hAnsi="宋体"/>
          <w:color w:val="auto"/>
          <w:sz w:val="28"/>
          <w:szCs w:val="28"/>
          <w:highlight w:val="none"/>
        </w:rPr>
      </w:pPr>
    </w:p>
    <w:p>
      <w:pPr>
        <w:jc w:val="center"/>
        <w:rPr>
          <w:rFonts w:ascii="宋体" w:hAnsi="宋体"/>
          <w:color w:val="auto"/>
          <w:sz w:val="28"/>
          <w:szCs w:val="28"/>
          <w:highlight w:val="none"/>
        </w:rPr>
      </w:pPr>
    </w:p>
    <w:p>
      <w:pPr>
        <w:jc w:val="center"/>
        <w:rPr>
          <w:rFonts w:ascii="宋体" w:hAnsi="宋体"/>
          <w:color w:val="auto"/>
          <w:sz w:val="28"/>
          <w:szCs w:val="28"/>
          <w:highlight w:val="none"/>
        </w:rPr>
      </w:pPr>
    </w:p>
    <w:p>
      <w:pPr>
        <w:jc w:val="center"/>
        <w:rPr>
          <w:rFonts w:ascii="宋体" w:hAnsi="宋体"/>
          <w:color w:val="auto"/>
          <w:sz w:val="28"/>
          <w:szCs w:val="28"/>
          <w:highlight w:val="none"/>
        </w:rPr>
      </w:pPr>
      <w:r>
        <w:rPr>
          <w:rFonts w:hint="eastAsia" w:ascii="宋体" w:hAnsi="宋体"/>
          <w:color w:val="auto"/>
          <w:sz w:val="28"/>
          <w:szCs w:val="28"/>
          <w:highlight w:val="none"/>
        </w:rPr>
        <w:t>报价人：XXXX有限公司（盖章）</w:t>
      </w:r>
    </w:p>
    <w:p>
      <w:pPr>
        <w:jc w:val="center"/>
        <w:rPr>
          <w:rFonts w:ascii="宋体" w:hAnsi="宋体"/>
          <w:color w:val="auto"/>
          <w:sz w:val="28"/>
          <w:szCs w:val="28"/>
          <w:highlight w:val="none"/>
        </w:rPr>
      </w:pPr>
      <w:r>
        <w:rPr>
          <w:rFonts w:hint="eastAsia" w:ascii="宋体" w:hAnsi="宋体"/>
          <w:color w:val="auto"/>
          <w:sz w:val="28"/>
          <w:szCs w:val="28"/>
          <w:highlight w:val="none"/>
        </w:rPr>
        <w:t>法定代表人或其委托代理人：      （签字或盖章）</w:t>
      </w:r>
    </w:p>
    <w:p>
      <w:pPr>
        <w:jc w:val="center"/>
        <w:rPr>
          <w:rFonts w:ascii="宋体" w:hAnsi="宋体"/>
          <w:color w:val="auto"/>
          <w:sz w:val="28"/>
          <w:szCs w:val="28"/>
          <w:highlight w:val="none"/>
        </w:rPr>
      </w:pPr>
      <w:r>
        <w:rPr>
          <w:rFonts w:ascii="宋体" w:hAnsi="宋体"/>
          <w:color w:val="auto"/>
          <w:sz w:val="28"/>
          <w:szCs w:val="28"/>
          <w:highlight w:val="none"/>
        </w:rPr>
        <w:t xml:space="preserve"> </w:t>
      </w:r>
      <w:r>
        <w:rPr>
          <w:rFonts w:hint="eastAsia" w:ascii="宋体" w:hAnsi="宋体"/>
          <w:color w:val="auto"/>
          <w:sz w:val="28"/>
          <w:szCs w:val="28"/>
          <w:highlight w:val="none"/>
        </w:rPr>
        <w:t xml:space="preserve"> 年 </w:t>
      </w:r>
      <w:r>
        <w:rPr>
          <w:rFonts w:ascii="宋体" w:hAnsi="宋体"/>
          <w:color w:val="auto"/>
          <w:sz w:val="28"/>
          <w:szCs w:val="28"/>
          <w:highlight w:val="none"/>
        </w:rPr>
        <w:t xml:space="preserve"> </w:t>
      </w:r>
      <w:r>
        <w:rPr>
          <w:rFonts w:hint="eastAsia" w:ascii="宋体" w:hAnsi="宋体"/>
          <w:color w:val="auto"/>
          <w:sz w:val="28"/>
          <w:szCs w:val="28"/>
          <w:highlight w:val="none"/>
        </w:rPr>
        <w:t xml:space="preserve"> 月 </w:t>
      </w:r>
      <w:r>
        <w:rPr>
          <w:rFonts w:ascii="宋体" w:hAnsi="宋体"/>
          <w:color w:val="auto"/>
          <w:sz w:val="28"/>
          <w:szCs w:val="28"/>
          <w:highlight w:val="none"/>
        </w:rPr>
        <w:t xml:space="preserve"> </w:t>
      </w:r>
      <w:r>
        <w:rPr>
          <w:rFonts w:hint="eastAsia" w:ascii="宋体" w:hAnsi="宋体"/>
          <w:color w:val="auto"/>
          <w:sz w:val="28"/>
          <w:szCs w:val="28"/>
          <w:highlight w:val="none"/>
        </w:rPr>
        <w:t>日</w:t>
      </w:r>
    </w:p>
    <w:p>
      <w:pPr>
        <w:pStyle w:val="33"/>
        <w:rPr>
          <w:color w:val="auto"/>
          <w:highlight w:val="none"/>
        </w:rPr>
      </w:pPr>
    </w:p>
    <w:p>
      <w:pPr>
        <w:widowControl/>
        <w:jc w:val="left"/>
        <w:rPr>
          <w:rFonts w:ascii="宋体" w:cs="宋体"/>
          <w:color w:val="auto"/>
          <w:kern w:val="0"/>
          <w:sz w:val="24"/>
          <w:highlight w:val="none"/>
        </w:rPr>
      </w:pPr>
      <w:r>
        <w:rPr>
          <w:color w:val="auto"/>
          <w:highlight w:val="none"/>
        </w:rPr>
        <w:br w:type="page"/>
      </w:r>
    </w:p>
    <w:p>
      <w:pPr>
        <w:pStyle w:val="34"/>
        <w:ind w:firstLine="0" w:firstLineChars="0"/>
        <w:jc w:val="left"/>
        <w:outlineLvl w:val="1"/>
        <w:rPr>
          <w:rFonts w:cs="Times New Roman" w:asciiTheme="minorEastAsia" w:hAnsiTheme="minorEastAsia" w:eastAsiaTheme="minorEastAsia"/>
          <w:b/>
          <w:bCs/>
          <w:color w:val="auto"/>
          <w:kern w:val="44"/>
          <w:sz w:val="28"/>
          <w:szCs w:val="28"/>
          <w:highlight w:val="none"/>
        </w:rPr>
      </w:pPr>
      <w:bookmarkStart w:id="234" w:name="_Toc133413413"/>
      <w:bookmarkStart w:id="235" w:name="_Hlk133418074"/>
      <w:r>
        <w:rPr>
          <w:rFonts w:hint="eastAsia" w:cs="Times New Roman" w:asciiTheme="minorEastAsia" w:hAnsiTheme="minorEastAsia" w:eastAsiaTheme="minorEastAsia"/>
          <w:b/>
          <w:bCs/>
          <w:color w:val="auto"/>
          <w:kern w:val="44"/>
          <w:sz w:val="28"/>
          <w:szCs w:val="28"/>
          <w:highlight w:val="none"/>
        </w:rPr>
        <w:t>1、技术响应文件</w:t>
      </w:r>
      <w:bookmarkEnd w:id="234"/>
    </w:p>
    <w:p>
      <w:pPr>
        <w:spacing w:line="360" w:lineRule="auto"/>
        <w:rPr>
          <w:rFonts w:ascii="宋体" w:hAnsi="宋体"/>
          <w:color w:val="auto"/>
          <w:szCs w:val="21"/>
          <w:highlight w:val="none"/>
        </w:rPr>
      </w:pPr>
      <w:r>
        <w:rPr>
          <w:rFonts w:ascii="宋体" w:hAnsi="宋体"/>
          <w:color w:val="auto"/>
          <w:szCs w:val="21"/>
          <w:highlight w:val="none"/>
        </w:rPr>
        <w:t>请</w:t>
      </w:r>
      <w:r>
        <w:rPr>
          <w:rFonts w:hint="eastAsia" w:ascii="宋体" w:hAnsi="宋体"/>
          <w:color w:val="auto"/>
          <w:szCs w:val="21"/>
          <w:highlight w:val="none"/>
        </w:rPr>
        <w:t>报价</w:t>
      </w:r>
      <w:r>
        <w:rPr>
          <w:rFonts w:ascii="宋体" w:hAnsi="宋体"/>
          <w:color w:val="auto"/>
          <w:szCs w:val="21"/>
          <w:highlight w:val="none"/>
        </w:rPr>
        <w:t>人对</w:t>
      </w:r>
      <w:r>
        <w:rPr>
          <w:rFonts w:hint="eastAsia" w:ascii="宋体" w:hAnsi="宋体"/>
          <w:color w:val="auto"/>
          <w:szCs w:val="21"/>
          <w:highlight w:val="none"/>
        </w:rPr>
        <w:t>附件一</w:t>
      </w:r>
      <w:r>
        <w:rPr>
          <w:rFonts w:ascii="宋体" w:hAnsi="宋体"/>
          <w:color w:val="auto"/>
          <w:szCs w:val="21"/>
          <w:highlight w:val="none"/>
        </w:rPr>
        <w:t>“</w:t>
      </w:r>
      <w:r>
        <w:rPr>
          <w:rFonts w:hint="eastAsia" w:ascii="宋体" w:hAnsi="宋体"/>
          <w:color w:val="auto"/>
          <w:szCs w:val="21"/>
          <w:highlight w:val="none"/>
        </w:rPr>
        <w:t>技术规范书</w:t>
      </w:r>
      <w:r>
        <w:rPr>
          <w:rFonts w:ascii="宋体" w:hAnsi="宋体"/>
          <w:color w:val="auto"/>
          <w:szCs w:val="21"/>
          <w:highlight w:val="none"/>
        </w:rPr>
        <w:t>”的有关要求进行响应和完善。</w:t>
      </w:r>
    </w:p>
    <w:p>
      <w:pPr>
        <w:pStyle w:val="10"/>
        <w:rPr>
          <w:color w:val="auto"/>
          <w:highlight w:val="none"/>
        </w:rPr>
      </w:pPr>
    </w:p>
    <w:p>
      <w:pPr>
        <w:pStyle w:val="34"/>
        <w:ind w:firstLine="0" w:firstLineChars="0"/>
        <w:jc w:val="left"/>
        <w:outlineLvl w:val="1"/>
        <w:rPr>
          <w:rFonts w:cs="Times New Roman" w:asciiTheme="minorEastAsia" w:hAnsiTheme="minorEastAsia" w:eastAsiaTheme="minorEastAsia"/>
          <w:b/>
          <w:bCs/>
          <w:color w:val="auto"/>
          <w:kern w:val="44"/>
          <w:sz w:val="28"/>
          <w:szCs w:val="28"/>
          <w:highlight w:val="none"/>
        </w:rPr>
      </w:pPr>
      <w:bookmarkStart w:id="236" w:name="_Toc133413414"/>
      <w:r>
        <w:rPr>
          <w:rFonts w:hint="eastAsia" w:cs="Times New Roman" w:asciiTheme="minorEastAsia" w:hAnsiTheme="minorEastAsia" w:eastAsiaTheme="minorEastAsia"/>
          <w:b/>
          <w:bCs/>
          <w:color w:val="auto"/>
          <w:kern w:val="44"/>
          <w:sz w:val="28"/>
          <w:szCs w:val="28"/>
          <w:highlight w:val="none"/>
        </w:rPr>
        <w:t>2、技术性能指标的详细描述（如有）</w:t>
      </w:r>
      <w:bookmarkEnd w:id="236"/>
    </w:p>
    <w:p>
      <w:pPr>
        <w:rPr>
          <w:color w:val="auto"/>
          <w:highlight w:val="none"/>
        </w:rPr>
      </w:pPr>
    </w:p>
    <w:p>
      <w:pPr>
        <w:pStyle w:val="34"/>
        <w:ind w:firstLine="0" w:firstLineChars="0"/>
        <w:jc w:val="left"/>
        <w:outlineLvl w:val="1"/>
        <w:rPr>
          <w:rFonts w:cs="Times New Roman" w:asciiTheme="minorEastAsia" w:hAnsiTheme="minorEastAsia" w:eastAsiaTheme="minorEastAsia"/>
          <w:b/>
          <w:bCs/>
          <w:color w:val="auto"/>
          <w:kern w:val="44"/>
          <w:sz w:val="28"/>
          <w:szCs w:val="28"/>
          <w:highlight w:val="none"/>
        </w:rPr>
      </w:pPr>
      <w:bookmarkStart w:id="237" w:name="_Toc133413415"/>
      <w:r>
        <w:rPr>
          <w:rFonts w:hint="eastAsia" w:cs="Times New Roman" w:asciiTheme="minorEastAsia" w:hAnsiTheme="minorEastAsia" w:eastAsiaTheme="minorEastAsia"/>
          <w:b/>
          <w:bCs/>
          <w:color w:val="auto"/>
          <w:kern w:val="44"/>
          <w:sz w:val="28"/>
          <w:szCs w:val="28"/>
          <w:highlight w:val="none"/>
        </w:rPr>
        <w:t>3、技术支持资料（如有）</w:t>
      </w:r>
      <w:bookmarkEnd w:id="237"/>
    </w:p>
    <w:p>
      <w:pPr>
        <w:rPr>
          <w:color w:val="auto"/>
          <w:highlight w:val="none"/>
        </w:rPr>
      </w:pPr>
    </w:p>
    <w:p>
      <w:pPr>
        <w:pStyle w:val="34"/>
        <w:ind w:firstLine="0" w:firstLineChars="0"/>
        <w:jc w:val="left"/>
        <w:outlineLvl w:val="1"/>
        <w:rPr>
          <w:rFonts w:cs="Times New Roman" w:asciiTheme="minorEastAsia" w:hAnsiTheme="minorEastAsia" w:eastAsiaTheme="minorEastAsia"/>
          <w:b/>
          <w:bCs/>
          <w:color w:val="auto"/>
          <w:kern w:val="44"/>
          <w:sz w:val="28"/>
          <w:szCs w:val="28"/>
          <w:highlight w:val="none"/>
        </w:rPr>
      </w:pPr>
      <w:bookmarkStart w:id="238" w:name="_Toc53407832"/>
      <w:bookmarkStart w:id="239" w:name="_Toc6561285"/>
      <w:bookmarkStart w:id="240" w:name="_Toc133413416"/>
      <w:r>
        <w:rPr>
          <w:rFonts w:hint="eastAsia" w:cs="Times New Roman" w:asciiTheme="minorEastAsia" w:hAnsiTheme="minorEastAsia" w:eastAsiaTheme="minorEastAsia"/>
          <w:b/>
          <w:bCs/>
          <w:color w:val="auto"/>
          <w:kern w:val="44"/>
          <w:sz w:val="28"/>
          <w:szCs w:val="28"/>
          <w:highlight w:val="none"/>
        </w:rPr>
        <w:t>4、技术服务和质保期服务计划</w:t>
      </w:r>
      <w:bookmarkEnd w:id="238"/>
      <w:bookmarkEnd w:id="239"/>
      <w:r>
        <w:rPr>
          <w:rFonts w:hint="eastAsia" w:cs="Times New Roman" w:asciiTheme="minorEastAsia" w:hAnsiTheme="minorEastAsia" w:eastAsiaTheme="minorEastAsia"/>
          <w:b/>
          <w:bCs/>
          <w:color w:val="auto"/>
          <w:kern w:val="44"/>
          <w:sz w:val="28"/>
          <w:szCs w:val="28"/>
          <w:highlight w:val="none"/>
        </w:rPr>
        <w:t>（如有）</w:t>
      </w:r>
      <w:bookmarkEnd w:id="240"/>
    </w:p>
    <w:p>
      <w:pPr>
        <w:spacing w:line="360" w:lineRule="auto"/>
        <w:rPr>
          <w:rFonts w:ascii="宋体" w:hAnsi="宋体"/>
          <w:color w:val="auto"/>
          <w:szCs w:val="21"/>
          <w:highlight w:val="none"/>
        </w:rPr>
      </w:pPr>
      <w:r>
        <w:rPr>
          <w:rFonts w:ascii="宋体" w:hAnsi="宋体"/>
          <w:color w:val="auto"/>
          <w:szCs w:val="21"/>
          <w:highlight w:val="none"/>
        </w:rPr>
        <w:t>请</w:t>
      </w:r>
      <w:r>
        <w:rPr>
          <w:rFonts w:hint="eastAsia" w:ascii="宋体" w:hAnsi="宋体"/>
          <w:color w:val="auto"/>
          <w:szCs w:val="21"/>
          <w:highlight w:val="none"/>
        </w:rPr>
        <w:t>报价</w:t>
      </w:r>
      <w:r>
        <w:rPr>
          <w:rFonts w:ascii="宋体" w:hAnsi="宋体"/>
          <w:color w:val="auto"/>
          <w:szCs w:val="21"/>
          <w:highlight w:val="none"/>
        </w:rPr>
        <w:t>人对</w:t>
      </w:r>
      <w:r>
        <w:rPr>
          <w:rFonts w:hint="eastAsia" w:ascii="宋体" w:hAnsi="宋体"/>
          <w:color w:val="auto"/>
          <w:szCs w:val="21"/>
          <w:highlight w:val="none"/>
        </w:rPr>
        <w:t>附件一</w:t>
      </w:r>
      <w:r>
        <w:rPr>
          <w:rFonts w:ascii="宋体" w:hAnsi="宋体"/>
          <w:color w:val="auto"/>
          <w:szCs w:val="21"/>
          <w:highlight w:val="none"/>
        </w:rPr>
        <w:t>“</w:t>
      </w:r>
      <w:r>
        <w:rPr>
          <w:rFonts w:hint="eastAsia" w:ascii="宋体" w:hAnsi="宋体"/>
          <w:color w:val="auto"/>
          <w:szCs w:val="21"/>
          <w:highlight w:val="none"/>
        </w:rPr>
        <w:t>技术规范书</w:t>
      </w:r>
      <w:r>
        <w:rPr>
          <w:rFonts w:ascii="宋体" w:hAnsi="宋体"/>
          <w:color w:val="auto"/>
          <w:szCs w:val="21"/>
          <w:highlight w:val="none"/>
        </w:rPr>
        <w:t>”的有关要求进行响应和完善。</w:t>
      </w:r>
    </w:p>
    <w:p>
      <w:pPr>
        <w:rPr>
          <w:color w:val="auto"/>
          <w:highlight w:val="none"/>
        </w:rPr>
      </w:pPr>
    </w:p>
    <w:p>
      <w:pPr>
        <w:pStyle w:val="34"/>
        <w:ind w:firstLine="0" w:firstLineChars="0"/>
        <w:jc w:val="left"/>
        <w:outlineLvl w:val="1"/>
        <w:rPr>
          <w:rFonts w:cs="Times New Roman" w:asciiTheme="minorEastAsia" w:hAnsiTheme="minorEastAsia" w:eastAsiaTheme="minorEastAsia"/>
          <w:b/>
          <w:bCs/>
          <w:color w:val="auto"/>
          <w:kern w:val="44"/>
          <w:sz w:val="28"/>
          <w:szCs w:val="28"/>
          <w:highlight w:val="none"/>
        </w:rPr>
      </w:pPr>
      <w:bookmarkStart w:id="241" w:name="_Toc133413417"/>
      <w:r>
        <w:rPr>
          <w:rFonts w:hint="eastAsia" w:cs="Times New Roman" w:asciiTheme="minorEastAsia" w:hAnsiTheme="minorEastAsia" w:eastAsiaTheme="minorEastAsia"/>
          <w:b/>
          <w:bCs/>
          <w:color w:val="auto"/>
          <w:kern w:val="44"/>
          <w:sz w:val="28"/>
          <w:szCs w:val="28"/>
          <w:highlight w:val="none"/>
        </w:rPr>
        <w:t>5、产品或服务授权文件</w:t>
      </w:r>
      <w:bookmarkEnd w:id="241"/>
    </w:p>
    <w:p>
      <w:pPr>
        <w:spacing w:line="360" w:lineRule="auto"/>
        <w:rPr>
          <w:rFonts w:ascii="宋体" w:hAnsi="宋体"/>
          <w:color w:val="auto"/>
          <w:szCs w:val="21"/>
          <w:highlight w:val="none"/>
        </w:rPr>
      </w:pPr>
      <w:r>
        <w:rPr>
          <w:rFonts w:ascii="宋体" w:hAnsi="宋体"/>
          <w:color w:val="auto"/>
          <w:szCs w:val="21"/>
          <w:highlight w:val="none"/>
        </w:rPr>
        <w:t>请</w:t>
      </w:r>
      <w:r>
        <w:rPr>
          <w:rFonts w:hint="eastAsia" w:ascii="宋体" w:hAnsi="宋体"/>
          <w:color w:val="auto"/>
          <w:szCs w:val="21"/>
          <w:highlight w:val="none"/>
        </w:rPr>
        <w:t>报价</w:t>
      </w:r>
      <w:r>
        <w:rPr>
          <w:rFonts w:ascii="宋体" w:hAnsi="宋体"/>
          <w:color w:val="auto"/>
          <w:szCs w:val="21"/>
          <w:highlight w:val="none"/>
        </w:rPr>
        <w:t>人对</w:t>
      </w:r>
      <w:r>
        <w:rPr>
          <w:rFonts w:hint="eastAsia" w:ascii="宋体" w:hAnsi="宋体"/>
          <w:color w:val="auto"/>
          <w:szCs w:val="21"/>
          <w:highlight w:val="none"/>
        </w:rPr>
        <w:t>附件一</w:t>
      </w:r>
      <w:r>
        <w:rPr>
          <w:rFonts w:ascii="宋体" w:hAnsi="宋体"/>
          <w:color w:val="auto"/>
          <w:szCs w:val="21"/>
          <w:highlight w:val="none"/>
        </w:rPr>
        <w:t>“</w:t>
      </w:r>
      <w:r>
        <w:rPr>
          <w:rFonts w:hint="eastAsia" w:ascii="宋体" w:hAnsi="宋体"/>
          <w:color w:val="auto"/>
          <w:szCs w:val="21"/>
          <w:highlight w:val="none"/>
        </w:rPr>
        <w:t>技术规范书</w:t>
      </w:r>
      <w:r>
        <w:rPr>
          <w:rFonts w:ascii="宋体" w:hAnsi="宋体"/>
          <w:color w:val="auto"/>
          <w:szCs w:val="21"/>
          <w:highlight w:val="none"/>
        </w:rPr>
        <w:t>”的有关要求进行响应和完善。</w:t>
      </w:r>
    </w:p>
    <w:p>
      <w:pPr>
        <w:rPr>
          <w:color w:val="auto"/>
          <w:highlight w:val="none"/>
        </w:rPr>
      </w:pPr>
    </w:p>
    <w:p>
      <w:pPr>
        <w:pStyle w:val="34"/>
        <w:ind w:firstLine="0" w:firstLineChars="0"/>
        <w:jc w:val="left"/>
        <w:outlineLvl w:val="1"/>
        <w:rPr>
          <w:rFonts w:cs="Times New Roman" w:asciiTheme="minorEastAsia" w:hAnsiTheme="minorEastAsia" w:eastAsiaTheme="minorEastAsia"/>
          <w:b/>
          <w:bCs/>
          <w:color w:val="auto"/>
          <w:kern w:val="44"/>
          <w:sz w:val="28"/>
          <w:szCs w:val="28"/>
          <w:highlight w:val="none"/>
        </w:rPr>
      </w:pPr>
      <w:bookmarkStart w:id="242" w:name="_Toc53407833"/>
      <w:bookmarkStart w:id="243" w:name="_Toc133413418"/>
      <w:bookmarkStart w:id="244" w:name="_Toc6561286"/>
      <w:r>
        <w:rPr>
          <w:rFonts w:hint="eastAsia" w:cs="Times New Roman" w:asciiTheme="minorEastAsia" w:hAnsiTheme="minorEastAsia" w:eastAsiaTheme="minorEastAsia"/>
          <w:b/>
          <w:bCs/>
          <w:color w:val="auto"/>
          <w:kern w:val="44"/>
          <w:sz w:val="28"/>
          <w:szCs w:val="28"/>
          <w:highlight w:val="none"/>
        </w:rPr>
        <w:t>6、其他资料</w:t>
      </w:r>
      <w:bookmarkEnd w:id="242"/>
      <w:bookmarkEnd w:id="243"/>
      <w:bookmarkEnd w:id="244"/>
    </w:p>
    <w:p>
      <w:pPr>
        <w:pStyle w:val="65"/>
        <w:ind w:firstLine="480"/>
        <w:rPr>
          <w:rFonts w:asciiTheme="minorEastAsia" w:hAnsiTheme="minorEastAsia" w:eastAsiaTheme="minorEastAsia"/>
          <w:color w:val="auto"/>
          <w:highlight w:val="none"/>
        </w:rPr>
      </w:pPr>
      <w:r>
        <w:rPr>
          <w:rFonts w:asciiTheme="minorEastAsia" w:hAnsiTheme="minorEastAsia" w:eastAsiaTheme="minorEastAsia"/>
          <w:color w:val="auto"/>
          <w:highlight w:val="none"/>
        </w:rPr>
        <w:t>6.1</w:t>
      </w:r>
      <w:r>
        <w:rPr>
          <w:rFonts w:hint="eastAsia" w:asciiTheme="minorEastAsia" w:hAnsiTheme="minorEastAsia" w:eastAsiaTheme="minorEastAsia"/>
          <w:color w:val="auto"/>
          <w:highlight w:val="none"/>
        </w:rPr>
        <w:t>技术支持方或技术合作方资质（如果有）</w:t>
      </w:r>
    </w:p>
    <w:p>
      <w:pPr>
        <w:pStyle w:val="65"/>
        <w:ind w:firstLine="480"/>
        <w:rPr>
          <w:rFonts w:asciiTheme="minorEastAsia" w:hAnsiTheme="minorEastAsia" w:eastAsiaTheme="minorEastAsia"/>
          <w:color w:val="auto"/>
          <w:highlight w:val="none"/>
        </w:rPr>
      </w:pPr>
      <w:r>
        <w:rPr>
          <w:rFonts w:asciiTheme="minorEastAsia" w:hAnsiTheme="minorEastAsia" w:eastAsiaTheme="minorEastAsia"/>
          <w:color w:val="auto"/>
          <w:highlight w:val="none"/>
        </w:rPr>
        <w:t>6.2</w:t>
      </w:r>
      <w:r>
        <w:rPr>
          <w:rFonts w:hint="eastAsia" w:asciiTheme="minorEastAsia" w:hAnsiTheme="minorEastAsia" w:eastAsiaTheme="minorEastAsia"/>
          <w:color w:val="auto"/>
          <w:highlight w:val="none"/>
        </w:rPr>
        <w:t>技术支持方或技术合作方协议（如果有）</w:t>
      </w:r>
    </w:p>
    <w:p>
      <w:pPr>
        <w:pStyle w:val="65"/>
        <w:ind w:firstLine="480"/>
        <w:rPr>
          <w:rFonts w:asciiTheme="minorEastAsia" w:hAnsiTheme="minorEastAsia" w:eastAsiaTheme="minorEastAsia"/>
          <w:color w:val="auto"/>
          <w:highlight w:val="none"/>
        </w:rPr>
      </w:pPr>
      <w:r>
        <w:rPr>
          <w:rFonts w:asciiTheme="minorEastAsia" w:hAnsiTheme="minorEastAsia" w:eastAsiaTheme="minorEastAsia"/>
          <w:color w:val="auto"/>
          <w:highlight w:val="none"/>
        </w:rPr>
        <w:t>6.3</w:t>
      </w:r>
      <w:r>
        <w:rPr>
          <w:rFonts w:hint="eastAsia" w:asciiTheme="minorEastAsia" w:hAnsiTheme="minorEastAsia" w:eastAsiaTheme="minorEastAsia"/>
          <w:color w:val="auto"/>
          <w:highlight w:val="none"/>
        </w:rPr>
        <w:t>关于减免税工作分工（如果有）</w:t>
      </w:r>
    </w:p>
    <w:p>
      <w:pPr>
        <w:pStyle w:val="65"/>
        <w:ind w:firstLine="480"/>
        <w:rPr>
          <w:rFonts w:asciiTheme="minorEastAsia" w:hAnsiTheme="minorEastAsia" w:eastAsiaTheme="minorEastAsia"/>
          <w:color w:val="auto"/>
          <w:highlight w:val="none"/>
        </w:rPr>
      </w:pPr>
      <w:r>
        <w:rPr>
          <w:rFonts w:asciiTheme="minorEastAsia" w:hAnsiTheme="minorEastAsia" w:eastAsiaTheme="minorEastAsia"/>
          <w:color w:val="auto"/>
          <w:highlight w:val="none"/>
        </w:rPr>
        <w:t>6.4</w:t>
      </w:r>
      <w:r>
        <w:rPr>
          <w:rFonts w:hint="eastAsia" w:asciiTheme="minorEastAsia" w:hAnsiTheme="minorEastAsia" w:eastAsiaTheme="minorEastAsia"/>
          <w:color w:val="auto"/>
          <w:highlight w:val="none"/>
        </w:rPr>
        <w:t>报价人需要说明的其他问题</w:t>
      </w:r>
      <w:bookmarkEnd w:id="235"/>
    </w:p>
    <w:sectPr>
      <w:pgSz w:w="11906" w:h="16838"/>
      <w:pgMar w:top="1440" w:right="1588" w:bottom="1440" w:left="1588"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Roman PS">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宋体-18030">
    <w:altName w:val="微软雅黑"/>
    <w:panose1 w:val="00000000000000000000"/>
    <w:charset w:val="86"/>
    <w:family w:val="modern"/>
    <w:pitch w:val="default"/>
    <w:sig w:usb0="00000000" w:usb1="00000000" w:usb2="0000001E" w:usb3="00000000" w:csb0="003C0041" w:csb1="00000000"/>
  </w:font>
  <w:font w:name="微软雅黑">
    <w:panose1 w:val="020B0503020204020204"/>
    <w:charset w:val="86"/>
    <w:family w:val="auto"/>
    <w:pitch w:val="default"/>
    <w:sig w:usb0="80000287" w:usb1="2ACF3C50"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jc w:val="center"/>
                          </w:pPr>
                          <w:r>
                            <w:fldChar w:fldCharType="begin"/>
                          </w:r>
                          <w:r>
                            <w:rPr>
                              <w:rStyle w:val="30"/>
                            </w:rPr>
                            <w:instrText xml:space="preserve"> PAGE </w:instrText>
                          </w:r>
                          <w:r>
                            <w:fldChar w:fldCharType="separate"/>
                          </w:r>
                          <w:r>
                            <w:rPr>
                              <w:rStyle w:val="30"/>
                            </w:rP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8"/>
                      <w:jc w:val="center"/>
                    </w:pPr>
                    <w:r>
                      <w:fldChar w:fldCharType="begin"/>
                    </w:r>
                    <w:r>
                      <w:rPr>
                        <w:rStyle w:val="30"/>
                      </w:rPr>
                      <w:instrText xml:space="preserve"> PAGE </w:instrText>
                    </w:r>
                    <w:r>
                      <w:fldChar w:fldCharType="separate"/>
                    </w:r>
                    <w:r>
                      <w:rPr>
                        <w:rStyle w:val="30"/>
                      </w:rPr>
                      <w:t>18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jc w:val="center"/>
                          </w:pPr>
                          <w:r>
                            <w:fldChar w:fldCharType="begin"/>
                          </w:r>
                          <w:r>
                            <w:rPr>
                              <w:rStyle w:val="30"/>
                            </w:rPr>
                            <w:instrText xml:space="preserve"> PAGE </w:instrText>
                          </w:r>
                          <w:r>
                            <w:fldChar w:fldCharType="separate"/>
                          </w:r>
                          <w:r>
                            <w:rPr>
                              <w:rStyle w:val="30"/>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8"/>
                      <w:jc w:val="center"/>
                    </w:pPr>
                    <w:r>
                      <w:fldChar w:fldCharType="begin"/>
                    </w:r>
                    <w:r>
                      <w:rPr>
                        <w:rStyle w:val="30"/>
                      </w:rPr>
                      <w:instrText xml:space="preserve"> PAGE </w:instrText>
                    </w:r>
                    <w:r>
                      <w:fldChar w:fldCharType="separate"/>
                    </w:r>
                    <w:r>
                      <w:rPr>
                        <w:rStyle w:val="30"/>
                      </w:rP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819"/>
        <w:tab w:val="right" w:pos="9071"/>
        <w:tab w:val="clear" w:pos="4153"/>
        <w:tab w:val="clear" w:pos="8306"/>
      </w:tabs>
    </w:pPr>
    <w:r>
      <w:pict>
        <v:shape id="文本框 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v:path/>
          <v:fill on="f" focussize="0,0"/>
          <v:stroke on="f" weight="0.5pt" joinstyle="miter"/>
          <v:imagedata o:title=""/>
          <o:lock v:ext="edit"/>
          <v:textbox inset="0mm,0mm,0mm,0mm" style="mso-fit-shape-to-text:t;">
            <w:txbxContent>
              <w:p>
                <w:pPr>
                  <w:pStyle w:val="18"/>
                </w:pPr>
                <w:r>
                  <w:fldChar w:fldCharType="begin"/>
                </w:r>
                <w:r>
                  <w:instrText xml:space="preserve"> PAGE  \* MERGEFORMAT </w:instrText>
                </w:r>
                <w:r>
                  <w:fldChar w:fldCharType="separate"/>
                </w:r>
                <w:r>
                  <w:t>32</w:t>
                </w:r>
                <w:r>
                  <w:fldChar w:fldCharType="end"/>
                </w:r>
              </w:p>
            </w:txbxContent>
          </v:textbox>
        </v:shape>
      </w:pict>
    </w:r>
    <w:r>
      <w:pict>
        <v:shape id="文本框 3" o:spid="_x0000_s1025" o:spt="202" type="#_x0000_t202" style="position:absolute;left:0pt;margin-top:0pt;height:144pt;width:144pt;mso-position-horizontal:center;mso-position-horizontal-relative:margin;mso-wrap-style:none;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v:path/>
          <v:fill on="f" focussize="0,0"/>
          <v:stroke on="f" weight="0.5pt" joinstyle="miter"/>
          <v:imagedata o:title=""/>
          <o:lock v:ext="edit"/>
          <v:textbox inset="0mm,0mm,0mm,0mm" style="mso-fit-shape-to-text:t;">
            <w:txbxContent>
              <w:p>
                <w:pPr>
                  <w:pStyle w:val="18"/>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819"/>
        <w:tab w:val="right" w:pos="9071"/>
        <w:tab w:val="clear" w:pos="4153"/>
        <w:tab w:val="clear" w:pos="8306"/>
      </w:tabs>
      <w:ind w:firstLine="4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ind w:firstLine="4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8"/>
                      <w:ind w:firstLine="420"/>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8"/>
                      <w:ind w:firstLine="420"/>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tabs>
        <w:tab w:val="center" w:pos="4819"/>
        <w:tab w:val="right" w:pos="9071"/>
        <w:tab w:val="clear" w:pos="4153"/>
        <w:tab w:val="clear" w:pos="8306"/>
      </w:tabs>
      <w:jc w:val="both"/>
      <w:rPr>
        <w:rFonts w:ascii="楷体_GB2312" w:eastAsia="楷体_GB2312"/>
        <w:sz w:val="2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18672B"/>
    <w:multiLevelType w:val="singleLevel"/>
    <w:tmpl w:val="EB18672B"/>
    <w:lvl w:ilvl="0" w:tentative="0">
      <w:start w:val="17"/>
      <w:numFmt w:val="chineseCounting"/>
      <w:suff w:val="nothing"/>
      <w:lvlText w:val="第%1条."/>
      <w:lvlJc w:val="left"/>
      <w:rPr>
        <w:rFonts w:hint="eastAsia"/>
      </w:rPr>
    </w:lvl>
  </w:abstractNum>
  <w:abstractNum w:abstractNumId="1">
    <w:nsid w:val="326B7CEA"/>
    <w:multiLevelType w:val="multilevel"/>
    <w:tmpl w:val="326B7CEA"/>
    <w:lvl w:ilvl="0" w:tentative="0">
      <w:start w:val="1"/>
      <w:numFmt w:val="decimal"/>
      <w:suff w:val="space"/>
      <w:lvlText w:val="%1"/>
      <w:lvlJc w:val="left"/>
      <w:pPr>
        <w:ind w:left="0" w:firstLine="0"/>
      </w:pPr>
      <w:rPr>
        <w:rFonts w:hint="eastAsia"/>
      </w:rPr>
    </w:lvl>
    <w:lvl w:ilvl="1" w:tentative="0">
      <w:start w:val="1"/>
      <w:numFmt w:val="decimal"/>
      <w:suff w:val="space"/>
      <w:lvlText w:val="%1.%2"/>
      <w:lvlJc w:val="left"/>
      <w:pPr>
        <w:ind w:left="284" w:firstLine="0"/>
      </w:pPr>
      <w:rPr>
        <w:rFonts w:hint="eastAsia"/>
      </w:rPr>
    </w:lvl>
    <w:lvl w:ilvl="2" w:tentative="0">
      <w:start w:val="1"/>
      <w:numFmt w:val="decimal"/>
      <w:suff w:val="space"/>
      <w:lvlText w:val="%1.%2.%3"/>
      <w:lvlJc w:val="left"/>
      <w:pPr>
        <w:ind w:left="567" w:firstLine="0"/>
      </w:pPr>
      <w:rPr>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
      <w:suff w:val="space"/>
      <w:lvlText w:val="%1.%2.%3.%4"/>
      <w:lvlJc w:val="left"/>
      <w:pPr>
        <w:ind w:left="993" w:firstLine="0"/>
      </w:pPr>
      <w:rPr>
        <w:rFonts w:hint="eastAsia"/>
      </w:rPr>
    </w:lvl>
    <w:lvl w:ilvl="4" w:tentative="0">
      <w:start w:val="1"/>
      <w:numFmt w:val="decimal"/>
      <w:pStyle w:val="7"/>
      <w:suff w:val="space"/>
      <w:lvlText w:val="%1.%2.%3.%4.%5"/>
      <w:lvlJc w:val="left"/>
      <w:pPr>
        <w:ind w:left="1276" w:firstLine="0"/>
      </w:pPr>
      <w:rPr>
        <w:rFonts w:hint="eastAsia"/>
      </w:rPr>
    </w:lvl>
    <w:lvl w:ilvl="5" w:tentative="0">
      <w:start w:val="1"/>
      <w:numFmt w:val="decimal"/>
      <w:suff w:val="space"/>
      <w:lvlText w:val="%6"/>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6" w:tentative="0">
      <w:start w:val="1"/>
      <w:numFmt w:val="decimal"/>
      <w:suff w:val="space"/>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
    <w:nsid w:val="52FD4FFF"/>
    <w:multiLevelType w:val="singleLevel"/>
    <w:tmpl w:val="52FD4FFF"/>
    <w:lvl w:ilvl="0" w:tentative="0">
      <w:start w:val="1"/>
      <w:numFmt w:val="decimal"/>
      <w:suff w:val="space"/>
      <w:lvlText w:val="%1."/>
      <w:lvlJc w:val="left"/>
    </w:lvl>
  </w:abstractNum>
  <w:abstractNum w:abstractNumId="3">
    <w:nsid w:val="59A00C34"/>
    <w:multiLevelType w:val="multilevel"/>
    <w:tmpl w:val="59A00C34"/>
    <w:lvl w:ilvl="0" w:tentative="0">
      <w:start w:val="1"/>
      <w:numFmt w:val="decimal"/>
      <w:pStyle w:val="75"/>
      <w:lvlText w:val="%1."/>
      <w:legacy w:legacy="1" w:legacySpace="0" w:legacyIndent="0"/>
      <w:lvlJc w:val="left"/>
      <w:pPr>
        <w:ind w:left="0" w:firstLine="0"/>
      </w:pPr>
    </w:lvl>
    <w:lvl w:ilvl="1" w:tentative="0">
      <w:start w:val="1"/>
      <w:numFmt w:val="decimal"/>
      <w:pStyle w:val="73"/>
      <w:lvlText w:val="%1.%2."/>
      <w:legacy w:legacy="1" w:legacySpace="0" w:legacyIndent="0"/>
      <w:lvlJc w:val="left"/>
      <w:pPr>
        <w:ind w:left="0" w:firstLine="0"/>
      </w:pPr>
      <w:rPr>
        <w:rFonts w:hint="eastAsia" w:ascii="黑体" w:eastAsia="黑体"/>
      </w:rPr>
    </w:lvl>
    <w:lvl w:ilvl="2" w:tentative="0">
      <w:start w:val="1"/>
      <w:numFmt w:val="decimal"/>
      <w:pStyle w:val="74"/>
      <w:lvlText w:val="%1.%2.%3."/>
      <w:legacy w:legacy="1" w:legacySpace="0" w:legacyIndent="0"/>
      <w:lvlJc w:val="left"/>
      <w:pPr>
        <w:ind w:left="0" w:firstLine="0"/>
      </w:pPr>
      <w:rPr>
        <w:rFonts w:hint="eastAsia" w:ascii="黑体" w:eastAsia="黑体"/>
      </w:rPr>
    </w:lvl>
    <w:lvl w:ilvl="3" w:tentative="0">
      <w:start w:val="1"/>
      <w:numFmt w:val="decimal"/>
      <w:lvlText w:val="%1.%2.%3.%4."/>
      <w:legacy w:legacy="1" w:legacySpace="0" w:legacyIndent="0"/>
      <w:lvlJc w:val="left"/>
      <w:pPr>
        <w:ind w:left="0" w:firstLine="0"/>
      </w:pPr>
      <w:rPr>
        <w:rFonts w:hint="eastAsia" w:ascii="黑体" w:eastAsia="黑体"/>
      </w:rPr>
    </w:lvl>
    <w:lvl w:ilvl="4" w:tentative="0">
      <w:start w:val="1"/>
      <w:numFmt w:val="decimal"/>
      <w:lvlText w:val="%1.%2.%3.%4.%5."/>
      <w:legacy w:legacy="1" w:legacySpace="0" w:legacyIndent="0"/>
      <w:lvlJc w:val="left"/>
      <w:pPr>
        <w:ind w:left="0" w:firstLine="0"/>
      </w:pPr>
      <w:rPr>
        <w:rFonts w:hint="eastAsia" w:ascii="黑体" w:eastAsia="黑体"/>
      </w:rPr>
    </w:lvl>
    <w:lvl w:ilvl="5" w:tentative="0">
      <w:start w:val="1"/>
      <w:numFmt w:val="decimal"/>
      <w:lvlText w:val="%1.%2.%3.%4.%5.%6."/>
      <w:legacy w:legacy="1" w:legacySpace="0" w:legacyIndent="0"/>
      <w:lvlJc w:val="left"/>
      <w:pPr>
        <w:ind w:left="0" w:firstLine="0"/>
      </w:pPr>
      <w:rPr>
        <w:rFonts w:hint="eastAsia" w:ascii="黑体" w:eastAsia="黑体"/>
      </w:rPr>
    </w:lvl>
    <w:lvl w:ilvl="6" w:tentative="0">
      <w:start w:val="1"/>
      <w:numFmt w:val="decimal"/>
      <w:lvlText w:val="%1.%2.%3.%4.%5.%6.%7."/>
      <w:legacy w:legacy="1" w:legacySpace="0" w:legacyIndent="0"/>
      <w:lvlJc w:val="left"/>
      <w:pPr>
        <w:ind w:left="0" w:firstLine="0"/>
      </w:pPr>
      <w:rPr>
        <w:rFonts w:hint="eastAsia" w:ascii="黑体" w:eastAsia="黑体"/>
      </w:rPr>
    </w:lvl>
    <w:lvl w:ilvl="7" w:tentative="0">
      <w:start w:val="1"/>
      <w:numFmt w:val="decimal"/>
      <w:lvlText w:val="%1.%2.%3.%4.%5.%6.%7.%8."/>
      <w:legacy w:legacy="1" w:legacySpace="0" w:legacyIndent="0"/>
      <w:lvlJc w:val="left"/>
      <w:pPr>
        <w:ind w:left="0" w:firstLine="0"/>
      </w:pPr>
      <w:rPr>
        <w:rFonts w:hint="eastAsia" w:ascii="黑体" w:eastAsia="黑体"/>
      </w:rPr>
    </w:lvl>
    <w:lvl w:ilvl="8" w:tentative="0">
      <w:start w:val="1"/>
      <w:numFmt w:val="decimal"/>
      <w:lvlText w:val="%1.%2.%3.%4.%5.%6.%7.%8.%9."/>
      <w:legacy w:legacy="1" w:legacySpace="120" w:legacyIndent="2520"/>
      <w:lvlJc w:val="left"/>
      <w:pPr>
        <w:ind w:left="2520" w:hanging="2520"/>
      </w:pPr>
      <w:rPr>
        <w:rFonts w:hint="eastAsia" w:ascii="黑体" w:eastAsia="黑体"/>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5MTdlYWY0Y2FkOTZhZjBlOTk1MDY0NTBlMGI1ZDQifQ=="/>
  </w:docVars>
  <w:rsids>
    <w:rsidRoot w:val="0012412A"/>
    <w:rsid w:val="00001F1A"/>
    <w:rsid w:val="00006EA6"/>
    <w:rsid w:val="00007257"/>
    <w:rsid w:val="000101C9"/>
    <w:rsid w:val="000111A3"/>
    <w:rsid w:val="000122E3"/>
    <w:rsid w:val="00012E5E"/>
    <w:rsid w:val="00014827"/>
    <w:rsid w:val="00015571"/>
    <w:rsid w:val="00015EF9"/>
    <w:rsid w:val="00017F74"/>
    <w:rsid w:val="00022123"/>
    <w:rsid w:val="000246BF"/>
    <w:rsid w:val="000252A8"/>
    <w:rsid w:val="000256AF"/>
    <w:rsid w:val="00027D54"/>
    <w:rsid w:val="000310A2"/>
    <w:rsid w:val="000340B8"/>
    <w:rsid w:val="00035C3F"/>
    <w:rsid w:val="0003681E"/>
    <w:rsid w:val="00043E4F"/>
    <w:rsid w:val="0004440D"/>
    <w:rsid w:val="00044B13"/>
    <w:rsid w:val="000464F3"/>
    <w:rsid w:val="0004679C"/>
    <w:rsid w:val="0004693A"/>
    <w:rsid w:val="000473EC"/>
    <w:rsid w:val="000528A0"/>
    <w:rsid w:val="00052976"/>
    <w:rsid w:val="00052F39"/>
    <w:rsid w:val="000620E0"/>
    <w:rsid w:val="00062383"/>
    <w:rsid w:val="00062CA7"/>
    <w:rsid w:val="00067903"/>
    <w:rsid w:val="000703BE"/>
    <w:rsid w:val="0007085C"/>
    <w:rsid w:val="00070895"/>
    <w:rsid w:val="00073064"/>
    <w:rsid w:val="00074725"/>
    <w:rsid w:val="00074D06"/>
    <w:rsid w:val="0008132E"/>
    <w:rsid w:val="0008135B"/>
    <w:rsid w:val="00082B95"/>
    <w:rsid w:val="00084F7C"/>
    <w:rsid w:val="000875B8"/>
    <w:rsid w:val="000975D4"/>
    <w:rsid w:val="000A5EB1"/>
    <w:rsid w:val="000A6CEA"/>
    <w:rsid w:val="000A6DA2"/>
    <w:rsid w:val="000A7B67"/>
    <w:rsid w:val="000B3C20"/>
    <w:rsid w:val="000B581D"/>
    <w:rsid w:val="000C169A"/>
    <w:rsid w:val="000C2B3B"/>
    <w:rsid w:val="000C4CD6"/>
    <w:rsid w:val="000C5ED0"/>
    <w:rsid w:val="000C682F"/>
    <w:rsid w:val="000C6A33"/>
    <w:rsid w:val="000D0F16"/>
    <w:rsid w:val="000E01AD"/>
    <w:rsid w:val="000E02BB"/>
    <w:rsid w:val="000E03B4"/>
    <w:rsid w:val="000E3218"/>
    <w:rsid w:val="000E32FE"/>
    <w:rsid w:val="000E6A1A"/>
    <w:rsid w:val="000F4034"/>
    <w:rsid w:val="000F431E"/>
    <w:rsid w:val="00101B11"/>
    <w:rsid w:val="00105B7E"/>
    <w:rsid w:val="00105CA4"/>
    <w:rsid w:val="00105E4F"/>
    <w:rsid w:val="0011283E"/>
    <w:rsid w:val="0011334E"/>
    <w:rsid w:val="00113639"/>
    <w:rsid w:val="00114686"/>
    <w:rsid w:val="0011478F"/>
    <w:rsid w:val="001168F5"/>
    <w:rsid w:val="00121337"/>
    <w:rsid w:val="0012412A"/>
    <w:rsid w:val="00125206"/>
    <w:rsid w:val="00125BCA"/>
    <w:rsid w:val="00127105"/>
    <w:rsid w:val="00127864"/>
    <w:rsid w:val="00131EF4"/>
    <w:rsid w:val="00132F26"/>
    <w:rsid w:val="00143A60"/>
    <w:rsid w:val="00150539"/>
    <w:rsid w:val="00150A47"/>
    <w:rsid w:val="00153311"/>
    <w:rsid w:val="00156345"/>
    <w:rsid w:val="0015672E"/>
    <w:rsid w:val="001567D0"/>
    <w:rsid w:val="00157E18"/>
    <w:rsid w:val="001604CF"/>
    <w:rsid w:val="001609F2"/>
    <w:rsid w:val="0016171C"/>
    <w:rsid w:val="0016272D"/>
    <w:rsid w:val="00165107"/>
    <w:rsid w:val="001662A5"/>
    <w:rsid w:val="001709C0"/>
    <w:rsid w:val="00171D98"/>
    <w:rsid w:val="00172BC3"/>
    <w:rsid w:val="00174ECA"/>
    <w:rsid w:val="00182E18"/>
    <w:rsid w:val="0018503C"/>
    <w:rsid w:val="001905DD"/>
    <w:rsid w:val="00194431"/>
    <w:rsid w:val="00197E36"/>
    <w:rsid w:val="001A791C"/>
    <w:rsid w:val="001B2D52"/>
    <w:rsid w:val="001B3E85"/>
    <w:rsid w:val="001B4031"/>
    <w:rsid w:val="001B5D7E"/>
    <w:rsid w:val="001C1385"/>
    <w:rsid w:val="001C2A74"/>
    <w:rsid w:val="001C443D"/>
    <w:rsid w:val="001D293D"/>
    <w:rsid w:val="001E0837"/>
    <w:rsid w:val="001E0C2A"/>
    <w:rsid w:val="001E21C6"/>
    <w:rsid w:val="001E35B3"/>
    <w:rsid w:val="001E42B2"/>
    <w:rsid w:val="001E4FA7"/>
    <w:rsid w:val="001E507C"/>
    <w:rsid w:val="001F124E"/>
    <w:rsid w:val="001F2559"/>
    <w:rsid w:val="001F489C"/>
    <w:rsid w:val="001F5BB5"/>
    <w:rsid w:val="001F6106"/>
    <w:rsid w:val="001F6480"/>
    <w:rsid w:val="001F6B70"/>
    <w:rsid w:val="001F6BEE"/>
    <w:rsid w:val="001F755C"/>
    <w:rsid w:val="001F791A"/>
    <w:rsid w:val="00200F9C"/>
    <w:rsid w:val="00210554"/>
    <w:rsid w:val="00211889"/>
    <w:rsid w:val="00213FB3"/>
    <w:rsid w:val="00224E6B"/>
    <w:rsid w:val="002263EA"/>
    <w:rsid w:val="00232958"/>
    <w:rsid w:val="002367B6"/>
    <w:rsid w:val="0023707F"/>
    <w:rsid w:val="00241840"/>
    <w:rsid w:val="00253201"/>
    <w:rsid w:val="00253F34"/>
    <w:rsid w:val="002557E8"/>
    <w:rsid w:val="00257711"/>
    <w:rsid w:val="0026363B"/>
    <w:rsid w:val="0026491A"/>
    <w:rsid w:val="002661CF"/>
    <w:rsid w:val="00266CDD"/>
    <w:rsid w:val="00266CF3"/>
    <w:rsid w:val="00273486"/>
    <w:rsid w:val="00273C47"/>
    <w:rsid w:val="00273C97"/>
    <w:rsid w:val="00274132"/>
    <w:rsid w:val="002745D9"/>
    <w:rsid w:val="00276B06"/>
    <w:rsid w:val="00281F8A"/>
    <w:rsid w:val="00290769"/>
    <w:rsid w:val="00290C9F"/>
    <w:rsid w:val="002917E9"/>
    <w:rsid w:val="0029484B"/>
    <w:rsid w:val="002A276D"/>
    <w:rsid w:val="002A28E6"/>
    <w:rsid w:val="002A3E81"/>
    <w:rsid w:val="002A6714"/>
    <w:rsid w:val="002B69FC"/>
    <w:rsid w:val="002B6A7B"/>
    <w:rsid w:val="002B75AA"/>
    <w:rsid w:val="002C1397"/>
    <w:rsid w:val="002C3C10"/>
    <w:rsid w:val="002D38F9"/>
    <w:rsid w:val="002D5FDD"/>
    <w:rsid w:val="002E071E"/>
    <w:rsid w:val="002E077C"/>
    <w:rsid w:val="002E3765"/>
    <w:rsid w:val="002E4C51"/>
    <w:rsid w:val="002E6912"/>
    <w:rsid w:val="002F3361"/>
    <w:rsid w:val="002F5319"/>
    <w:rsid w:val="00300188"/>
    <w:rsid w:val="00306B22"/>
    <w:rsid w:val="003073E8"/>
    <w:rsid w:val="0031601E"/>
    <w:rsid w:val="00320662"/>
    <w:rsid w:val="00321AC1"/>
    <w:rsid w:val="00322715"/>
    <w:rsid w:val="003256AD"/>
    <w:rsid w:val="00327F10"/>
    <w:rsid w:val="003323EA"/>
    <w:rsid w:val="00332EA4"/>
    <w:rsid w:val="00336464"/>
    <w:rsid w:val="003428DD"/>
    <w:rsid w:val="003463C8"/>
    <w:rsid w:val="003514E9"/>
    <w:rsid w:val="003617A2"/>
    <w:rsid w:val="003631BC"/>
    <w:rsid w:val="00363893"/>
    <w:rsid w:val="0036471D"/>
    <w:rsid w:val="003648FB"/>
    <w:rsid w:val="00365523"/>
    <w:rsid w:val="003714D8"/>
    <w:rsid w:val="00373AE7"/>
    <w:rsid w:val="0037566F"/>
    <w:rsid w:val="00375C7C"/>
    <w:rsid w:val="00375FC4"/>
    <w:rsid w:val="00376AC3"/>
    <w:rsid w:val="00380232"/>
    <w:rsid w:val="00380775"/>
    <w:rsid w:val="00385C95"/>
    <w:rsid w:val="00385D31"/>
    <w:rsid w:val="003868F2"/>
    <w:rsid w:val="003905A9"/>
    <w:rsid w:val="00396613"/>
    <w:rsid w:val="003A0276"/>
    <w:rsid w:val="003A6CA0"/>
    <w:rsid w:val="003B0209"/>
    <w:rsid w:val="003B203B"/>
    <w:rsid w:val="003B6EDD"/>
    <w:rsid w:val="003C0981"/>
    <w:rsid w:val="003C1019"/>
    <w:rsid w:val="003C19B6"/>
    <w:rsid w:val="003C28AC"/>
    <w:rsid w:val="003C348A"/>
    <w:rsid w:val="003C52F4"/>
    <w:rsid w:val="003D4FE6"/>
    <w:rsid w:val="003D7235"/>
    <w:rsid w:val="003E1E9C"/>
    <w:rsid w:val="003F18D0"/>
    <w:rsid w:val="003F293F"/>
    <w:rsid w:val="003F5C68"/>
    <w:rsid w:val="003F5E57"/>
    <w:rsid w:val="003F7735"/>
    <w:rsid w:val="00407DEB"/>
    <w:rsid w:val="00411337"/>
    <w:rsid w:val="00411F54"/>
    <w:rsid w:val="004170F5"/>
    <w:rsid w:val="00422401"/>
    <w:rsid w:val="0042318F"/>
    <w:rsid w:val="00425756"/>
    <w:rsid w:val="004338F2"/>
    <w:rsid w:val="0043540F"/>
    <w:rsid w:val="004366E0"/>
    <w:rsid w:val="004476EA"/>
    <w:rsid w:val="004504B3"/>
    <w:rsid w:val="004533BD"/>
    <w:rsid w:val="0045792B"/>
    <w:rsid w:val="004615AF"/>
    <w:rsid w:val="00466F4D"/>
    <w:rsid w:val="00476731"/>
    <w:rsid w:val="00482AB2"/>
    <w:rsid w:val="004837E9"/>
    <w:rsid w:val="00483FD6"/>
    <w:rsid w:val="00486E6C"/>
    <w:rsid w:val="00493A27"/>
    <w:rsid w:val="00493B51"/>
    <w:rsid w:val="004968DD"/>
    <w:rsid w:val="00496B14"/>
    <w:rsid w:val="004A1042"/>
    <w:rsid w:val="004A1AF5"/>
    <w:rsid w:val="004A3764"/>
    <w:rsid w:val="004A3C31"/>
    <w:rsid w:val="004B200E"/>
    <w:rsid w:val="004B4CB5"/>
    <w:rsid w:val="004B5150"/>
    <w:rsid w:val="004B5218"/>
    <w:rsid w:val="004B605E"/>
    <w:rsid w:val="004B674D"/>
    <w:rsid w:val="004C4CF3"/>
    <w:rsid w:val="004D0A05"/>
    <w:rsid w:val="004D7154"/>
    <w:rsid w:val="004E1108"/>
    <w:rsid w:val="004E2010"/>
    <w:rsid w:val="004E233C"/>
    <w:rsid w:val="004E53F9"/>
    <w:rsid w:val="004E5C07"/>
    <w:rsid w:val="004E7B1B"/>
    <w:rsid w:val="004F1729"/>
    <w:rsid w:val="004F66DE"/>
    <w:rsid w:val="00501103"/>
    <w:rsid w:val="0050191B"/>
    <w:rsid w:val="0050200D"/>
    <w:rsid w:val="00504335"/>
    <w:rsid w:val="00516E81"/>
    <w:rsid w:val="00522C78"/>
    <w:rsid w:val="0052331E"/>
    <w:rsid w:val="00524FF9"/>
    <w:rsid w:val="005354EA"/>
    <w:rsid w:val="00535C0C"/>
    <w:rsid w:val="0053777C"/>
    <w:rsid w:val="00542269"/>
    <w:rsid w:val="0054239D"/>
    <w:rsid w:val="00543E00"/>
    <w:rsid w:val="005463CF"/>
    <w:rsid w:val="00546E4A"/>
    <w:rsid w:val="00550D7A"/>
    <w:rsid w:val="0055336B"/>
    <w:rsid w:val="00553438"/>
    <w:rsid w:val="00555BF0"/>
    <w:rsid w:val="00555D55"/>
    <w:rsid w:val="00560898"/>
    <w:rsid w:val="0056422C"/>
    <w:rsid w:val="00580B67"/>
    <w:rsid w:val="00590139"/>
    <w:rsid w:val="005922DF"/>
    <w:rsid w:val="00596F20"/>
    <w:rsid w:val="005A16FA"/>
    <w:rsid w:val="005A4B32"/>
    <w:rsid w:val="005A6947"/>
    <w:rsid w:val="005B563C"/>
    <w:rsid w:val="005C525A"/>
    <w:rsid w:val="005D1627"/>
    <w:rsid w:val="005D2647"/>
    <w:rsid w:val="005D2D00"/>
    <w:rsid w:val="005D5ED6"/>
    <w:rsid w:val="005D70F2"/>
    <w:rsid w:val="005E4EEA"/>
    <w:rsid w:val="005E5E3D"/>
    <w:rsid w:val="005E6F0D"/>
    <w:rsid w:val="005F0682"/>
    <w:rsid w:val="005F5F2E"/>
    <w:rsid w:val="005F6977"/>
    <w:rsid w:val="00600822"/>
    <w:rsid w:val="006027E8"/>
    <w:rsid w:val="00603E83"/>
    <w:rsid w:val="00610C73"/>
    <w:rsid w:val="00611E1A"/>
    <w:rsid w:val="0061475B"/>
    <w:rsid w:val="00614D52"/>
    <w:rsid w:val="00615035"/>
    <w:rsid w:val="00615595"/>
    <w:rsid w:val="00620E15"/>
    <w:rsid w:val="00620F48"/>
    <w:rsid w:val="00640EED"/>
    <w:rsid w:val="006411D8"/>
    <w:rsid w:val="00643097"/>
    <w:rsid w:val="00645209"/>
    <w:rsid w:val="00646EAE"/>
    <w:rsid w:val="006507CD"/>
    <w:rsid w:val="00651692"/>
    <w:rsid w:val="00656DA9"/>
    <w:rsid w:val="006621AE"/>
    <w:rsid w:val="00662674"/>
    <w:rsid w:val="006633F2"/>
    <w:rsid w:val="0066358E"/>
    <w:rsid w:val="0066420D"/>
    <w:rsid w:val="00665B6B"/>
    <w:rsid w:val="00670463"/>
    <w:rsid w:val="00673BF7"/>
    <w:rsid w:val="00673E3C"/>
    <w:rsid w:val="0067474B"/>
    <w:rsid w:val="00676159"/>
    <w:rsid w:val="006818C8"/>
    <w:rsid w:val="00681E55"/>
    <w:rsid w:val="00682061"/>
    <w:rsid w:val="006855D9"/>
    <w:rsid w:val="00685F0A"/>
    <w:rsid w:val="00687FB6"/>
    <w:rsid w:val="00691284"/>
    <w:rsid w:val="00694E93"/>
    <w:rsid w:val="00695C31"/>
    <w:rsid w:val="006A214B"/>
    <w:rsid w:val="006A32FE"/>
    <w:rsid w:val="006A72F6"/>
    <w:rsid w:val="006A75E3"/>
    <w:rsid w:val="006B1938"/>
    <w:rsid w:val="006B54FE"/>
    <w:rsid w:val="006C301A"/>
    <w:rsid w:val="006C33D8"/>
    <w:rsid w:val="006C3A63"/>
    <w:rsid w:val="006C4130"/>
    <w:rsid w:val="006C459E"/>
    <w:rsid w:val="006C72F2"/>
    <w:rsid w:val="006D1985"/>
    <w:rsid w:val="006D1D38"/>
    <w:rsid w:val="006D2D4A"/>
    <w:rsid w:val="006D47D3"/>
    <w:rsid w:val="006D623E"/>
    <w:rsid w:val="006D67E1"/>
    <w:rsid w:val="006D7650"/>
    <w:rsid w:val="006E06CD"/>
    <w:rsid w:val="006E52C3"/>
    <w:rsid w:val="006F01F9"/>
    <w:rsid w:val="006F3BF4"/>
    <w:rsid w:val="006F4AFB"/>
    <w:rsid w:val="006F5E44"/>
    <w:rsid w:val="006F6969"/>
    <w:rsid w:val="007019A7"/>
    <w:rsid w:val="00702B4E"/>
    <w:rsid w:val="00707CD7"/>
    <w:rsid w:val="00711709"/>
    <w:rsid w:val="00711EFB"/>
    <w:rsid w:val="00715260"/>
    <w:rsid w:val="00717CC0"/>
    <w:rsid w:val="00726993"/>
    <w:rsid w:val="00731CAE"/>
    <w:rsid w:val="00734E95"/>
    <w:rsid w:val="00735BBE"/>
    <w:rsid w:val="00736DCD"/>
    <w:rsid w:val="00740310"/>
    <w:rsid w:val="00744A9B"/>
    <w:rsid w:val="00745106"/>
    <w:rsid w:val="007455A9"/>
    <w:rsid w:val="00746FBD"/>
    <w:rsid w:val="00747CC9"/>
    <w:rsid w:val="007504BE"/>
    <w:rsid w:val="007526D7"/>
    <w:rsid w:val="007529BD"/>
    <w:rsid w:val="00752B99"/>
    <w:rsid w:val="00754F81"/>
    <w:rsid w:val="0076393E"/>
    <w:rsid w:val="00764660"/>
    <w:rsid w:val="007665F6"/>
    <w:rsid w:val="0077056B"/>
    <w:rsid w:val="007737C3"/>
    <w:rsid w:val="00773CA0"/>
    <w:rsid w:val="007757A8"/>
    <w:rsid w:val="00776252"/>
    <w:rsid w:val="007763B6"/>
    <w:rsid w:val="0077693B"/>
    <w:rsid w:val="0078477B"/>
    <w:rsid w:val="0078617E"/>
    <w:rsid w:val="007914F7"/>
    <w:rsid w:val="007919B5"/>
    <w:rsid w:val="00797AF7"/>
    <w:rsid w:val="007A2BD1"/>
    <w:rsid w:val="007A5773"/>
    <w:rsid w:val="007A69AA"/>
    <w:rsid w:val="007B09A6"/>
    <w:rsid w:val="007B20BE"/>
    <w:rsid w:val="007B2229"/>
    <w:rsid w:val="007B42E6"/>
    <w:rsid w:val="007B62B9"/>
    <w:rsid w:val="007B632A"/>
    <w:rsid w:val="007C5191"/>
    <w:rsid w:val="007C6261"/>
    <w:rsid w:val="007D0C8C"/>
    <w:rsid w:val="007D3E32"/>
    <w:rsid w:val="007D6BBC"/>
    <w:rsid w:val="007D7AEA"/>
    <w:rsid w:val="007E2895"/>
    <w:rsid w:val="007E2F38"/>
    <w:rsid w:val="007E2FDD"/>
    <w:rsid w:val="007E5D1A"/>
    <w:rsid w:val="007E5DB8"/>
    <w:rsid w:val="007F1E07"/>
    <w:rsid w:val="007F50F7"/>
    <w:rsid w:val="007F6ABB"/>
    <w:rsid w:val="00800860"/>
    <w:rsid w:val="008009B8"/>
    <w:rsid w:val="00802B9B"/>
    <w:rsid w:val="00803C7A"/>
    <w:rsid w:val="0080457F"/>
    <w:rsid w:val="0080496D"/>
    <w:rsid w:val="00805E1F"/>
    <w:rsid w:val="00813889"/>
    <w:rsid w:val="00814C4E"/>
    <w:rsid w:val="00815C9E"/>
    <w:rsid w:val="00821AC7"/>
    <w:rsid w:val="00822425"/>
    <w:rsid w:val="00827E2E"/>
    <w:rsid w:val="00830989"/>
    <w:rsid w:val="00830C68"/>
    <w:rsid w:val="00832997"/>
    <w:rsid w:val="00835063"/>
    <w:rsid w:val="008401E7"/>
    <w:rsid w:val="00840415"/>
    <w:rsid w:val="00841B45"/>
    <w:rsid w:val="00841B97"/>
    <w:rsid w:val="008434C7"/>
    <w:rsid w:val="0084527D"/>
    <w:rsid w:val="00845F3D"/>
    <w:rsid w:val="00855838"/>
    <w:rsid w:val="0086262D"/>
    <w:rsid w:val="00866A39"/>
    <w:rsid w:val="00872577"/>
    <w:rsid w:val="00872BC3"/>
    <w:rsid w:val="00873FA1"/>
    <w:rsid w:val="0087455C"/>
    <w:rsid w:val="008746CF"/>
    <w:rsid w:val="0087514A"/>
    <w:rsid w:val="00882F35"/>
    <w:rsid w:val="00885867"/>
    <w:rsid w:val="008858A9"/>
    <w:rsid w:val="008858BE"/>
    <w:rsid w:val="00893381"/>
    <w:rsid w:val="00896FDF"/>
    <w:rsid w:val="008B0BBB"/>
    <w:rsid w:val="008B62F5"/>
    <w:rsid w:val="008B7794"/>
    <w:rsid w:val="008C2AAB"/>
    <w:rsid w:val="008C35F7"/>
    <w:rsid w:val="008C5ED7"/>
    <w:rsid w:val="008C634D"/>
    <w:rsid w:val="008D0172"/>
    <w:rsid w:val="008D0669"/>
    <w:rsid w:val="008D0F51"/>
    <w:rsid w:val="008D3458"/>
    <w:rsid w:val="008D6092"/>
    <w:rsid w:val="008E688A"/>
    <w:rsid w:val="008E72B8"/>
    <w:rsid w:val="008F0A44"/>
    <w:rsid w:val="008F1C4C"/>
    <w:rsid w:val="008F6875"/>
    <w:rsid w:val="009012D8"/>
    <w:rsid w:val="009070B0"/>
    <w:rsid w:val="00910922"/>
    <w:rsid w:val="0091296E"/>
    <w:rsid w:val="00915294"/>
    <w:rsid w:val="0091650E"/>
    <w:rsid w:val="009171EF"/>
    <w:rsid w:val="009210D7"/>
    <w:rsid w:val="0092389D"/>
    <w:rsid w:val="00927E5F"/>
    <w:rsid w:val="0093179E"/>
    <w:rsid w:val="00931DE6"/>
    <w:rsid w:val="009406DF"/>
    <w:rsid w:val="009414F9"/>
    <w:rsid w:val="00943BC6"/>
    <w:rsid w:val="00946C2F"/>
    <w:rsid w:val="00947CD7"/>
    <w:rsid w:val="00950F66"/>
    <w:rsid w:val="00952905"/>
    <w:rsid w:val="00957046"/>
    <w:rsid w:val="0096337F"/>
    <w:rsid w:val="0097431C"/>
    <w:rsid w:val="009766A0"/>
    <w:rsid w:val="009773A7"/>
    <w:rsid w:val="009802D3"/>
    <w:rsid w:val="00981D98"/>
    <w:rsid w:val="0098564F"/>
    <w:rsid w:val="00990D98"/>
    <w:rsid w:val="0099227F"/>
    <w:rsid w:val="00993743"/>
    <w:rsid w:val="00993BFE"/>
    <w:rsid w:val="00997E70"/>
    <w:rsid w:val="009B349F"/>
    <w:rsid w:val="009B6204"/>
    <w:rsid w:val="009B67A5"/>
    <w:rsid w:val="009B7605"/>
    <w:rsid w:val="009C1B84"/>
    <w:rsid w:val="009C61EF"/>
    <w:rsid w:val="009D0580"/>
    <w:rsid w:val="009D24B9"/>
    <w:rsid w:val="009D31AD"/>
    <w:rsid w:val="009E1069"/>
    <w:rsid w:val="009E2AEE"/>
    <w:rsid w:val="009E53AD"/>
    <w:rsid w:val="009F4084"/>
    <w:rsid w:val="009F51A1"/>
    <w:rsid w:val="009F783C"/>
    <w:rsid w:val="00A01AF3"/>
    <w:rsid w:val="00A126E7"/>
    <w:rsid w:val="00A15A76"/>
    <w:rsid w:val="00A16EB1"/>
    <w:rsid w:val="00A25CAA"/>
    <w:rsid w:val="00A27B28"/>
    <w:rsid w:val="00A479E3"/>
    <w:rsid w:val="00A51630"/>
    <w:rsid w:val="00A570BA"/>
    <w:rsid w:val="00A608D7"/>
    <w:rsid w:val="00A64882"/>
    <w:rsid w:val="00A65008"/>
    <w:rsid w:val="00A70625"/>
    <w:rsid w:val="00A710C9"/>
    <w:rsid w:val="00A73D96"/>
    <w:rsid w:val="00A75AA3"/>
    <w:rsid w:val="00A8474C"/>
    <w:rsid w:val="00A84850"/>
    <w:rsid w:val="00A84C0F"/>
    <w:rsid w:val="00A85304"/>
    <w:rsid w:val="00A87EE7"/>
    <w:rsid w:val="00A90BE9"/>
    <w:rsid w:val="00A92C9C"/>
    <w:rsid w:val="00A95016"/>
    <w:rsid w:val="00AA1AF6"/>
    <w:rsid w:val="00AA2945"/>
    <w:rsid w:val="00AA53AC"/>
    <w:rsid w:val="00AA6C6C"/>
    <w:rsid w:val="00AB0EB0"/>
    <w:rsid w:val="00AB583F"/>
    <w:rsid w:val="00AC0F92"/>
    <w:rsid w:val="00AC2986"/>
    <w:rsid w:val="00AC3DB4"/>
    <w:rsid w:val="00AD1812"/>
    <w:rsid w:val="00AD6E0D"/>
    <w:rsid w:val="00AE3E7C"/>
    <w:rsid w:val="00AE5387"/>
    <w:rsid w:val="00AE581C"/>
    <w:rsid w:val="00AE77B2"/>
    <w:rsid w:val="00AF0D0F"/>
    <w:rsid w:val="00AF4B01"/>
    <w:rsid w:val="00AF69F6"/>
    <w:rsid w:val="00B02CB9"/>
    <w:rsid w:val="00B10050"/>
    <w:rsid w:val="00B139AC"/>
    <w:rsid w:val="00B1530C"/>
    <w:rsid w:val="00B16164"/>
    <w:rsid w:val="00B16922"/>
    <w:rsid w:val="00B16A61"/>
    <w:rsid w:val="00B20D74"/>
    <w:rsid w:val="00B26A09"/>
    <w:rsid w:val="00B324E8"/>
    <w:rsid w:val="00B36EA0"/>
    <w:rsid w:val="00B41775"/>
    <w:rsid w:val="00B42A83"/>
    <w:rsid w:val="00B44273"/>
    <w:rsid w:val="00B54EE8"/>
    <w:rsid w:val="00B55A3D"/>
    <w:rsid w:val="00B576B3"/>
    <w:rsid w:val="00B606ED"/>
    <w:rsid w:val="00B625E4"/>
    <w:rsid w:val="00B65774"/>
    <w:rsid w:val="00B706D8"/>
    <w:rsid w:val="00B715B2"/>
    <w:rsid w:val="00B72B81"/>
    <w:rsid w:val="00B738C9"/>
    <w:rsid w:val="00B75FDA"/>
    <w:rsid w:val="00B82A24"/>
    <w:rsid w:val="00B82FBC"/>
    <w:rsid w:val="00B838E3"/>
    <w:rsid w:val="00B8495C"/>
    <w:rsid w:val="00B8505C"/>
    <w:rsid w:val="00B85691"/>
    <w:rsid w:val="00B87B27"/>
    <w:rsid w:val="00B906D2"/>
    <w:rsid w:val="00B91493"/>
    <w:rsid w:val="00B93CA8"/>
    <w:rsid w:val="00B94887"/>
    <w:rsid w:val="00B9710A"/>
    <w:rsid w:val="00B97413"/>
    <w:rsid w:val="00BA102B"/>
    <w:rsid w:val="00BA52BA"/>
    <w:rsid w:val="00BA6422"/>
    <w:rsid w:val="00BB0960"/>
    <w:rsid w:val="00BB2567"/>
    <w:rsid w:val="00BB33D9"/>
    <w:rsid w:val="00BC0644"/>
    <w:rsid w:val="00BC22AF"/>
    <w:rsid w:val="00BC37E5"/>
    <w:rsid w:val="00BC38D9"/>
    <w:rsid w:val="00BC6434"/>
    <w:rsid w:val="00BC6D78"/>
    <w:rsid w:val="00BD0E53"/>
    <w:rsid w:val="00BD57BD"/>
    <w:rsid w:val="00BD7FE9"/>
    <w:rsid w:val="00BE7E09"/>
    <w:rsid w:val="00BF0A26"/>
    <w:rsid w:val="00BF2D68"/>
    <w:rsid w:val="00BF2ED8"/>
    <w:rsid w:val="00BF2F4E"/>
    <w:rsid w:val="00BF45A4"/>
    <w:rsid w:val="00BF6791"/>
    <w:rsid w:val="00C01BC3"/>
    <w:rsid w:val="00C0252E"/>
    <w:rsid w:val="00C02B0B"/>
    <w:rsid w:val="00C06A32"/>
    <w:rsid w:val="00C108C0"/>
    <w:rsid w:val="00C13543"/>
    <w:rsid w:val="00C142A2"/>
    <w:rsid w:val="00C2010E"/>
    <w:rsid w:val="00C20C31"/>
    <w:rsid w:val="00C21E46"/>
    <w:rsid w:val="00C22DB3"/>
    <w:rsid w:val="00C235B0"/>
    <w:rsid w:val="00C370D8"/>
    <w:rsid w:val="00C37F99"/>
    <w:rsid w:val="00C5084E"/>
    <w:rsid w:val="00C52066"/>
    <w:rsid w:val="00C52AB1"/>
    <w:rsid w:val="00C60EC3"/>
    <w:rsid w:val="00C62DF0"/>
    <w:rsid w:val="00C670FD"/>
    <w:rsid w:val="00C67ABA"/>
    <w:rsid w:val="00C75DDE"/>
    <w:rsid w:val="00C814B4"/>
    <w:rsid w:val="00C832F1"/>
    <w:rsid w:val="00C84A78"/>
    <w:rsid w:val="00C87847"/>
    <w:rsid w:val="00C90791"/>
    <w:rsid w:val="00C92C0C"/>
    <w:rsid w:val="00C94C51"/>
    <w:rsid w:val="00C96FFA"/>
    <w:rsid w:val="00CA02F3"/>
    <w:rsid w:val="00CA44BB"/>
    <w:rsid w:val="00CA55BD"/>
    <w:rsid w:val="00CB2AB7"/>
    <w:rsid w:val="00CB33D2"/>
    <w:rsid w:val="00CB37C8"/>
    <w:rsid w:val="00CB4B23"/>
    <w:rsid w:val="00CB6E55"/>
    <w:rsid w:val="00CC0E38"/>
    <w:rsid w:val="00CC1C51"/>
    <w:rsid w:val="00CC365A"/>
    <w:rsid w:val="00CC6417"/>
    <w:rsid w:val="00CC78B7"/>
    <w:rsid w:val="00CD1D90"/>
    <w:rsid w:val="00CD2BD5"/>
    <w:rsid w:val="00CD3302"/>
    <w:rsid w:val="00CD721D"/>
    <w:rsid w:val="00CE2490"/>
    <w:rsid w:val="00CE6CE3"/>
    <w:rsid w:val="00CF003A"/>
    <w:rsid w:val="00CF2DE4"/>
    <w:rsid w:val="00CF4232"/>
    <w:rsid w:val="00CF4B4E"/>
    <w:rsid w:val="00CF778A"/>
    <w:rsid w:val="00D016A9"/>
    <w:rsid w:val="00D16921"/>
    <w:rsid w:val="00D1700F"/>
    <w:rsid w:val="00D20950"/>
    <w:rsid w:val="00D24666"/>
    <w:rsid w:val="00D24FFC"/>
    <w:rsid w:val="00D3385A"/>
    <w:rsid w:val="00D3593A"/>
    <w:rsid w:val="00D365EE"/>
    <w:rsid w:val="00D375FF"/>
    <w:rsid w:val="00D401E5"/>
    <w:rsid w:val="00D40ED8"/>
    <w:rsid w:val="00D43778"/>
    <w:rsid w:val="00D44902"/>
    <w:rsid w:val="00D449E6"/>
    <w:rsid w:val="00D45AC2"/>
    <w:rsid w:val="00D52381"/>
    <w:rsid w:val="00D52701"/>
    <w:rsid w:val="00D52CFF"/>
    <w:rsid w:val="00D52EB8"/>
    <w:rsid w:val="00D6634C"/>
    <w:rsid w:val="00D678F1"/>
    <w:rsid w:val="00D67B5A"/>
    <w:rsid w:val="00D70773"/>
    <w:rsid w:val="00D7784A"/>
    <w:rsid w:val="00D77BCF"/>
    <w:rsid w:val="00D807A9"/>
    <w:rsid w:val="00D84130"/>
    <w:rsid w:val="00D846AE"/>
    <w:rsid w:val="00D84E51"/>
    <w:rsid w:val="00D84E97"/>
    <w:rsid w:val="00D87F52"/>
    <w:rsid w:val="00D908A9"/>
    <w:rsid w:val="00D92C60"/>
    <w:rsid w:val="00D936BE"/>
    <w:rsid w:val="00D93D2A"/>
    <w:rsid w:val="00D96B37"/>
    <w:rsid w:val="00DA3555"/>
    <w:rsid w:val="00DB05E0"/>
    <w:rsid w:val="00DB20A2"/>
    <w:rsid w:val="00DB2524"/>
    <w:rsid w:val="00DB5C50"/>
    <w:rsid w:val="00DB7C7E"/>
    <w:rsid w:val="00DC15C8"/>
    <w:rsid w:val="00DC1E7C"/>
    <w:rsid w:val="00DC517C"/>
    <w:rsid w:val="00DC6D43"/>
    <w:rsid w:val="00DD08EA"/>
    <w:rsid w:val="00DD2707"/>
    <w:rsid w:val="00DD629C"/>
    <w:rsid w:val="00DD6B35"/>
    <w:rsid w:val="00DE1F91"/>
    <w:rsid w:val="00DE50A7"/>
    <w:rsid w:val="00DF7335"/>
    <w:rsid w:val="00E01806"/>
    <w:rsid w:val="00E032BB"/>
    <w:rsid w:val="00E04AD3"/>
    <w:rsid w:val="00E06D4B"/>
    <w:rsid w:val="00E16E3F"/>
    <w:rsid w:val="00E23A03"/>
    <w:rsid w:val="00E2460E"/>
    <w:rsid w:val="00E2561E"/>
    <w:rsid w:val="00E31647"/>
    <w:rsid w:val="00E353C3"/>
    <w:rsid w:val="00E35B5A"/>
    <w:rsid w:val="00E3667C"/>
    <w:rsid w:val="00E37CDE"/>
    <w:rsid w:val="00E44B43"/>
    <w:rsid w:val="00E5087E"/>
    <w:rsid w:val="00E5409E"/>
    <w:rsid w:val="00E561E7"/>
    <w:rsid w:val="00E56EE2"/>
    <w:rsid w:val="00E61BFF"/>
    <w:rsid w:val="00E633BD"/>
    <w:rsid w:val="00E64116"/>
    <w:rsid w:val="00E65A00"/>
    <w:rsid w:val="00E741FB"/>
    <w:rsid w:val="00E76BF1"/>
    <w:rsid w:val="00E811D3"/>
    <w:rsid w:val="00E812A7"/>
    <w:rsid w:val="00E83096"/>
    <w:rsid w:val="00E845F3"/>
    <w:rsid w:val="00E8599E"/>
    <w:rsid w:val="00E87A6C"/>
    <w:rsid w:val="00E9108B"/>
    <w:rsid w:val="00E93915"/>
    <w:rsid w:val="00E93C9D"/>
    <w:rsid w:val="00E956A5"/>
    <w:rsid w:val="00E9714C"/>
    <w:rsid w:val="00E97C9B"/>
    <w:rsid w:val="00EA0869"/>
    <w:rsid w:val="00EA0C4D"/>
    <w:rsid w:val="00EA2F49"/>
    <w:rsid w:val="00EA5369"/>
    <w:rsid w:val="00EB14C9"/>
    <w:rsid w:val="00EB22C4"/>
    <w:rsid w:val="00EB4D6F"/>
    <w:rsid w:val="00EB4FFF"/>
    <w:rsid w:val="00EB5753"/>
    <w:rsid w:val="00EB5BC0"/>
    <w:rsid w:val="00EC08AA"/>
    <w:rsid w:val="00EC3C02"/>
    <w:rsid w:val="00EC48FE"/>
    <w:rsid w:val="00ED1706"/>
    <w:rsid w:val="00ED2ADF"/>
    <w:rsid w:val="00ED35F3"/>
    <w:rsid w:val="00ED4D05"/>
    <w:rsid w:val="00ED778C"/>
    <w:rsid w:val="00EE29DD"/>
    <w:rsid w:val="00EE3109"/>
    <w:rsid w:val="00EF1111"/>
    <w:rsid w:val="00EF1E6D"/>
    <w:rsid w:val="00EF423D"/>
    <w:rsid w:val="00EF4F26"/>
    <w:rsid w:val="00EF575A"/>
    <w:rsid w:val="00F00239"/>
    <w:rsid w:val="00F00490"/>
    <w:rsid w:val="00F018C2"/>
    <w:rsid w:val="00F0331C"/>
    <w:rsid w:val="00F03C19"/>
    <w:rsid w:val="00F047CB"/>
    <w:rsid w:val="00F050B1"/>
    <w:rsid w:val="00F0656C"/>
    <w:rsid w:val="00F06FB2"/>
    <w:rsid w:val="00F1235E"/>
    <w:rsid w:val="00F1381F"/>
    <w:rsid w:val="00F151C3"/>
    <w:rsid w:val="00F265B9"/>
    <w:rsid w:val="00F270CD"/>
    <w:rsid w:val="00F30AAB"/>
    <w:rsid w:val="00F30C75"/>
    <w:rsid w:val="00F33D3C"/>
    <w:rsid w:val="00F345AE"/>
    <w:rsid w:val="00F34D73"/>
    <w:rsid w:val="00F35D77"/>
    <w:rsid w:val="00F36B08"/>
    <w:rsid w:val="00F413B3"/>
    <w:rsid w:val="00F42AD9"/>
    <w:rsid w:val="00F47BE1"/>
    <w:rsid w:val="00F54F22"/>
    <w:rsid w:val="00F55090"/>
    <w:rsid w:val="00F60F91"/>
    <w:rsid w:val="00F61BE3"/>
    <w:rsid w:val="00F657C6"/>
    <w:rsid w:val="00F668AB"/>
    <w:rsid w:val="00F66C90"/>
    <w:rsid w:val="00F707CF"/>
    <w:rsid w:val="00F75C39"/>
    <w:rsid w:val="00F806E9"/>
    <w:rsid w:val="00F81CA7"/>
    <w:rsid w:val="00F85988"/>
    <w:rsid w:val="00F92C53"/>
    <w:rsid w:val="00F93C9A"/>
    <w:rsid w:val="00F94995"/>
    <w:rsid w:val="00F9756A"/>
    <w:rsid w:val="00F9758B"/>
    <w:rsid w:val="00FA078F"/>
    <w:rsid w:val="00FA1C99"/>
    <w:rsid w:val="00FA3D42"/>
    <w:rsid w:val="00FA55A5"/>
    <w:rsid w:val="00FA7759"/>
    <w:rsid w:val="00FB13B0"/>
    <w:rsid w:val="00FB2E80"/>
    <w:rsid w:val="00FB35BA"/>
    <w:rsid w:val="00FB68CB"/>
    <w:rsid w:val="00FB6A7A"/>
    <w:rsid w:val="00FC0493"/>
    <w:rsid w:val="00FC24F6"/>
    <w:rsid w:val="00FC6097"/>
    <w:rsid w:val="00FD2114"/>
    <w:rsid w:val="00FD2F3E"/>
    <w:rsid w:val="00FD5E7A"/>
    <w:rsid w:val="00FE5D2B"/>
    <w:rsid w:val="00FF0603"/>
    <w:rsid w:val="00FF0C05"/>
    <w:rsid w:val="00FF25FF"/>
    <w:rsid w:val="00FF4B99"/>
    <w:rsid w:val="00FF6ED2"/>
    <w:rsid w:val="00FF740A"/>
    <w:rsid w:val="018E0E0C"/>
    <w:rsid w:val="0287241E"/>
    <w:rsid w:val="03043A77"/>
    <w:rsid w:val="0325571E"/>
    <w:rsid w:val="033625F5"/>
    <w:rsid w:val="03574970"/>
    <w:rsid w:val="04590024"/>
    <w:rsid w:val="049D2F75"/>
    <w:rsid w:val="04C31B84"/>
    <w:rsid w:val="04D26E9E"/>
    <w:rsid w:val="04E3715E"/>
    <w:rsid w:val="051A6F67"/>
    <w:rsid w:val="05886106"/>
    <w:rsid w:val="06212BFD"/>
    <w:rsid w:val="06735849"/>
    <w:rsid w:val="06B92074"/>
    <w:rsid w:val="06F90155"/>
    <w:rsid w:val="070551F2"/>
    <w:rsid w:val="070C63F7"/>
    <w:rsid w:val="07786950"/>
    <w:rsid w:val="07901A00"/>
    <w:rsid w:val="08553625"/>
    <w:rsid w:val="08931856"/>
    <w:rsid w:val="08BB1DF8"/>
    <w:rsid w:val="093538AC"/>
    <w:rsid w:val="09B0461B"/>
    <w:rsid w:val="0B97108F"/>
    <w:rsid w:val="0BAA035B"/>
    <w:rsid w:val="0BEA0F20"/>
    <w:rsid w:val="0BF5465A"/>
    <w:rsid w:val="0C6B2C39"/>
    <w:rsid w:val="0C776CC6"/>
    <w:rsid w:val="0CA67994"/>
    <w:rsid w:val="0D0A77E7"/>
    <w:rsid w:val="0D3F72FE"/>
    <w:rsid w:val="0D904B48"/>
    <w:rsid w:val="0DA1776A"/>
    <w:rsid w:val="0ED07E5C"/>
    <w:rsid w:val="0EDE7171"/>
    <w:rsid w:val="0F2065EE"/>
    <w:rsid w:val="0F5D0D44"/>
    <w:rsid w:val="0FFD379E"/>
    <w:rsid w:val="10072DFF"/>
    <w:rsid w:val="10822A17"/>
    <w:rsid w:val="10B7123D"/>
    <w:rsid w:val="10C97709"/>
    <w:rsid w:val="10D64D2E"/>
    <w:rsid w:val="110E5E6F"/>
    <w:rsid w:val="11116C5B"/>
    <w:rsid w:val="1184087E"/>
    <w:rsid w:val="121D5045"/>
    <w:rsid w:val="12920A7E"/>
    <w:rsid w:val="12C5057B"/>
    <w:rsid w:val="13035F13"/>
    <w:rsid w:val="131706AB"/>
    <w:rsid w:val="15405C16"/>
    <w:rsid w:val="155332DF"/>
    <w:rsid w:val="15574260"/>
    <w:rsid w:val="158C5511"/>
    <w:rsid w:val="15FD2937"/>
    <w:rsid w:val="16123EFE"/>
    <w:rsid w:val="16690690"/>
    <w:rsid w:val="16C17241"/>
    <w:rsid w:val="16F91379"/>
    <w:rsid w:val="17733908"/>
    <w:rsid w:val="180A0F04"/>
    <w:rsid w:val="18513EBC"/>
    <w:rsid w:val="189A6965"/>
    <w:rsid w:val="193D26FB"/>
    <w:rsid w:val="19532DDA"/>
    <w:rsid w:val="1A466C29"/>
    <w:rsid w:val="1A6928FB"/>
    <w:rsid w:val="1A902044"/>
    <w:rsid w:val="1B080A85"/>
    <w:rsid w:val="1B621ACF"/>
    <w:rsid w:val="1B8A4AB4"/>
    <w:rsid w:val="1BAA1E50"/>
    <w:rsid w:val="1C201471"/>
    <w:rsid w:val="1D1F34F7"/>
    <w:rsid w:val="1D3E0CE0"/>
    <w:rsid w:val="1D8471E6"/>
    <w:rsid w:val="1E930118"/>
    <w:rsid w:val="1E993A1A"/>
    <w:rsid w:val="1EC71954"/>
    <w:rsid w:val="1EFF124F"/>
    <w:rsid w:val="1F481CE3"/>
    <w:rsid w:val="1F710593"/>
    <w:rsid w:val="1F81583C"/>
    <w:rsid w:val="1F9348AB"/>
    <w:rsid w:val="1FE021EC"/>
    <w:rsid w:val="20645539"/>
    <w:rsid w:val="20E436FF"/>
    <w:rsid w:val="20FE7AD2"/>
    <w:rsid w:val="213C3913"/>
    <w:rsid w:val="21F360D1"/>
    <w:rsid w:val="21F95284"/>
    <w:rsid w:val="224E3661"/>
    <w:rsid w:val="22B75DB9"/>
    <w:rsid w:val="22D4756C"/>
    <w:rsid w:val="23EE04E0"/>
    <w:rsid w:val="24290924"/>
    <w:rsid w:val="246B0AFE"/>
    <w:rsid w:val="24894380"/>
    <w:rsid w:val="25510D1B"/>
    <w:rsid w:val="25AB575C"/>
    <w:rsid w:val="25D00405"/>
    <w:rsid w:val="26033D87"/>
    <w:rsid w:val="261C0CC2"/>
    <w:rsid w:val="263D5D2A"/>
    <w:rsid w:val="26686E14"/>
    <w:rsid w:val="275763AD"/>
    <w:rsid w:val="279F6CF7"/>
    <w:rsid w:val="282F5285"/>
    <w:rsid w:val="2857083D"/>
    <w:rsid w:val="289A25AC"/>
    <w:rsid w:val="28A644E9"/>
    <w:rsid w:val="28D42E04"/>
    <w:rsid w:val="28E11370"/>
    <w:rsid w:val="29252844"/>
    <w:rsid w:val="294F0DD5"/>
    <w:rsid w:val="2A323E63"/>
    <w:rsid w:val="2A4C2F5C"/>
    <w:rsid w:val="2A617D97"/>
    <w:rsid w:val="2AA10D66"/>
    <w:rsid w:val="2ABA3D81"/>
    <w:rsid w:val="2BA05138"/>
    <w:rsid w:val="2C1B476C"/>
    <w:rsid w:val="2C3B2FF1"/>
    <w:rsid w:val="2C90115A"/>
    <w:rsid w:val="2D190E0B"/>
    <w:rsid w:val="2D741278"/>
    <w:rsid w:val="2D79212A"/>
    <w:rsid w:val="2D991D5F"/>
    <w:rsid w:val="2DAE12FF"/>
    <w:rsid w:val="2EA77318"/>
    <w:rsid w:val="2EC35AE2"/>
    <w:rsid w:val="2F0524FA"/>
    <w:rsid w:val="2F57455A"/>
    <w:rsid w:val="2F5915A2"/>
    <w:rsid w:val="2FB23B09"/>
    <w:rsid w:val="2FCA6176"/>
    <w:rsid w:val="2FCD67FF"/>
    <w:rsid w:val="304B1FAD"/>
    <w:rsid w:val="307F7AFA"/>
    <w:rsid w:val="30890F47"/>
    <w:rsid w:val="30FD3EF5"/>
    <w:rsid w:val="31710C89"/>
    <w:rsid w:val="32126C9F"/>
    <w:rsid w:val="32C16B24"/>
    <w:rsid w:val="33226E62"/>
    <w:rsid w:val="334D1FF2"/>
    <w:rsid w:val="340D5A37"/>
    <w:rsid w:val="34430D49"/>
    <w:rsid w:val="347E742F"/>
    <w:rsid w:val="34831CB7"/>
    <w:rsid w:val="34DB0694"/>
    <w:rsid w:val="35FC56A1"/>
    <w:rsid w:val="368A0B4B"/>
    <w:rsid w:val="371A0CB9"/>
    <w:rsid w:val="375D4352"/>
    <w:rsid w:val="37EB6733"/>
    <w:rsid w:val="37F75850"/>
    <w:rsid w:val="381B3983"/>
    <w:rsid w:val="381D0368"/>
    <w:rsid w:val="385B1FC7"/>
    <w:rsid w:val="38734C5B"/>
    <w:rsid w:val="38797C33"/>
    <w:rsid w:val="38F43835"/>
    <w:rsid w:val="39276560"/>
    <w:rsid w:val="397D1A60"/>
    <w:rsid w:val="398E0481"/>
    <w:rsid w:val="3AA0639B"/>
    <w:rsid w:val="3AC84793"/>
    <w:rsid w:val="3ADA70B4"/>
    <w:rsid w:val="3B273268"/>
    <w:rsid w:val="3B5E66F2"/>
    <w:rsid w:val="3C125404"/>
    <w:rsid w:val="3CD31AAF"/>
    <w:rsid w:val="3D1A1304"/>
    <w:rsid w:val="3D941C0F"/>
    <w:rsid w:val="3D9F4E18"/>
    <w:rsid w:val="3DAA4396"/>
    <w:rsid w:val="3DE85D94"/>
    <w:rsid w:val="3E462301"/>
    <w:rsid w:val="3EDFFAE6"/>
    <w:rsid w:val="3EF54672"/>
    <w:rsid w:val="3FA2630E"/>
    <w:rsid w:val="3FB679DC"/>
    <w:rsid w:val="3FC14450"/>
    <w:rsid w:val="3FDF935E"/>
    <w:rsid w:val="3FE16591"/>
    <w:rsid w:val="40C93247"/>
    <w:rsid w:val="40E77F3A"/>
    <w:rsid w:val="40FF740D"/>
    <w:rsid w:val="41077BCC"/>
    <w:rsid w:val="414541E6"/>
    <w:rsid w:val="41F04BEE"/>
    <w:rsid w:val="4265598C"/>
    <w:rsid w:val="42C9554C"/>
    <w:rsid w:val="43966807"/>
    <w:rsid w:val="43987A05"/>
    <w:rsid w:val="43BB2445"/>
    <w:rsid w:val="43DF3C9D"/>
    <w:rsid w:val="44692B43"/>
    <w:rsid w:val="44852962"/>
    <w:rsid w:val="449A0696"/>
    <w:rsid w:val="44F531E6"/>
    <w:rsid w:val="452758A3"/>
    <w:rsid w:val="455824F9"/>
    <w:rsid w:val="46FA7422"/>
    <w:rsid w:val="473A34D0"/>
    <w:rsid w:val="47457986"/>
    <w:rsid w:val="476D5F8A"/>
    <w:rsid w:val="483A627A"/>
    <w:rsid w:val="484658ED"/>
    <w:rsid w:val="48751960"/>
    <w:rsid w:val="48954272"/>
    <w:rsid w:val="48B5062C"/>
    <w:rsid w:val="49DC3DB7"/>
    <w:rsid w:val="4A290DBA"/>
    <w:rsid w:val="4A2C5955"/>
    <w:rsid w:val="4A7219E2"/>
    <w:rsid w:val="4ACB06C3"/>
    <w:rsid w:val="4AD56CD4"/>
    <w:rsid w:val="4AFE4ADE"/>
    <w:rsid w:val="4B020A9D"/>
    <w:rsid w:val="4B7B1CF9"/>
    <w:rsid w:val="4BC6655C"/>
    <w:rsid w:val="4BE62B26"/>
    <w:rsid w:val="4BF65AA9"/>
    <w:rsid w:val="4C0A7642"/>
    <w:rsid w:val="4C51306A"/>
    <w:rsid w:val="4C63134D"/>
    <w:rsid w:val="4D220F2E"/>
    <w:rsid w:val="4D507A9C"/>
    <w:rsid w:val="4D693BB4"/>
    <w:rsid w:val="4D8A6E8D"/>
    <w:rsid w:val="4E2E3285"/>
    <w:rsid w:val="4E2E37B1"/>
    <w:rsid w:val="4EE62727"/>
    <w:rsid w:val="4EE80403"/>
    <w:rsid w:val="4EF306D4"/>
    <w:rsid w:val="4F170983"/>
    <w:rsid w:val="4F46110D"/>
    <w:rsid w:val="4F9B5B7A"/>
    <w:rsid w:val="50D61B76"/>
    <w:rsid w:val="50D648FD"/>
    <w:rsid w:val="50E26F08"/>
    <w:rsid w:val="517E1131"/>
    <w:rsid w:val="519E0440"/>
    <w:rsid w:val="51B126C4"/>
    <w:rsid w:val="51F77D06"/>
    <w:rsid w:val="52281A9F"/>
    <w:rsid w:val="527630EB"/>
    <w:rsid w:val="52A32950"/>
    <w:rsid w:val="530103EA"/>
    <w:rsid w:val="5326127B"/>
    <w:rsid w:val="53655D4E"/>
    <w:rsid w:val="536B6DE8"/>
    <w:rsid w:val="53854638"/>
    <w:rsid w:val="53EB5322"/>
    <w:rsid w:val="53EF7E41"/>
    <w:rsid w:val="540F75BA"/>
    <w:rsid w:val="54230D9F"/>
    <w:rsid w:val="54386783"/>
    <w:rsid w:val="546F3C12"/>
    <w:rsid w:val="549A379D"/>
    <w:rsid w:val="54CA49C0"/>
    <w:rsid w:val="55096820"/>
    <w:rsid w:val="55196EFA"/>
    <w:rsid w:val="559B337F"/>
    <w:rsid w:val="566D36D8"/>
    <w:rsid w:val="56902358"/>
    <w:rsid w:val="57711738"/>
    <w:rsid w:val="582D239B"/>
    <w:rsid w:val="58773E14"/>
    <w:rsid w:val="58F46944"/>
    <w:rsid w:val="59032465"/>
    <w:rsid w:val="59600AC2"/>
    <w:rsid w:val="59903AD1"/>
    <w:rsid w:val="59B3A968"/>
    <w:rsid w:val="59DD6A27"/>
    <w:rsid w:val="5A4C16F5"/>
    <w:rsid w:val="5A5259F4"/>
    <w:rsid w:val="5A79204E"/>
    <w:rsid w:val="5AA9554E"/>
    <w:rsid w:val="5AB20E59"/>
    <w:rsid w:val="5B7B977C"/>
    <w:rsid w:val="5BCF3144"/>
    <w:rsid w:val="5BF26BDA"/>
    <w:rsid w:val="5BF8176B"/>
    <w:rsid w:val="5CD223FA"/>
    <w:rsid w:val="5CD53CBC"/>
    <w:rsid w:val="5CF65FFF"/>
    <w:rsid w:val="5CFF40E6"/>
    <w:rsid w:val="5D575E37"/>
    <w:rsid w:val="5DB32B57"/>
    <w:rsid w:val="5E6A4884"/>
    <w:rsid w:val="5EC7448C"/>
    <w:rsid w:val="5F4A15FE"/>
    <w:rsid w:val="5FA9610E"/>
    <w:rsid w:val="60493CF0"/>
    <w:rsid w:val="607C6D16"/>
    <w:rsid w:val="60A5089F"/>
    <w:rsid w:val="6171346B"/>
    <w:rsid w:val="61870689"/>
    <w:rsid w:val="61B77218"/>
    <w:rsid w:val="61D57599"/>
    <w:rsid w:val="61D856BC"/>
    <w:rsid w:val="620254C0"/>
    <w:rsid w:val="620D21CC"/>
    <w:rsid w:val="622A069B"/>
    <w:rsid w:val="62703949"/>
    <w:rsid w:val="62CC5ACB"/>
    <w:rsid w:val="632F4DE4"/>
    <w:rsid w:val="6333639E"/>
    <w:rsid w:val="634001E3"/>
    <w:rsid w:val="639D7A7F"/>
    <w:rsid w:val="63D64C03"/>
    <w:rsid w:val="63E411FE"/>
    <w:rsid w:val="640417AC"/>
    <w:rsid w:val="64612B1E"/>
    <w:rsid w:val="648144BF"/>
    <w:rsid w:val="648F0EB9"/>
    <w:rsid w:val="64C00050"/>
    <w:rsid w:val="658651FD"/>
    <w:rsid w:val="659530E7"/>
    <w:rsid w:val="65DE7F3A"/>
    <w:rsid w:val="65DF3D91"/>
    <w:rsid w:val="66227F7D"/>
    <w:rsid w:val="66CB6FCF"/>
    <w:rsid w:val="672150D8"/>
    <w:rsid w:val="677F14D1"/>
    <w:rsid w:val="67F8329A"/>
    <w:rsid w:val="686F7EBA"/>
    <w:rsid w:val="68776047"/>
    <w:rsid w:val="68D334F6"/>
    <w:rsid w:val="690566F1"/>
    <w:rsid w:val="692335F3"/>
    <w:rsid w:val="699B13B3"/>
    <w:rsid w:val="6A221B55"/>
    <w:rsid w:val="6A225C9D"/>
    <w:rsid w:val="6AD81683"/>
    <w:rsid w:val="6B116574"/>
    <w:rsid w:val="6B8425F1"/>
    <w:rsid w:val="6BCF4A72"/>
    <w:rsid w:val="6BE33A0E"/>
    <w:rsid w:val="6BE936B8"/>
    <w:rsid w:val="6C303D8F"/>
    <w:rsid w:val="6C533C48"/>
    <w:rsid w:val="6CF53FB2"/>
    <w:rsid w:val="6D062AED"/>
    <w:rsid w:val="6DE211D7"/>
    <w:rsid w:val="6E9C3B13"/>
    <w:rsid w:val="6F341910"/>
    <w:rsid w:val="6F382D18"/>
    <w:rsid w:val="6F9252C8"/>
    <w:rsid w:val="70221653"/>
    <w:rsid w:val="70250534"/>
    <w:rsid w:val="70451624"/>
    <w:rsid w:val="70543F20"/>
    <w:rsid w:val="70770E10"/>
    <w:rsid w:val="712B6AFB"/>
    <w:rsid w:val="718170E3"/>
    <w:rsid w:val="71F2433F"/>
    <w:rsid w:val="72272AFA"/>
    <w:rsid w:val="72AC7663"/>
    <w:rsid w:val="72E35621"/>
    <w:rsid w:val="730058B5"/>
    <w:rsid w:val="73B260DF"/>
    <w:rsid w:val="73F01043"/>
    <w:rsid w:val="73F966AE"/>
    <w:rsid w:val="740B35AF"/>
    <w:rsid w:val="74212D5B"/>
    <w:rsid w:val="74F86CE2"/>
    <w:rsid w:val="74FF3B82"/>
    <w:rsid w:val="7512368D"/>
    <w:rsid w:val="75190C92"/>
    <w:rsid w:val="75262BB8"/>
    <w:rsid w:val="752C512E"/>
    <w:rsid w:val="75BF662B"/>
    <w:rsid w:val="75D96CCB"/>
    <w:rsid w:val="75F3383A"/>
    <w:rsid w:val="762A53DF"/>
    <w:rsid w:val="7678411E"/>
    <w:rsid w:val="76BA6A6A"/>
    <w:rsid w:val="76EB4627"/>
    <w:rsid w:val="775F7730"/>
    <w:rsid w:val="779E6285"/>
    <w:rsid w:val="77B63818"/>
    <w:rsid w:val="77BC475C"/>
    <w:rsid w:val="77D575CC"/>
    <w:rsid w:val="783D7D90"/>
    <w:rsid w:val="788D4165"/>
    <w:rsid w:val="7936024F"/>
    <w:rsid w:val="796167A4"/>
    <w:rsid w:val="798D27DE"/>
    <w:rsid w:val="7A344A7E"/>
    <w:rsid w:val="7A85177D"/>
    <w:rsid w:val="7B340AAD"/>
    <w:rsid w:val="7BA934F5"/>
    <w:rsid w:val="7BFF7D9A"/>
    <w:rsid w:val="7C215D2C"/>
    <w:rsid w:val="7C2B0D47"/>
    <w:rsid w:val="7CB63402"/>
    <w:rsid w:val="7CCE54F0"/>
    <w:rsid w:val="7CE807F6"/>
    <w:rsid w:val="7D034183"/>
    <w:rsid w:val="7DA34796"/>
    <w:rsid w:val="7EA94669"/>
    <w:rsid w:val="7ECFE782"/>
    <w:rsid w:val="7F0C0FA9"/>
    <w:rsid w:val="7F3157BC"/>
    <w:rsid w:val="7F8E0A8E"/>
    <w:rsid w:val="7FCFB14E"/>
    <w:rsid w:val="AEBC67AD"/>
    <w:rsid w:val="BF5D0006"/>
    <w:rsid w:val="EF36BE25"/>
    <w:rsid w:val="FCFF7554"/>
    <w:rsid w:val="FE77A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1"/>
    <w:qFormat/>
    <w:uiPriority w:val="0"/>
    <w:pPr>
      <w:keepNext/>
      <w:keepLines/>
      <w:spacing w:before="100" w:beforeLines="100" w:after="50" w:afterLines="50" w:line="400" w:lineRule="exact"/>
      <w:jc w:val="center"/>
      <w:outlineLvl w:val="1"/>
    </w:pPr>
    <w:rPr>
      <w:rFonts w:ascii="Arial" w:hAnsi="Arial" w:eastAsia="黑体"/>
      <w:b/>
      <w:bCs/>
      <w:spacing w:val="14"/>
      <w:kern w:val="24"/>
      <w:sz w:val="32"/>
      <w:szCs w:val="20"/>
    </w:rPr>
  </w:style>
  <w:style w:type="paragraph" w:styleId="5">
    <w:name w:val="heading 3"/>
    <w:basedOn w:val="1"/>
    <w:next w:val="1"/>
    <w:link w:val="48"/>
    <w:unhideWhenUsed/>
    <w:qFormat/>
    <w:uiPriority w:val="0"/>
    <w:pPr>
      <w:keepNext/>
      <w:keepLines/>
      <w:spacing w:before="260" w:after="260" w:line="416" w:lineRule="auto"/>
      <w:outlineLvl w:val="2"/>
    </w:pPr>
    <w:rPr>
      <w:b/>
      <w:bCs/>
      <w:sz w:val="32"/>
      <w:szCs w:val="32"/>
    </w:rPr>
  </w:style>
  <w:style w:type="paragraph" w:styleId="6">
    <w:name w:val="heading 4"/>
    <w:basedOn w:val="1"/>
    <w:next w:val="1"/>
    <w:unhideWhenUsed/>
    <w:qFormat/>
    <w:uiPriority w:val="9"/>
    <w:pPr>
      <w:keepNext/>
      <w:widowControl/>
      <w:numPr>
        <w:ilvl w:val="3"/>
        <w:numId w:val="1"/>
      </w:numPr>
      <w:adjustRightInd w:val="0"/>
      <w:snapToGrid w:val="0"/>
      <w:spacing w:line="360" w:lineRule="auto"/>
      <w:jc w:val="left"/>
      <w:outlineLvl w:val="3"/>
    </w:pPr>
    <w:rPr>
      <w:rFonts w:eastAsia="黑体" w:cstheme="majorBidi"/>
      <w:bCs/>
      <w:sz w:val="24"/>
      <w:szCs w:val="28"/>
    </w:rPr>
  </w:style>
  <w:style w:type="paragraph" w:styleId="7">
    <w:name w:val="heading 5"/>
    <w:basedOn w:val="1"/>
    <w:next w:val="1"/>
    <w:link w:val="76"/>
    <w:qFormat/>
    <w:uiPriority w:val="0"/>
    <w:pPr>
      <w:keepNext/>
      <w:keepLines/>
      <w:numPr>
        <w:ilvl w:val="4"/>
        <w:numId w:val="1"/>
      </w:numPr>
      <w:adjustRightInd w:val="0"/>
      <w:snapToGrid w:val="0"/>
      <w:spacing w:line="360" w:lineRule="auto"/>
      <w:ind w:left="0"/>
      <w:jc w:val="left"/>
      <w:outlineLvl w:val="4"/>
    </w:pPr>
    <w:rPr>
      <w:rFonts w:eastAsia="黑体"/>
      <w:bCs/>
      <w:sz w:val="24"/>
      <w:szCs w:val="28"/>
    </w:rPr>
  </w:style>
  <w:style w:type="paragraph" w:styleId="8">
    <w:name w:val="heading 6"/>
    <w:basedOn w:val="1"/>
    <w:next w:val="1"/>
    <w:qFormat/>
    <w:uiPriority w:val="0"/>
    <w:pPr>
      <w:keepNext/>
      <w:keepLines/>
      <w:spacing w:before="120" w:after="120"/>
      <w:outlineLvl w:val="5"/>
    </w:pPr>
    <w:rPr>
      <w:rFonts w:ascii="宋体" w:hAnsi="宋体"/>
      <w:b/>
      <w:bCs/>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9">
    <w:name w:val="index 8"/>
    <w:basedOn w:val="1"/>
    <w:next w:val="1"/>
    <w:qFormat/>
    <w:uiPriority w:val="0"/>
    <w:pPr>
      <w:tabs>
        <w:tab w:val="left" w:pos="870"/>
      </w:tabs>
      <w:adjustRightInd w:val="0"/>
      <w:spacing w:line="360" w:lineRule="atLeast"/>
      <w:ind w:left="1400" w:leftChars="1400" w:firstLine="510"/>
      <w:textAlignment w:val="baseline"/>
    </w:pPr>
    <w:rPr>
      <w:color w:val="000000"/>
    </w:rPr>
  </w:style>
  <w:style w:type="paragraph" w:styleId="10">
    <w:name w:val="Normal Indent"/>
    <w:basedOn w:val="1"/>
    <w:next w:val="11"/>
    <w:qFormat/>
    <w:uiPriority w:val="0"/>
    <w:pPr>
      <w:ind w:firstLine="420" w:firstLineChars="200"/>
    </w:pPr>
  </w:style>
  <w:style w:type="paragraph" w:styleId="11">
    <w:name w:val="Closing"/>
    <w:basedOn w:val="1"/>
    <w:next w:val="1"/>
    <w:qFormat/>
    <w:uiPriority w:val="0"/>
    <w:pPr>
      <w:spacing w:line="360" w:lineRule="auto"/>
      <w:ind w:firstLine="883" w:firstLineChars="200"/>
      <w:jc w:val="left"/>
    </w:pPr>
    <w:rPr>
      <w:szCs w:val="21"/>
    </w:rPr>
  </w:style>
  <w:style w:type="paragraph" w:styleId="12">
    <w:name w:val="Document Map"/>
    <w:basedOn w:val="1"/>
    <w:link w:val="40"/>
    <w:qFormat/>
    <w:uiPriority w:val="0"/>
    <w:rPr>
      <w:rFonts w:ascii="宋体"/>
      <w:sz w:val="18"/>
      <w:szCs w:val="18"/>
    </w:rPr>
  </w:style>
  <w:style w:type="paragraph" w:styleId="13">
    <w:name w:val="annotation text"/>
    <w:basedOn w:val="1"/>
    <w:link w:val="46"/>
    <w:qFormat/>
    <w:uiPriority w:val="0"/>
    <w:pPr>
      <w:jc w:val="left"/>
    </w:pPr>
  </w:style>
  <w:style w:type="paragraph" w:styleId="14">
    <w:name w:val="Body Text Indent"/>
    <w:basedOn w:val="1"/>
    <w:next w:val="1"/>
    <w:unhideWhenUsed/>
    <w:qFormat/>
    <w:uiPriority w:val="99"/>
    <w:pPr>
      <w:adjustRightInd w:val="0"/>
      <w:ind w:firstLine="422"/>
    </w:pPr>
    <w:rPr>
      <w:rFonts w:ascii="Calibri" w:hAnsi="Calibri"/>
    </w:rPr>
  </w:style>
  <w:style w:type="paragraph" w:styleId="15">
    <w:name w:val="Plain Text"/>
    <w:basedOn w:val="1"/>
    <w:link w:val="55"/>
    <w:qFormat/>
    <w:uiPriority w:val="0"/>
    <w:rPr>
      <w:rFonts w:ascii="宋体" w:hAnsi="Courier New" w:eastAsiaTheme="minorEastAsia" w:cstheme="minorBidi"/>
    </w:rPr>
  </w:style>
  <w:style w:type="paragraph" w:styleId="16">
    <w:name w:val="Date"/>
    <w:basedOn w:val="1"/>
    <w:next w:val="1"/>
    <w:link w:val="44"/>
    <w:qFormat/>
    <w:uiPriority w:val="0"/>
    <w:pPr>
      <w:ind w:left="100" w:leftChars="2500"/>
    </w:pPr>
    <w:rPr>
      <w:b/>
      <w:bCs/>
      <w:sz w:val="30"/>
    </w:rPr>
  </w:style>
  <w:style w:type="paragraph" w:styleId="17">
    <w:name w:val="Balloon Text"/>
    <w:basedOn w:val="1"/>
    <w:link w:val="42"/>
    <w:qFormat/>
    <w:uiPriority w:val="0"/>
    <w:rPr>
      <w:sz w:val="18"/>
      <w:szCs w:val="18"/>
    </w:rPr>
  </w:style>
  <w:style w:type="paragraph" w:styleId="18">
    <w:name w:val="footer"/>
    <w:basedOn w:val="1"/>
    <w:link w:val="43"/>
    <w:qFormat/>
    <w:uiPriority w:val="99"/>
    <w:pPr>
      <w:tabs>
        <w:tab w:val="center" w:pos="4153"/>
        <w:tab w:val="right" w:pos="8306"/>
      </w:tabs>
      <w:snapToGrid w:val="0"/>
      <w:jc w:val="left"/>
    </w:pPr>
    <w:rPr>
      <w:sz w:val="18"/>
      <w:szCs w:val="18"/>
    </w:rPr>
  </w:style>
  <w:style w:type="paragraph" w:styleId="19">
    <w:name w:val="header"/>
    <w:basedOn w:val="1"/>
    <w:link w:val="39"/>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style>
  <w:style w:type="paragraph" w:styleId="21">
    <w:name w:val="Body Text Indent 3"/>
    <w:basedOn w:val="1"/>
    <w:qFormat/>
    <w:uiPriority w:val="0"/>
    <w:pPr>
      <w:spacing w:line="360" w:lineRule="auto"/>
      <w:ind w:left="540" w:leftChars="257" w:firstLine="420" w:firstLineChars="200"/>
    </w:pPr>
    <w:rPr>
      <w:rFonts w:ascii="宋体" w:hAnsi="宋体"/>
      <w:kern w:val="0"/>
      <w:sz w:val="20"/>
    </w:rPr>
  </w:style>
  <w:style w:type="paragraph" w:styleId="22">
    <w:name w:val="toc 2"/>
    <w:basedOn w:val="1"/>
    <w:next w:val="1"/>
    <w:qFormat/>
    <w:uiPriority w:val="39"/>
    <w:pPr>
      <w:ind w:left="420" w:leftChars="200"/>
    </w:pPr>
  </w:style>
  <w:style w:type="paragraph" w:styleId="23">
    <w:name w:val="Title"/>
    <w:basedOn w:val="1"/>
    <w:next w:val="1"/>
    <w:qFormat/>
    <w:uiPriority w:val="0"/>
    <w:pPr>
      <w:spacing w:before="240" w:after="60" w:line="360" w:lineRule="auto"/>
      <w:jc w:val="center"/>
      <w:outlineLvl w:val="0"/>
    </w:pPr>
    <w:rPr>
      <w:rFonts w:ascii="Arial" w:hAnsi="Arial" w:cs="Arial"/>
      <w:b/>
      <w:bCs/>
      <w:sz w:val="32"/>
      <w:szCs w:val="32"/>
    </w:rPr>
  </w:style>
  <w:style w:type="paragraph" w:styleId="24">
    <w:name w:val="annotation subject"/>
    <w:basedOn w:val="13"/>
    <w:next w:val="13"/>
    <w:link w:val="47"/>
    <w:qFormat/>
    <w:uiPriority w:val="0"/>
    <w:rPr>
      <w:b/>
      <w:bCs/>
    </w:rPr>
  </w:style>
  <w:style w:type="paragraph" w:styleId="25">
    <w:name w:val="Body Text First Indent"/>
    <w:basedOn w:val="2"/>
    <w:qFormat/>
    <w:uiPriority w:val="99"/>
    <w:pPr>
      <w:spacing w:line="259" w:lineRule="auto"/>
      <w:ind w:firstLine="420" w:firstLineChars="100"/>
    </w:pPr>
  </w:style>
  <w:style w:type="paragraph" w:styleId="26">
    <w:name w:val="Body Text First Indent 2"/>
    <w:basedOn w:val="14"/>
    <w:next w:val="25"/>
    <w:unhideWhenUsed/>
    <w:qFormat/>
    <w:uiPriority w:val="99"/>
    <w:pPr>
      <w:adjustRightInd/>
      <w:spacing w:after="120"/>
      <w:ind w:left="420" w:leftChars="200" w:firstLine="420"/>
    </w:pPr>
    <w:rPr>
      <w:rFonts w:ascii="等线" w:hAnsi="等线"/>
      <w:sz w:val="24"/>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basedOn w:val="29"/>
    <w:qFormat/>
    <w:uiPriority w:val="0"/>
  </w:style>
  <w:style w:type="character" w:styleId="31">
    <w:name w:val="Hyperlink"/>
    <w:basedOn w:val="29"/>
    <w:unhideWhenUsed/>
    <w:qFormat/>
    <w:uiPriority w:val="99"/>
    <w:rPr>
      <w:color w:val="0000FF" w:themeColor="hyperlink"/>
      <w:u w:val="single"/>
      <w14:textFill>
        <w14:solidFill>
          <w14:schemeClr w14:val="hlink"/>
        </w14:solidFill>
      </w14:textFill>
    </w:rPr>
  </w:style>
  <w:style w:type="character" w:styleId="32">
    <w:name w:val="annotation reference"/>
    <w:qFormat/>
    <w:uiPriority w:val="0"/>
    <w:rPr>
      <w:sz w:val="21"/>
      <w:szCs w:val="21"/>
    </w:rPr>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Char Char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35">
    <w:name w:val="C1正文表格标题"/>
    <w:basedOn w:val="1"/>
    <w:semiHidden/>
    <w:qFormat/>
    <w:uiPriority w:val="0"/>
    <w:pPr>
      <w:autoSpaceDE w:val="0"/>
      <w:autoSpaceDN w:val="0"/>
      <w:adjustRightInd w:val="0"/>
      <w:spacing w:line="360" w:lineRule="auto"/>
      <w:ind w:left="-1" w:leftChars="-1"/>
      <w:jc w:val="center"/>
      <w:textAlignment w:val="baseline"/>
    </w:pPr>
    <w:rPr>
      <w:b/>
    </w:rPr>
  </w:style>
  <w:style w:type="paragraph" w:customStyle="1" w:styleId="36">
    <w:name w:val="C2正文表格首列"/>
    <w:basedOn w:val="1"/>
    <w:semiHidden/>
    <w:qFormat/>
    <w:uiPriority w:val="0"/>
    <w:pPr>
      <w:autoSpaceDE w:val="0"/>
      <w:autoSpaceDN w:val="0"/>
      <w:adjustRightInd w:val="0"/>
      <w:textAlignment w:val="baseline"/>
    </w:pPr>
    <w:rPr>
      <w:b/>
      <w:szCs w:val="20"/>
    </w:rPr>
  </w:style>
  <w:style w:type="paragraph" w:customStyle="1" w:styleId="37">
    <w:name w:val="Char Char"/>
    <w:basedOn w:val="1"/>
    <w:qFormat/>
    <w:uiPriority w:val="0"/>
    <w:pPr>
      <w:snapToGrid w:val="0"/>
      <w:spacing w:line="440" w:lineRule="atLeast"/>
    </w:pPr>
    <w:rPr>
      <w:szCs w:val="20"/>
      <w:lang w:val="de-DE"/>
    </w:rPr>
  </w:style>
  <w:style w:type="paragraph" w:customStyle="1" w:styleId="38">
    <w:name w:val="_Style 21"/>
    <w:hidden/>
    <w:unhideWhenUsed/>
    <w:qFormat/>
    <w:uiPriority w:val="99"/>
    <w:rPr>
      <w:rFonts w:ascii="Times New Roman" w:hAnsi="Times New Roman" w:eastAsia="宋体" w:cs="Times New Roman"/>
      <w:kern w:val="2"/>
      <w:sz w:val="21"/>
      <w:szCs w:val="24"/>
      <w:lang w:val="en-US" w:eastAsia="zh-CN" w:bidi="ar-SA"/>
    </w:rPr>
  </w:style>
  <w:style w:type="character" w:customStyle="1" w:styleId="39">
    <w:name w:val="页眉 字符"/>
    <w:link w:val="19"/>
    <w:qFormat/>
    <w:uiPriority w:val="99"/>
    <w:rPr>
      <w:kern w:val="2"/>
      <w:sz w:val="18"/>
      <w:szCs w:val="18"/>
    </w:rPr>
  </w:style>
  <w:style w:type="character" w:customStyle="1" w:styleId="40">
    <w:name w:val="文档结构图 字符"/>
    <w:link w:val="12"/>
    <w:qFormat/>
    <w:uiPriority w:val="0"/>
    <w:rPr>
      <w:rFonts w:ascii="宋体"/>
      <w:kern w:val="2"/>
      <w:sz w:val="18"/>
      <w:szCs w:val="18"/>
    </w:rPr>
  </w:style>
  <w:style w:type="character" w:customStyle="1" w:styleId="41">
    <w:name w:val="标题 2 字符"/>
    <w:link w:val="4"/>
    <w:qFormat/>
    <w:uiPriority w:val="0"/>
    <w:rPr>
      <w:rFonts w:ascii="Arial" w:hAnsi="Arial" w:eastAsia="黑体"/>
      <w:b/>
      <w:bCs/>
      <w:spacing w:val="14"/>
      <w:kern w:val="24"/>
      <w:sz w:val="32"/>
    </w:rPr>
  </w:style>
  <w:style w:type="character" w:customStyle="1" w:styleId="42">
    <w:name w:val="批注框文本 字符"/>
    <w:link w:val="17"/>
    <w:qFormat/>
    <w:uiPriority w:val="0"/>
    <w:rPr>
      <w:kern w:val="2"/>
      <w:sz w:val="18"/>
      <w:szCs w:val="18"/>
    </w:rPr>
  </w:style>
  <w:style w:type="character" w:customStyle="1" w:styleId="43">
    <w:name w:val="页脚 字符"/>
    <w:link w:val="18"/>
    <w:qFormat/>
    <w:uiPriority w:val="99"/>
    <w:rPr>
      <w:kern w:val="2"/>
      <w:sz w:val="18"/>
      <w:szCs w:val="18"/>
    </w:rPr>
  </w:style>
  <w:style w:type="character" w:customStyle="1" w:styleId="44">
    <w:name w:val="日期 字符"/>
    <w:link w:val="16"/>
    <w:qFormat/>
    <w:uiPriority w:val="0"/>
    <w:rPr>
      <w:b/>
      <w:bCs/>
      <w:kern w:val="2"/>
      <w:sz w:val="30"/>
      <w:szCs w:val="24"/>
    </w:rPr>
  </w:style>
  <w:style w:type="character" w:customStyle="1" w:styleId="45">
    <w:name w:val="标题 1 字符"/>
    <w:link w:val="3"/>
    <w:qFormat/>
    <w:uiPriority w:val="0"/>
    <w:rPr>
      <w:b/>
      <w:bCs/>
      <w:kern w:val="44"/>
      <w:sz w:val="44"/>
      <w:szCs w:val="44"/>
    </w:rPr>
  </w:style>
  <w:style w:type="character" w:customStyle="1" w:styleId="46">
    <w:name w:val="批注文字 字符"/>
    <w:link w:val="13"/>
    <w:qFormat/>
    <w:uiPriority w:val="0"/>
    <w:rPr>
      <w:kern w:val="2"/>
      <w:sz w:val="21"/>
      <w:szCs w:val="24"/>
    </w:rPr>
  </w:style>
  <w:style w:type="character" w:customStyle="1" w:styleId="47">
    <w:name w:val="批注主题 字符"/>
    <w:link w:val="24"/>
    <w:qFormat/>
    <w:uiPriority w:val="0"/>
    <w:rPr>
      <w:b/>
      <w:bCs/>
      <w:kern w:val="2"/>
      <w:sz w:val="21"/>
      <w:szCs w:val="24"/>
    </w:rPr>
  </w:style>
  <w:style w:type="character" w:customStyle="1" w:styleId="48">
    <w:name w:val="标题 3 字符"/>
    <w:link w:val="5"/>
    <w:qFormat/>
    <w:uiPriority w:val="0"/>
    <w:rPr>
      <w:b/>
      <w:bCs/>
      <w:kern w:val="2"/>
      <w:sz w:val="32"/>
      <w:szCs w:val="32"/>
    </w:rPr>
  </w:style>
  <w:style w:type="paragraph" w:customStyle="1" w:styleId="49">
    <w:name w:val="正文1"/>
    <w:basedOn w:val="1"/>
    <w:qFormat/>
    <w:uiPriority w:val="0"/>
    <w:pPr>
      <w:widowControl/>
      <w:adjustRightInd w:val="0"/>
      <w:snapToGrid w:val="0"/>
      <w:spacing w:line="360" w:lineRule="auto"/>
      <w:jc w:val="center"/>
    </w:pPr>
    <w:rPr>
      <w:rFonts w:ascii="宋体" w:hAnsi="宋体" w:cs="宋体"/>
      <w:color w:val="000000"/>
      <w:kern w:val="0"/>
    </w:rPr>
  </w:style>
  <w:style w:type="paragraph" w:customStyle="1" w:styleId="50">
    <w:name w:val="Other|1"/>
    <w:basedOn w:val="1"/>
    <w:qFormat/>
    <w:uiPriority w:val="0"/>
    <w:rPr>
      <w:rFonts w:ascii="宋体" w:hAnsi="宋体" w:cs="宋体"/>
      <w:sz w:val="20"/>
      <w:szCs w:val="20"/>
    </w:rPr>
  </w:style>
  <w:style w:type="character" w:customStyle="1" w:styleId="51">
    <w:name w:val="font21"/>
    <w:basedOn w:val="29"/>
    <w:qFormat/>
    <w:uiPriority w:val="0"/>
    <w:rPr>
      <w:rFonts w:hint="eastAsia" w:ascii="宋体" w:hAnsi="宋体" w:eastAsia="宋体" w:cs="宋体"/>
      <w:color w:val="000000"/>
      <w:sz w:val="16"/>
      <w:szCs w:val="16"/>
      <w:u w:val="none"/>
    </w:rPr>
  </w:style>
  <w:style w:type="character" w:customStyle="1" w:styleId="52">
    <w:name w:val="font11"/>
    <w:basedOn w:val="29"/>
    <w:qFormat/>
    <w:uiPriority w:val="0"/>
    <w:rPr>
      <w:rFonts w:hint="eastAsia" w:ascii="宋体" w:hAnsi="宋体" w:eastAsia="宋体" w:cs="宋体"/>
      <w:b/>
      <w:color w:val="000000"/>
      <w:sz w:val="16"/>
      <w:szCs w:val="16"/>
      <w:u w:val="none"/>
    </w:rPr>
  </w:style>
  <w:style w:type="table" w:customStyle="1" w:styleId="53">
    <w:name w:val="网格型1"/>
    <w:basedOn w:val="27"/>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4">
    <w:name w:val="正文（标准）"/>
    <w:basedOn w:val="1"/>
    <w:next w:val="1"/>
    <w:semiHidden/>
    <w:qFormat/>
    <w:uiPriority w:val="0"/>
    <w:pPr>
      <w:ind w:firstLine="525"/>
    </w:pPr>
    <w:rPr>
      <w:rFonts w:ascii="宋体" w:hAnsi="宋体" w:eastAsiaTheme="minorEastAsia" w:cstheme="minorBidi"/>
    </w:rPr>
  </w:style>
  <w:style w:type="character" w:customStyle="1" w:styleId="55">
    <w:name w:val="纯文本 字符"/>
    <w:basedOn w:val="29"/>
    <w:link w:val="15"/>
    <w:qFormat/>
    <w:uiPriority w:val="0"/>
    <w:rPr>
      <w:rFonts w:ascii="宋体" w:hAnsi="Courier New" w:eastAsiaTheme="minorEastAsia" w:cstheme="minorBidi"/>
      <w:kern w:val="2"/>
      <w:sz w:val="21"/>
      <w:szCs w:val="24"/>
    </w:rPr>
  </w:style>
  <w:style w:type="paragraph" w:styleId="56">
    <w:name w:val="List Paragraph"/>
    <w:basedOn w:val="1"/>
    <w:link w:val="60"/>
    <w:qFormat/>
    <w:uiPriority w:val="99"/>
    <w:pPr>
      <w:ind w:firstLine="420" w:firstLineChars="200"/>
    </w:pPr>
    <w:rPr>
      <w:rFonts w:ascii="Arial" w:hAnsi="Arial"/>
      <w:sz w:val="24"/>
      <w:szCs w:val="20"/>
    </w:rPr>
  </w:style>
  <w:style w:type="character" w:customStyle="1" w:styleId="57">
    <w:name w:val="04二级标题 Char Char"/>
    <w:link w:val="58"/>
    <w:qFormat/>
    <w:uiPriority w:val="0"/>
    <w:rPr>
      <w:rFonts w:ascii="宋体" w:hAnsi="宋体" w:cs="宋体"/>
      <w:kern w:val="2"/>
      <w:sz w:val="24"/>
      <w:szCs w:val="32"/>
    </w:rPr>
  </w:style>
  <w:style w:type="paragraph" w:customStyle="1" w:styleId="58">
    <w:name w:val="04二级标题"/>
    <w:link w:val="57"/>
    <w:qFormat/>
    <w:uiPriority w:val="0"/>
    <w:pPr>
      <w:overflowPunct w:val="0"/>
      <w:autoSpaceDE w:val="0"/>
      <w:autoSpaceDN w:val="0"/>
      <w:spacing w:before="240" w:after="120" w:line="480" w:lineRule="exact"/>
      <w:ind w:left="601" w:hanging="601"/>
      <w:jc w:val="both"/>
      <w:textAlignment w:val="baseline"/>
      <w:outlineLvl w:val="2"/>
    </w:pPr>
    <w:rPr>
      <w:rFonts w:ascii="宋体" w:hAnsi="宋体" w:eastAsia="宋体" w:cs="宋体"/>
      <w:kern w:val="2"/>
      <w:sz w:val="24"/>
      <w:szCs w:val="32"/>
      <w:lang w:val="en-US" w:eastAsia="zh-CN" w:bidi="ar-SA"/>
    </w:rPr>
  </w:style>
  <w:style w:type="paragraph" w:customStyle="1" w:styleId="59">
    <w:name w:val="正文（缩进2字）"/>
    <w:basedOn w:val="56"/>
    <w:qFormat/>
    <w:uiPriority w:val="0"/>
    <w:pPr>
      <w:spacing w:beforeLines="50" w:afterLines="50" w:line="288" w:lineRule="auto"/>
      <w:ind w:firstLine="200"/>
      <w:jc w:val="left"/>
    </w:pPr>
    <w:rPr>
      <w:rFonts w:ascii="Calibri" w:hAnsi="Calibri"/>
      <w:szCs w:val="22"/>
    </w:rPr>
  </w:style>
  <w:style w:type="character" w:customStyle="1" w:styleId="60">
    <w:name w:val="列表段落 字符"/>
    <w:link w:val="56"/>
    <w:qFormat/>
    <w:uiPriority w:val="99"/>
    <w:rPr>
      <w:rFonts w:ascii="Arial" w:hAnsi="Arial"/>
      <w:kern w:val="2"/>
      <w:sz w:val="24"/>
    </w:rPr>
  </w:style>
  <w:style w:type="paragraph" w:customStyle="1" w:styleId="61">
    <w:name w:val="_Style 1"/>
    <w:basedOn w:val="1"/>
    <w:qFormat/>
    <w:uiPriority w:val="0"/>
    <w:pPr>
      <w:adjustRightInd w:val="0"/>
      <w:spacing w:line="360" w:lineRule="atLeast"/>
      <w:ind w:firstLine="420" w:firstLineChars="200"/>
      <w:textAlignment w:val="baseline"/>
    </w:pPr>
    <w:rPr>
      <w:sz w:val="24"/>
    </w:rPr>
  </w:style>
  <w:style w:type="paragraph" w:customStyle="1" w:styleId="62">
    <w:name w:val="Note"/>
    <w:basedOn w:val="10"/>
    <w:qFormat/>
    <w:uiPriority w:val="0"/>
    <w:pPr>
      <w:spacing w:before="180" w:after="72" w:line="360" w:lineRule="auto"/>
      <w:ind w:firstLine="476" w:firstLineChars="0"/>
      <w:jc w:val="center"/>
    </w:pPr>
    <w:rPr>
      <w:rFonts w:ascii="宋体" w:hAnsi="宋体"/>
      <w:b/>
      <w:szCs w:val="21"/>
    </w:rPr>
  </w:style>
  <w:style w:type="paragraph" w:customStyle="1" w:styleId="63">
    <w:name w:val="！正文"/>
    <w:basedOn w:val="1"/>
    <w:qFormat/>
    <w:uiPriority w:val="0"/>
    <w:pPr>
      <w:adjustRightInd w:val="0"/>
      <w:snapToGrid w:val="0"/>
      <w:spacing w:line="360" w:lineRule="auto"/>
      <w:ind w:firstLine="200" w:firstLineChars="200"/>
    </w:pPr>
    <w:rPr>
      <w:rFonts w:eastAsiaTheme="minorEastAsia"/>
      <w:sz w:val="24"/>
      <w:szCs w:val="20"/>
    </w:rPr>
  </w:style>
  <w:style w:type="character" w:customStyle="1" w:styleId="64">
    <w:name w:val="!正文 Char"/>
    <w:link w:val="65"/>
    <w:qFormat/>
    <w:locked/>
    <w:uiPriority w:val="0"/>
    <w:rPr>
      <w:sz w:val="24"/>
    </w:rPr>
  </w:style>
  <w:style w:type="paragraph" w:customStyle="1" w:styleId="65">
    <w:name w:val="!正文"/>
    <w:basedOn w:val="1"/>
    <w:link w:val="64"/>
    <w:qFormat/>
    <w:uiPriority w:val="0"/>
    <w:pPr>
      <w:adjustRightInd w:val="0"/>
      <w:snapToGrid w:val="0"/>
      <w:spacing w:line="360" w:lineRule="auto"/>
      <w:ind w:firstLine="200" w:firstLineChars="200"/>
    </w:pPr>
    <w:rPr>
      <w:kern w:val="0"/>
      <w:sz w:val="24"/>
      <w:szCs w:val="20"/>
    </w:rPr>
  </w:style>
  <w:style w:type="character" w:customStyle="1" w:styleId="66">
    <w:name w:val="标题 3 Char"/>
    <w:qFormat/>
    <w:uiPriority w:val="0"/>
    <w:rPr>
      <w:rFonts w:ascii="Roman PS" w:hAnsi="Roman PS" w:eastAsia="宋体"/>
      <w:kern w:val="2"/>
      <w:sz w:val="24"/>
      <w:lang w:val="en-US" w:eastAsia="zh-CN" w:bidi="ar-SA"/>
    </w:rPr>
  </w:style>
  <w:style w:type="paragraph" w:customStyle="1" w:styleId="67">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68">
    <w:name w:val="列出段落1"/>
    <w:basedOn w:val="1"/>
    <w:qFormat/>
    <w:uiPriority w:val="34"/>
    <w:pPr>
      <w:ind w:firstLine="420" w:firstLineChars="200"/>
    </w:pPr>
    <w:rPr>
      <w:rFonts w:ascii="Calibri" w:hAnsi="Calibri"/>
      <w:szCs w:val="22"/>
    </w:rPr>
  </w:style>
  <w:style w:type="paragraph" w:customStyle="1" w:styleId="69">
    <w:name w:val="*正文"/>
    <w:basedOn w:val="70"/>
    <w:qFormat/>
    <w:uiPriority w:val="0"/>
    <w:pPr>
      <w:spacing w:line="360" w:lineRule="auto"/>
      <w:ind w:firstLine="480"/>
      <w:jc w:val="left"/>
    </w:pPr>
    <w:rPr>
      <w:rFonts w:ascii="宋体" w:hAnsi="宋体"/>
      <w:kern w:val="0"/>
    </w:rPr>
  </w:style>
  <w:style w:type="paragraph" w:customStyle="1" w:styleId="70">
    <w:name w:val="列表段落1"/>
    <w:basedOn w:val="1"/>
    <w:qFormat/>
    <w:uiPriority w:val="99"/>
    <w:pPr>
      <w:ind w:firstLine="420" w:firstLineChars="200"/>
    </w:pPr>
  </w:style>
  <w:style w:type="table" w:customStyle="1" w:styleId="71">
    <w:name w:val="TableGrid"/>
    <w:qFormat/>
    <w:uiPriority w:val="0"/>
    <w:rPr>
      <w:rFonts w:asciiTheme="minorHAnsi" w:hAnsiTheme="minorHAnsi" w:eastAsiaTheme="minorEastAsia" w:cstheme="minorBidi"/>
    </w:rPr>
    <w:tblPr>
      <w:tblCellMar>
        <w:top w:w="0" w:type="dxa"/>
        <w:left w:w="0" w:type="dxa"/>
        <w:bottom w:w="0" w:type="dxa"/>
        <w:right w:w="0" w:type="dxa"/>
      </w:tblCellMar>
    </w:tblPr>
  </w:style>
  <w:style w:type="paragraph" w:customStyle="1" w:styleId="72">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73">
    <w:name w:val="临时2级"/>
    <w:basedOn w:val="4"/>
    <w:qFormat/>
    <w:uiPriority w:val="0"/>
    <w:pPr>
      <w:keepNext w:val="0"/>
      <w:keepLines w:val="0"/>
      <w:numPr>
        <w:ilvl w:val="1"/>
        <w:numId w:val="2"/>
      </w:numPr>
      <w:spacing w:before="0" w:beforeLines="0" w:after="0" w:afterLines="0" w:line="360" w:lineRule="auto"/>
      <w:jc w:val="both"/>
    </w:pPr>
    <w:rPr>
      <w:rFonts w:ascii="宋体" w:hAnsi="宋体" w:eastAsia="楷体_GB2312"/>
      <w:b w:val="0"/>
      <w:spacing w:val="0"/>
      <w:kern w:val="2"/>
      <w:sz w:val="24"/>
      <w:szCs w:val="24"/>
    </w:rPr>
  </w:style>
  <w:style w:type="paragraph" w:customStyle="1" w:styleId="74">
    <w:name w:val="3级标题1"/>
    <w:basedOn w:val="1"/>
    <w:next w:val="1"/>
    <w:qFormat/>
    <w:uiPriority w:val="0"/>
    <w:pPr>
      <w:numPr>
        <w:ilvl w:val="2"/>
        <w:numId w:val="2"/>
      </w:numPr>
      <w:spacing w:before="156" w:beforeLines="50" w:after="156" w:afterLines="50" w:line="360" w:lineRule="auto"/>
      <w:outlineLvl w:val="2"/>
    </w:pPr>
    <w:rPr>
      <w:rFonts w:eastAsia="楷体_GB2312"/>
      <w:b/>
      <w:sz w:val="24"/>
    </w:rPr>
  </w:style>
  <w:style w:type="paragraph" w:customStyle="1" w:styleId="75">
    <w:name w:val="1级标题1"/>
    <w:basedOn w:val="1"/>
    <w:next w:val="1"/>
    <w:qFormat/>
    <w:uiPriority w:val="0"/>
    <w:pPr>
      <w:numPr>
        <w:ilvl w:val="0"/>
        <w:numId w:val="2"/>
      </w:numPr>
      <w:outlineLvl w:val="0"/>
    </w:pPr>
    <w:rPr>
      <w:b/>
      <w:sz w:val="36"/>
    </w:rPr>
  </w:style>
  <w:style w:type="character" w:customStyle="1" w:styleId="76">
    <w:name w:val="标题 5 字符"/>
    <w:basedOn w:val="29"/>
    <w:link w:val="7"/>
    <w:qFormat/>
    <w:uiPriority w:val="0"/>
    <w:rPr>
      <w:rFonts w:eastAsia="黑体"/>
      <w:bCs/>
      <w:kern w:val="2"/>
      <w:sz w:val="24"/>
      <w:szCs w:val="28"/>
    </w:rPr>
  </w:style>
  <w:style w:type="paragraph" w:customStyle="1" w:styleId="77">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78">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79">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D8D9BA-3677-4775-93B4-49EA7A4BB17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4167</Words>
  <Characters>23758</Characters>
  <Lines>197</Lines>
  <Paragraphs>55</Paragraphs>
  <TotalTime>0</TotalTime>
  <ScaleCrop>false</ScaleCrop>
  <LinksUpToDate>false</LinksUpToDate>
  <CharactersWithSpaces>27870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2019-11-02T23:04:00Z</dcterms:created>
  <dc:creator>User</dc:creator>
  <cp:lastModifiedBy>SPICDT</cp:lastModifiedBy>
  <cp:lastPrinted>2010-08-19T19:32:00Z</cp:lastPrinted>
  <dcterms:modified xsi:type="dcterms:W3CDTF">2024-03-18T03:18:30Z</dcterms:modified>
  <dc:title>询 价 通 知</dc:title>
  <cp:revision>267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6D1D766FF173477497497E8FD8C3A9C1</vt:lpwstr>
  </property>
</Properties>
</file>