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5016A">
      <w:pPr>
        <w:pStyle w:val="27"/>
        <w:spacing w:line="360" w:lineRule="auto"/>
        <w:ind w:firstLine="0"/>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内蒙古自治区烟草公司鄂尔多斯市公司</w:t>
      </w:r>
    </w:p>
    <w:p w14:paraId="4084559B">
      <w:pPr>
        <w:pStyle w:val="27"/>
        <w:spacing w:line="360" w:lineRule="auto"/>
        <w:ind w:firstLine="0"/>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视频会议设备维保合同</w:t>
      </w:r>
    </w:p>
    <w:p w14:paraId="1B62BE75">
      <w:pPr>
        <w:widowControl/>
        <w:jc w:val="center"/>
        <w:rPr>
          <w:rFonts w:ascii="方正小标宋简体" w:hAnsi="宋体" w:eastAsia="方正小标宋简体"/>
          <w:sz w:val="52"/>
          <w:szCs w:val="52"/>
        </w:rPr>
      </w:pPr>
    </w:p>
    <w:p w14:paraId="3D5F952A">
      <w:pPr>
        <w:rPr>
          <w:rFonts w:ascii="Times New Roman" w:hAnsi="Times New Roman" w:eastAsiaTheme="minorEastAsia"/>
        </w:rPr>
      </w:pPr>
    </w:p>
    <w:p w14:paraId="6D53A986">
      <w:pPr>
        <w:jc w:val="center"/>
        <w:rPr>
          <w:rFonts w:ascii="Times New Roman" w:hAnsi="Times New Roman" w:eastAsiaTheme="minorEastAsia"/>
          <w:sz w:val="32"/>
          <w:szCs w:val="32"/>
        </w:rPr>
      </w:pPr>
      <w:bookmarkStart w:id="0" w:name="_Toc495055721"/>
      <w:r>
        <w:rPr>
          <w:rFonts w:ascii="Times New Roman" w:hAnsi="Times New Roman" w:eastAsiaTheme="minorEastAsia"/>
          <w:sz w:val="32"/>
          <w:szCs w:val="32"/>
        </w:rPr>
        <w:t>（合同编号：</w:t>
      </w:r>
      <w:r>
        <w:rPr>
          <w:rFonts w:hint="eastAsia" w:ascii="Times New Roman" w:hAnsi="Times New Roman" w:eastAsiaTheme="minorEastAsia"/>
          <w:sz w:val="32"/>
          <w:szCs w:val="32"/>
        </w:rPr>
        <w:t xml:space="preserve">  </w:t>
      </w:r>
      <w:r>
        <w:rPr>
          <w:rFonts w:ascii="Times New Roman" w:hAnsi="Times New Roman" w:eastAsiaTheme="minorEastAsia"/>
          <w:sz w:val="32"/>
          <w:szCs w:val="32"/>
        </w:rPr>
        <w:t>）</w:t>
      </w:r>
      <w:bookmarkEnd w:id="0"/>
    </w:p>
    <w:p w14:paraId="572A3DB4">
      <w:pPr>
        <w:rPr>
          <w:rFonts w:ascii="Times New Roman" w:hAnsi="Times New Roman" w:eastAsiaTheme="minorEastAsia"/>
        </w:rPr>
      </w:pPr>
    </w:p>
    <w:p w14:paraId="3C428C5C">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合</w:t>
      </w:r>
    </w:p>
    <w:p w14:paraId="6F3F79BE">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同</w:t>
      </w:r>
    </w:p>
    <w:p w14:paraId="25640627">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书</w:t>
      </w:r>
    </w:p>
    <w:p w14:paraId="4D3BAA3E">
      <w:pPr>
        <w:ind w:firstLine="2940" w:firstLineChars="1050"/>
        <w:rPr>
          <w:rFonts w:ascii="Times New Roman" w:hAnsi="Times New Roman" w:eastAsiaTheme="minorEastAsia"/>
          <w:sz w:val="28"/>
          <w:szCs w:val="28"/>
        </w:rPr>
      </w:pPr>
    </w:p>
    <w:p w14:paraId="31F844B4">
      <w:pPr>
        <w:rPr>
          <w:rFonts w:ascii="Times New Roman" w:hAnsi="Times New Roman" w:eastAsiaTheme="minorEastAsia"/>
        </w:rPr>
      </w:pPr>
    </w:p>
    <w:p w14:paraId="09D18020">
      <w:pPr>
        <w:rPr>
          <w:rFonts w:ascii="Times New Roman" w:hAnsi="Times New Roman" w:eastAsiaTheme="minorEastAsia"/>
        </w:rPr>
      </w:pPr>
    </w:p>
    <w:p w14:paraId="54AF2E79">
      <w:pPr>
        <w:rPr>
          <w:rFonts w:ascii="Times New Roman" w:hAnsi="Times New Roman" w:eastAsiaTheme="minorEastAsia"/>
        </w:rPr>
      </w:pPr>
    </w:p>
    <w:p w14:paraId="657804A4">
      <w:pPr>
        <w:ind w:firstLine="2940" w:firstLineChars="1050"/>
        <w:rPr>
          <w:rFonts w:ascii="Times New Roman" w:hAnsi="Times New Roman" w:eastAsiaTheme="minorEastAsia"/>
          <w:sz w:val="28"/>
          <w:szCs w:val="28"/>
        </w:rPr>
      </w:pPr>
    </w:p>
    <w:p w14:paraId="33380744">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甲方</w:t>
      </w:r>
      <w:r>
        <w:rPr>
          <w:rFonts w:ascii="Times New Roman" w:hAnsi="Times New Roman" w:eastAsiaTheme="minorEastAsia"/>
          <w:b/>
          <w:spacing w:val="20"/>
          <w:sz w:val="32"/>
          <w:szCs w:val="32"/>
        </w:rPr>
        <w:t>：</w:t>
      </w:r>
      <w:r>
        <w:rPr>
          <w:rFonts w:hint="eastAsia" w:ascii="Times New Roman" w:hAnsi="Times New Roman" w:eastAsiaTheme="minorEastAsia"/>
          <w:sz w:val="32"/>
          <w:szCs w:val="32"/>
          <w:u w:val="single"/>
        </w:rPr>
        <w:t>北京创联致信科技有限公司</w:t>
      </w:r>
    </w:p>
    <w:p w14:paraId="702B7BB5">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乙方</w:t>
      </w:r>
      <w:r>
        <w:rPr>
          <w:rFonts w:ascii="Times New Roman" w:hAnsi="Times New Roman" w:eastAsiaTheme="minorEastAsia"/>
          <w:b/>
          <w:spacing w:val="20"/>
          <w:sz w:val="32"/>
          <w:szCs w:val="32"/>
        </w:rPr>
        <w:t>：</w:t>
      </w:r>
      <w:r>
        <w:rPr>
          <w:rFonts w:hint="eastAsia" w:ascii="Times New Roman" w:hAnsi="Times New Roman" w:eastAsiaTheme="minorEastAsia"/>
          <w:b w:val="0"/>
          <w:bCs/>
          <w:spacing w:val="20"/>
          <w:sz w:val="32"/>
          <w:szCs w:val="32"/>
          <w:u w:val="single"/>
        </w:rPr>
        <w:t>北京垚鑫同创科技有限公司</w:t>
      </w:r>
      <w:r>
        <w:rPr>
          <w:rFonts w:hint="eastAsia" w:ascii="Times New Roman" w:hAnsi="Times New Roman" w:eastAsiaTheme="minorEastAsia"/>
          <w:sz w:val="32"/>
          <w:szCs w:val="32"/>
          <w:u w:val="single"/>
        </w:rPr>
        <w:t xml:space="preserve"> </w:t>
      </w:r>
    </w:p>
    <w:p w14:paraId="6E8B86BF">
      <w:pPr>
        <w:spacing w:line="360" w:lineRule="auto"/>
        <w:ind w:firstLine="800" w:firstLineChars="250"/>
        <w:rPr>
          <w:rFonts w:hint="eastAsia" w:ascii="Times New Roman" w:hAnsi="Times New Roman" w:eastAsiaTheme="minorEastAsia"/>
          <w:spacing w:val="44"/>
          <w:kern w:val="11"/>
          <w:sz w:val="32"/>
          <w:szCs w:val="32"/>
          <w:lang w:eastAsia="zh-CN"/>
        </w:rPr>
      </w:pPr>
      <w:r>
        <w:rPr>
          <w:rFonts w:ascii="Times New Roman" w:hAnsi="Times New Roman" w:eastAsiaTheme="minorEastAsia"/>
          <w:sz w:val="32"/>
          <w:szCs w:val="32"/>
        </w:rPr>
        <w:t>签订地点</w:t>
      </w:r>
      <w:r>
        <w:rPr>
          <w:rFonts w:ascii="Times New Roman" w:hAnsi="Times New Roman" w:eastAsiaTheme="minorEastAsia"/>
          <w:b/>
          <w:spacing w:val="20"/>
          <w:sz w:val="32"/>
          <w:szCs w:val="32"/>
        </w:rPr>
        <w:t>：</w:t>
      </w:r>
      <w:r>
        <w:rPr>
          <w:rFonts w:hint="eastAsia" w:ascii="Times New Roman" w:hAnsi="Times New Roman" w:eastAsiaTheme="minorEastAsia"/>
          <w:sz w:val="32"/>
          <w:szCs w:val="32"/>
          <w:u w:val="single"/>
          <w:lang w:val="en-US" w:eastAsia="zh-CN"/>
        </w:rPr>
        <w:t>北京市</w:t>
      </w:r>
    </w:p>
    <w:p w14:paraId="6387DBDC">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签订日期</w:t>
      </w:r>
      <w:r>
        <w:rPr>
          <w:rFonts w:ascii="Times New Roman" w:hAnsi="Times New Roman" w:eastAsiaTheme="minorEastAsia"/>
          <w:b/>
          <w:spacing w:val="20"/>
          <w:sz w:val="32"/>
          <w:szCs w:val="32"/>
        </w:rPr>
        <w:t>：</w:t>
      </w:r>
      <w:r>
        <w:rPr>
          <w:rFonts w:ascii="Times New Roman" w:hAnsi="Times New Roman" w:eastAsiaTheme="minorEastAsia"/>
          <w:sz w:val="32"/>
          <w:szCs w:val="32"/>
          <w:u w:val="single"/>
        </w:rPr>
        <w:t>20</w:t>
      </w:r>
      <w:r>
        <w:rPr>
          <w:rFonts w:hint="eastAsia" w:ascii="Times New Roman" w:hAnsi="Times New Roman" w:eastAsiaTheme="minorEastAsia"/>
          <w:sz w:val="32"/>
          <w:szCs w:val="32"/>
          <w:u w:val="single"/>
          <w:lang w:val="en-US" w:eastAsia="zh-CN"/>
        </w:rPr>
        <w:t>23</w:t>
      </w:r>
      <w:r>
        <w:rPr>
          <w:rFonts w:ascii="Times New Roman" w:hAnsi="Times New Roman" w:eastAsiaTheme="minorEastAsia"/>
          <w:sz w:val="32"/>
          <w:szCs w:val="32"/>
          <w:u w:val="single"/>
        </w:rPr>
        <w:t>年   月    日</w:t>
      </w:r>
    </w:p>
    <w:p w14:paraId="3899E9E2">
      <w:pPr>
        <w:rPr>
          <w:rFonts w:ascii="宋体" w:hAnsi="宋体"/>
          <w:sz w:val="24"/>
          <w:szCs w:val="24"/>
          <w:highlight w:val="yellow"/>
        </w:rPr>
      </w:pPr>
      <w:r>
        <w:rPr>
          <w:rFonts w:ascii="宋体" w:hAnsi="宋体"/>
          <w:sz w:val="24"/>
          <w:szCs w:val="24"/>
          <w:highlight w:val="yellow"/>
        </w:rPr>
        <w:br w:type="page"/>
      </w:r>
    </w:p>
    <w:p w14:paraId="2E1D5AA7">
      <w:pPr>
        <w:pStyle w:val="2"/>
      </w:pPr>
    </w:p>
    <w:p w14:paraId="55ED1882">
      <w:pPr>
        <w:widowControl/>
        <w:spacing w:line="360" w:lineRule="auto"/>
        <w:jc w:val="left"/>
        <w:rPr>
          <w:rFonts w:ascii="宋体" w:hAnsi="宋体"/>
          <w:sz w:val="24"/>
          <w:szCs w:val="24"/>
        </w:rPr>
      </w:pPr>
      <w:r>
        <w:rPr>
          <w:rFonts w:hint="eastAsia" w:ascii="宋体" w:hAnsi="宋体"/>
          <w:sz w:val="24"/>
          <w:szCs w:val="24"/>
        </w:rPr>
        <w:t>合同编号：</w:t>
      </w:r>
    </w:p>
    <w:p w14:paraId="1C3849F0">
      <w:pPr>
        <w:widowControl/>
        <w:spacing w:line="360" w:lineRule="auto"/>
        <w:jc w:val="left"/>
        <w:rPr>
          <w:rFonts w:ascii="宋体" w:hAnsi="宋体"/>
          <w:sz w:val="24"/>
          <w:szCs w:val="24"/>
        </w:rPr>
      </w:pPr>
      <w:r>
        <w:rPr>
          <w:rFonts w:hint="eastAsia" w:ascii="宋体" w:hAnsi="宋体"/>
          <w:sz w:val="24"/>
          <w:szCs w:val="24"/>
        </w:rPr>
        <w:t>签订合同日期：</w:t>
      </w:r>
      <w:r>
        <w:rPr>
          <w:rFonts w:ascii="宋体" w:hAnsi="宋体"/>
          <w:sz w:val="24"/>
          <w:szCs w:val="24"/>
        </w:rPr>
        <w:t>20</w:t>
      </w:r>
      <w:r>
        <w:rPr>
          <w:rFonts w:hint="eastAsia" w:ascii="宋体" w:hAnsi="宋体"/>
          <w:sz w:val="24"/>
          <w:szCs w:val="24"/>
          <w:lang w:val="en-US" w:eastAsia="zh-CN"/>
        </w:rPr>
        <w:t>23</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14:paraId="3A12AA57">
      <w:pPr>
        <w:widowControl/>
        <w:spacing w:line="360" w:lineRule="auto"/>
        <w:jc w:val="left"/>
        <w:rPr>
          <w:rFonts w:ascii="宋体" w:hAnsi="宋体"/>
          <w:sz w:val="24"/>
          <w:szCs w:val="24"/>
        </w:rPr>
      </w:pPr>
      <w:r>
        <w:rPr>
          <w:rFonts w:hint="eastAsia" w:ascii="宋体" w:hAnsi="宋体"/>
          <w:sz w:val="24"/>
          <w:szCs w:val="24"/>
        </w:rPr>
        <w:t>签订合同地点：内蒙古自治区鄂尔多斯市东胜区新奥路9号</w:t>
      </w:r>
    </w:p>
    <w:p w14:paraId="1A95142C">
      <w:pPr>
        <w:widowControl/>
        <w:spacing w:line="360" w:lineRule="auto"/>
        <w:jc w:val="left"/>
        <w:rPr>
          <w:rFonts w:ascii="宋体" w:hAnsi="宋体"/>
          <w:sz w:val="24"/>
          <w:szCs w:val="24"/>
        </w:rPr>
      </w:pPr>
    </w:p>
    <w:p w14:paraId="20BDBDC8">
      <w:pPr>
        <w:widowControl/>
        <w:spacing w:line="360" w:lineRule="auto"/>
        <w:jc w:val="left"/>
        <w:rPr>
          <w:rFonts w:ascii="宋体" w:hAnsi="宋体"/>
          <w:sz w:val="24"/>
          <w:szCs w:val="24"/>
        </w:rPr>
      </w:pPr>
      <w:r>
        <w:rPr>
          <w:rFonts w:hint="eastAsia" w:ascii="宋体" w:hAnsi="宋体"/>
          <w:sz w:val="24"/>
          <w:szCs w:val="24"/>
        </w:rPr>
        <w:t>合同双方：</w:t>
      </w:r>
    </w:p>
    <w:p w14:paraId="222C97D8">
      <w:pPr>
        <w:widowControl/>
        <w:spacing w:line="360" w:lineRule="auto"/>
        <w:jc w:val="left"/>
        <w:rPr>
          <w:rFonts w:hint="eastAsia" w:ascii="宋体" w:hAnsi="宋体" w:eastAsia="宋体"/>
          <w:sz w:val="24"/>
          <w:szCs w:val="24"/>
          <w:lang w:eastAsia="zh-CN"/>
        </w:rPr>
      </w:pPr>
      <w:r>
        <w:rPr>
          <w:rFonts w:hint="eastAsia" w:ascii="宋体" w:hAnsi="宋体"/>
          <w:sz w:val="24"/>
          <w:szCs w:val="24"/>
        </w:rPr>
        <w:t>甲</w:t>
      </w:r>
      <w:r>
        <w:rPr>
          <w:rFonts w:ascii="宋体" w:hAnsi="宋体"/>
          <w:sz w:val="24"/>
          <w:szCs w:val="24"/>
        </w:rPr>
        <w:t xml:space="preserve">  方：</w:t>
      </w:r>
      <w:r>
        <w:rPr>
          <w:rFonts w:hint="eastAsia" w:ascii="宋体" w:hAnsi="宋体"/>
          <w:sz w:val="24"/>
          <w:szCs w:val="24"/>
          <w:lang w:val="en-US" w:eastAsia="zh-CN"/>
        </w:rPr>
        <w:t>北京创联致信科技有限公司</w:t>
      </w:r>
    </w:p>
    <w:p w14:paraId="698D9166">
      <w:pPr>
        <w:widowControl/>
        <w:spacing w:line="360" w:lineRule="auto"/>
        <w:jc w:val="left"/>
        <w:rPr>
          <w:rFonts w:hint="default" w:ascii="宋体" w:hAnsi="宋体"/>
          <w:sz w:val="24"/>
          <w:szCs w:val="24"/>
          <w:lang w:val="en-US"/>
        </w:rPr>
      </w:pPr>
      <w:r>
        <w:rPr>
          <w:rFonts w:hint="eastAsia" w:ascii="宋体" w:hAnsi="宋体"/>
          <w:sz w:val="24"/>
          <w:szCs w:val="24"/>
        </w:rPr>
        <w:t>住所地：</w:t>
      </w:r>
      <w:r>
        <w:rPr>
          <w:rFonts w:hint="eastAsia" w:ascii="宋体" w:hAnsi="宋体"/>
          <w:sz w:val="24"/>
          <w:szCs w:val="24"/>
          <w:lang w:val="en-US" w:eastAsia="zh-CN"/>
        </w:rPr>
        <w:t>北京市朝阳区小营北路19号裕发大厦201</w:t>
      </w:r>
    </w:p>
    <w:p w14:paraId="607687A6">
      <w:pPr>
        <w:widowControl/>
        <w:spacing w:line="360" w:lineRule="auto"/>
        <w:jc w:val="left"/>
        <w:rPr>
          <w:rFonts w:hint="eastAsia" w:ascii="宋体" w:hAnsi="宋体" w:eastAsia="宋体"/>
          <w:sz w:val="24"/>
          <w:szCs w:val="24"/>
          <w:lang w:val="en-US" w:eastAsia="zh-CN"/>
        </w:rPr>
      </w:pPr>
      <w:r>
        <w:rPr>
          <w:rFonts w:hint="eastAsia" w:ascii="宋体" w:hAnsi="宋体"/>
          <w:sz w:val="24"/>
          <w:szCs w:val="24"/>
        </w:rPr>
        <w:t>法定代表人：</w:t>
      </w:r>
      <w:r>
        <w:rPr>
          <w:rFonts w:hint="eastAsia" w:ascii="宋体" w:hAnsi="宋体"/>
          <w:sz w:val="24"/>
          <w:szCs w:val="24"/>
          <w:lang w:val="en-US" w:eastAsia="zh-CN"/>
        </w:rPr>
        <w:t>蔡建</w:t>
      </w:r>
    </w:p>
    <w:p w14:paraId="6002C3DF">
      <w:pPr>
        <w:widowControl/>
        <w:spacing w:line="360" w:lineRule="auto"/>
        <w:jc w:val="left"/>
        <w:rPr>
          <w:rFonts w:hint="eastAsia" w:ascii="宋体" w:hAnsi="宋体" w:eastAsia="宋体"/>
          <w:sz w:val="24"/>
          <w:szCs w:val="24"/>
          <w:lang w:eastAsia="zh-CN"/>
        </w:rPr>
      </w:pPr>
      <w:r>
        <w:rPr>
          <w:rFonts w:hint="eastAsia" w:ascii="宋体" w:hAnsi="宋体"/>
          <w:sz w:val="24"/>
          <w:szCs w:val="24"/>
        </w:rPr>
        <w:t>项目联系人：</w:t>
      </w:r>
      <w:r>
        <w:rPr>
          <w:rFonts w:hint="eastAsia" w:ascii="宋体" w:hAnsi="宋体"/>
          <w:sz w:val="24"/>
          <w:szCs w:val="24"/>
          <w:lang w:val="en-US" w:eastAsia="zh-CN"/>
        </w:rPr>
        <w:t>刘建军</w:t>
      </w:r>
    </w:p>
    <w:p w14:paraId="55F2AD2A">
      <w:pPr>
        <w:widowControl/>
        <w:spacing w:line="360" w:lineRule="auto"/>
        <w:jc w:val="left"/>
        <w:rPr>
          <w:rFonts w:hint="default" w:ascii="宋体" w:hAnsi="宋体"/>
          <w:sz w:val="24"/>
          <w:szCs w:val="24"/>
          <w:lang w:val="en-US"/>
        </w:rPr>
      </w:pPr>
      <w:r>
        <w:rPr>
          <w:rFonts w:hint="eastAsia" w:ascii="宋体" w:hAnsi="宋体"/>
          <w:sz w:val="24"/>
          <w:szCs w:val="24"/>
        </w:rPr>
        <w:t>通讯地址：</w:t>
      </w:r>
      <w:r>
        <w:rPr>
          <w:rFonts w:hint="eastAsia" w:ascii="宋体" w:hAnsi="宋体"/>
          <w:sz w:val="24"/>
          <w:szCs w:val="24"/>
          <w:lang w:val="en-US" w:eastAsia="zh-CN"/>
        </w:rPr>
        <w:t>北京市朝阳区小营北路19号裕发大厦201</w:t>
      </w:r>
    </w:p>
    <w:p w14:paraId="3C4B6FA4">
      <w:pPr>
        <w:widowControl/>
        <w:spacing w:line="360" w:lineRule="auto"/>
        <w:jc w:val="left"/>
        <w:rPr>
          <w:rFonts w:hint="default" w:ascii="宋体" w:hAnsi="宋体" w:eastAsia="宋体"/>
          <w:sz w:val="24"/>
          <w:szCs w:val="24"/>
          <w:lang w:val="en-US" w:eastAsia="zh-CN"/>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val="en-US" w:eastAsia="zh-CN"/>
        </w:rPr>
        <w:t>010-82746952</w:t>
      </w:r>
    </w:p>
    <w:p w14:paraId="3B3BCAE5">
      <w:pPr>
        <w:widowControl/>
        <w:spacing w:line="360" w:lineRule="auto"/>
        <w:jc w:val="left"/>
        <w:rPr>
          <w:rFonts w:ascii="宋体" w:hAnsi="宋体"/>
          <w:sz w:val="24"/>
          <w:szCs w:val="24"/>
        </w:rPr>
      </w:pPr>
      <w:r>
        <w:rPr>
          <w:rFonts w:hint="eastAsia" w:ascii="宋体" w:hAnsi="宋体"/>
          <w:sz w:val="24"/>
          <w:szCs w:val="24"/>
        </w:rPr>
        <w:t xml:space="preserve">电子信箱：  </w:t>
      </w:r>
    </w:p>
    <w:p w14:paraId="1D4908E8"/>
    <w:p w14:paraId="2DCE71C2"/>
    <w:p w14:paraId="02C30A54"/>
    <w:p w14:paraId="50FE1AA3">
      <w:pPr>
        <w:widowControl/>
        <w:spacing w:line="360" w:lineRule="auto"/>
        <w:jc w:val="left"/>
        <w:rPr>
          <w:rFonts w:ascii="宋体" w:hAnsi="宋体"/>
          <w:sz w:val="24"/>
          <w:szCs w:val="24"/>
        </w:rPr>
      </w:pPr>
      <w:r>
        <w:rPr>
          <w:rFonts w:hint="eastAsia" w:ascii="宋体" w:hAnsi="宋体"/>
          <w:sz w:val="24"/>
          <w:szCs w:val="24"/>
        </w:rPr>
        <w:t>乙  方：北京垚鑫同创科技有限公司</w:t>
      </w:r>
    </w:p>
    <w:p w14:paraId="5340B2DF">
      <w:pPr>
        <w:widowControl/>
        <w:spacing w:line="360" w:lineRule="auto"/>
        <w:jc w:val="left"/>
        <w:rPr>
          <w:rFonts w:ascii="宋体" w:hAnsi="宋体"/>
          <w:sz w:val="24"/>
          <w:szCs w:val="24"/>
        </w:rPr>
      </w:pPr>
      <w:r>
        <w:rPr>
          <w:rFonts w:hint="eastAsia" w:ascii="宋体" w:hAnsi="宋体"/>
          <w:sz w:val="24"/>
          <w:szCs w:val="24"/>
        </w:rPr>
        <w:t>住所地：北京市石景山区实兴大街30号院16号楼9层9099室</w:t>
      </w:r>
    </w:p>
    <w:p w14:paraId="4A683611">
      <w:pPr>
        <w:widowControl/>
        <w:spacing w:line="360" w:lineRule="auto"/>
        <w:jc w:val="left"/>
        <w:rPr>
          <w:rFonts w:ascii="宋体" w:hAnsi="宋体"/>
          <w:sz w:val="24"/>
          <w:szCs w:val="24"/>
        </w:rPr>
      </w:pPr>
      <w:r>
        <w:rPr>
          <w:rFonts w:hint="eastAsia" w:ascii="宋体" w:hAnsi="宋体"/>
          <w:sz w:val="24"/>
          <w:szCs w:val="24"/>
        </w:rPr>
        <w:t>法定代表人：</w:t>
      </w:r>
    </w:p>
    <w:p w14:paraId="4D101CC9">
      <w:pPr>
        <w:widowControl/>
        <w:spacing w:line="360" w:lineRule="auto"/>
        <w:jc w:val="left"/>
        <w:rPr>
          <w:rFonts w:hint="eastAsia" w:ascii="宋体" w:hAnsi="宋体" w:eastAsia="宋体"/>
          <w:sz w:val="24"/>
          <w:szCs w:val="24"/>
          <w:lang w:eastAsia="zh-CN"/>
        </w:rPr>
      </w:pPr>
      <w:r>
        <w:rPr>
          <w:rFonts w:hint="eastAsia" w:ascii="宋体" w:hAnsi="宋体"/>
          <w:sz w:val="24"/>
          <w:szCs w:val="24"/>
        </w:rPr>
        <w:t>项目联系人：</w:t>
      </w:r>
      <w:r>
        <w:rPr>
          <w:rFonts w:hint="eastAsia" w:ascii="宋体" w:hAnsi="宋体"/>
          <w:sz w:val="24"/>
          <w:szCs w:val="24"/>
          <w:lang w:val="en-US" w:eastAsia="zh-CN"/>
        </w:rPr>
        <w:t>徐静</w:t>
      </w:r>
    </w:p>
    <w:p w14:paraId="6CD90F63">
      <w:pPr>
        <w:widowControl/>
        <w:spacing w:line="360" w:lineRule="auto"/>
        <w:jc w:val="left"/>
        <w:rPr>
          <w:rFonts w:ascii="宋体" w:hAnsi="宋体"/>
          <w:sz w:val="24"/>
          <w:szCs w:val="24"/>
        </w:rPr>
      </w:pPr>
      <w:r>
        <w:rPr>
          <w:rFonts w:hint="eastAsia" w:ascii="宋体" w:hAnsi="宋体"/>
          <w:sz w:val="24"/>
          <w:szCs w:val="24"/>
        </w:rPr>
        <w:t>通讯地址：石景山区黑石头路和煦6—3—201</w:t>
      </w:r>
    </w:p>
    <w:p w14:paraId="2844E16F">
      <w:pPr>
        <w:keepNext w:val="0"/>
        <w:keepLines w:val="0"/>
        <w:widowControl/>
        <w:suppressLineNumbers w:val="0"/>
        <w:pBdr>
          <w:top w:val="single" w:color="F1F4F5" w:sz="6" w:space="0"/>
          <w:left w:val="none" w:color="auto" w:sz="0" w:space="0"/>
          <w:bottom w:val="none" w:color="auto" w:sz="0" w:space="0"/>
          <w:right w:val="none" w:color="auto" w:sz="0" w:space="0"/>
        </w:pBdr>
        <w:shd w:val="clear" w:fill="FFFFFF"/>
        <w:ind w:left="0" w:firstLine="0"/>
        <w:jc w:val="left"/>
        <w:rPr>
          <w:rFonts w:ascii="宋体" w:hAnsi="宋体"/>
          <w:sz w:val="24"/>
          <w:szCs w:val="24"/>
        </w:rPr>
      </w:pPr>
      <w:r>
        <w:rPr>
          <w:rFonts w:hint="eastAsia" w:ascii="宋体" w:hAnsi="宋体"/>
          <w:sz w:val="24"/>
          <w:szCs w:val="24"/>
        </w:rPr>
        <w:t>电    话：</w:t>
      </w:r>
      <w:r>
        <w:rPr>
          <w:rFonts w:hint="default" w:ascii="Segoe UI Emoji" w:hAnsi="Segoe UI Emoji" w:eastAsia="Segoe UI Emoji" w:cs="Segoe UI Emoji"/>
          <w:i w:val="0"/>
          <w:iCs w:val="0"/>
          <w:caps w:val="0"/>
          <w:color w:val="555555"/>
          <w:spacing w:val="0"/>
          <w:kern w:val="0"/>
          <w:sz w:val="18"/>
          <w:szCs w:val="18"/>
          <w:shd w:val="clear" w:fill="FFFFFF"/>
          <w:lang w:val="en-US" w:eastAsia="zh-CN" w:bidi="ar"/>
        </w:rPr>
        <w:t>18518671072</w:t>
      </w:r>
    </w:p>
    <w:p w14:paraId="749F7B4A">
      <w:pPr>
        <w:widowControl/>
        <w:spacing w:line="360" w:lineRule="auto"/>
        <w:jc w:val="left"/>
        <w:rPr>
          <w:rFonts w:ascii="宋体" w:hAnsi="宋体"/>
          <w:sz w:val="24"/>
          <w:szCs w:val="24"/>
        </w:rPr>
      </w:pPr>
      <w:r>
        <w:rPr>
          <w:rFonts w:hint="eastAsia" w:ascii="宋体" w:hAnsi="宋体"/>
          <w:sz w:val="24"/>
          <w:szCs w:val="24"/>
        </w:rPr>
        <w:t>电子信箱：</w:t>
      </w:r>
    </w:p>
    <w:p w14:paraId="13B48CCF">
      <w:pPr>
        <w:widowControl/>
        <w:spacing w:line="360" w:lineRule="auto"/>
        <w:jc w:val="left"/>
        <w:rPr>
          <w:rFonts w:ascii="Times New Roman" w:hAnsi="Times New Roman" w:eastAsiaTheme="minorEastAsia"/>
          <w:szCs w:val="21"/>
        </w:rPr>
      </w:pPr>
      <w:r>
        <w:br w:type="page"/>
      </w:r>
    </w:p>
    <w:p w14:paraId="70B57473">
      <w:pPr>
        <w:pStyle w:val="26"/>
        <w:numPr>
          <w:ilvl w:val="0"/>
          <w:numId w:val="7"/>
        </w:numPr>
        <w:spacing w:line="360" w:lineRule="auto"/>
        <w:ind w:firstLineChars="0"/>
        <w:jc w:val="center"/>
        <w:rPr>
          <w:rFonts w:ascii="Times New Roman" w:hAnsi="Times New Roman" w:eastAsiaTheme="minorEastAsia"/>
          <w:szCs w:val="21"/>
        </w:rPr>
      </w:pPr>
      <w:r>
        <w:rPr>
          <w:rFonts w:ascii="Times New Roman" w:hAnsi="Times New Roman" w:eastAsiaTheme="minorEastAsia"/>
          <w:b/>
          <w:szCs w:val="21"/>
        </w:rPr>
        <w:t>定义</w:t>
      </w:r>
    </w:p>
    <w:p w14:paraId="02F54E3B">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 “甲方”指</w:t>
      </w:r>
      <w:r>
        <w:rPr>
          <w:rFonts w:hint="eastAsia" w:ascii="Times New Roman" w:hAnsi="Times New Roman" w:eastAsiaTheme="minorEastAsia"/>
          <w:szCs w:val="21"/>
        </w:rPr>
        <w:t>北京创联致信科技有限公司</w:t>
      </w:r>
      <w:r>
        <w:rPr>
          <w:rFonts w:ascii="Times New Roman" w:hAnsi="Times New Roman" w:eastAsiaTheme="minorEastAsia"/>
          <w:szCs w:val="21"/>
        </w:rPr>
        <w:t>。</w:t>
      </w:r>
    </w:p>
    <w:p w14:paraId="1014EC13">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 “乙方”指北京垚鑫同创科技有限公司。</w:t>
      </w:r>
    </w:p>
    <w:p w14:paraId="1FC67EF4">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1.3 “合同一方”指甲方或乙方。</w:t>
      </w:r>
    </w:p>
    <w:p w14:paraId="63F9BFAC">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1.4 “合同各方”指甲方和乙方。</w:t>
      </w:r>
    </w:p>
    <w:p w14:paraId="0B7AB1E5">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1.5 “合同”指本合同正文及其构成本合同不可分割部分的附件。</w:t>
      </w:r>
    </w:p>
    <w:p w14:paraId="48A3385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1.6 “现场”指</w:t>
      </w:r>
      <w:r>
        <w:rPr>
          <w:rFonts w:hint="eastAsia" w:ascii="Times New Roman" w:hAnsi="Times New Roman" w:eastAsiaTheme="minorEastAsia"/>
          <w:szCs w:val="21"/>
        </w:rPr>
        <w:t>提供运维服务</w:t>
      </w:r>
      <w:r>
        <w:rPr>
          <w:rFonts w:ascii="Times New Roman" w:hAnsi="Times New Roman" w:eastAsiaTheme="minorEastAsia"/>
          <w:szCs w:val="21"/>
        </w:rPr>
        <w:t>的场所。</w:t>
      </w:r>
    </w:p>
    <w:p w14:paraId="4C27F75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1.7 “合同总价”系指根据合同规定，乙方在完全履行合同义务后甲方应支付给乙方的价格。</w:t>
      </w:r>
    </w:p>
    <w:p w14:paraId="0E5EB6C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1.8 “服务”系指根据合同规定乙方承担与供货有关的辅助服务，如安装、调试、提供技术服务、培训</w:t>
      </w:r>
      <w:r>
        <w:rPr>
          <w:rFonts w:hint="eastAsia" w:ascii="Times New Roman" w:hAnsi="Times New Roman" w:eastAsiaTheme="minorEastAsia"/>
          <w:szCs w:val="21"/>
        </w:rPr>
        <w:t>、运维</w:t>
      </w:r>
      <w:r>
        <w:rPr>
          <w:rFonts w:ascii="Times New Roman" w:hAnsi="Times New Roman" w:eastAsiaTheme="minorEastAsia"/>
          <w:szCs w:val="21"/>
        </w:rPr>
        <w:t>和其他类似的义务。</w:t>
      </w:r>
    </w:p>
    <w:p w14:paraId="3EFB982A">
      <w:pPr>
        <w:spacing w:line="360" w:lineRule="auto"/>
        <w:jc w:val="center"/>
        <w:rPr>
          <w:rFonts w:ascii="Times New Roman" w:hAnsi="Times New Roman" w:eastAsiaTheme="minorEastAsia"/>
          <w:szCs w:val="21"/>
        </w:rPr>
      </w:pPr>
      <w:r>
        <w:rPr>
          <w:rFonts w:ascii="Times New Roman" w:hAnsi="Times New Roman" w:eastAsiaTheme="minorEastAsia"/>
          <w:b/>
          <w:szCs w:val="21"/>
        </w:rPr>
        <w:t>第二章  合同标的</w:t>
      </w:r>
    </w:p>
    <w:p w14:paraId="2155F60B">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2.1</w:t>
      </w:r>
      <w:r>
        <w:rPr>
          <w:rFonts w:ascii="Times New Roman" w:hAnsi="Times New Roman" w:eastAsiaTheme="minorEastAsia"/>
          <w:szCs w:val="21"/>
        </w:rPr>
        <w:tab/>
      </w:r>
      <w:r>
        <w:rPr>
          <w:rFonts w:ascii="Times New Roman" w:hAnsi="Times New Roman" w:eastAsiaTheme="minorEastAsia"/>
          <w:szCs w:val="21"/>
        </w:rPr>
        <w:t>甲方同意向乙方购买本合同约定的</w:t>
      </w:r>
      <w:r>
        <w:rPr>
          <w:rFonts w:hint="eastAsia" w:ascii="Times New Roman" w:hAnsi="Times New Roman" w:eastAsiaTheme="minorEastAsia"/>
          <w:szCs w:val="21"/>
        </w:rPr>
        <w:t>运维服务</w:t>
      </w:r>
      <w:r>
        <w:rPr>
          <w:rFonts w:ascii="Times New Roman" w:hAnsi="Times New Roman" w:eastAsiaTheme="minorEastAsia"/>
          <w:szCs w:val="21"/>
        </w:rPr>
        <w:t>，乙方同意向甲方提供本合同约定的</w:t>
      </w:r>
      <w:r>
        <w:rPr>
          <w:rFonts w:hint="eastAsia" w:ascii="Times New Roman" w:hAnsi="Times New Roman" w:eastAsiaTheme="minorEastAsia"/>
          <w:szCs w:val="21"/>
        </w:rPr>
        <w:t>运维服务</w:t>
      </w:r>
      <w:r>
        <w:rPr>
          <w:rFonts w:ascii="Times New Roman" w:hAnsi="Times New Roman" w:eastAsiaTheme="minorEastAsia"/>
          <w:szCs w:val="21"/>
        </w:rPr>
        <w:t>。</w:t>
      </w:r>
    </w:p>
    <w:p w14:paraId="0144E5C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2.2</w:t>
      </w:r>
      <w:r>
        <w:rPr>
          <w:rFonts w:ascii="Times New Roman" w:hAnsi="Times New Roman" w:eastAsiaTheme="minorEastAsia"/>
          <w:szCs w:val="21"/>
        </w:rPr>
        <w:tab/>
      </w:r>
      <w:r>
        <w:rPr>
          <w:rFonts w:ascii="Times New Roman" w:hAnsi="Times New Roman" w:eastAsiaTheme="minorEastAsia"/>
          <w:szCs w:val="21"/>
        </w:rPr>
        <w:t>乙方根据合同的要求进行设备的</w:t>
      </w:r>
      <w:r>
        <w:rPr>
          <w:rFonts w:hint="eastAsia" w:ascii="Times New Roman" w:hAnsi="Times New Roman" w:eastAsiaTheme="minorEastAsia"/>
          <w:szCs w:val="21"/>
        </w:rPr>
        <w:t>运维</w:t>
      </w:r>
      <w:r>
        <w:rPr>
          <w:rFonts w:ascii="Times New Roman" w:hAnsi="Times New Roman" w:eastAsiaTheme="minorEastAsia"/>
          <w:szCs w:val="21"/>
        </w:rPr>
        <w:t>服务。</w:t>
      </w:r>
    </w:p>
    <w:p w14:paraId="454C9A74">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2.3</w:t>
      </w:r>
      <w:r>
        <w:rPr>
          <w:rFonts w:ascii="Times New Roman" w:hAnsi="Times New Roman" w:eastAsiaTheme="minorEastAsia"/>
          <w:szCs w:val="21"/>
        </w:rPr>
        <w:tab/>
      </w:r>
      <w:r>
        <w:rPr>
          <w:rFonts w:ascii="Times New Roman" w:hAnsi="Times New Roman" w:eastAsiaTheme="minorEastAsia"/>
          <w:szCs w:val="21"/>
        </w:rPr>
        <w:t>乙方所提供的</w:t>
      </w:r>
      <w:r>
        <w:rPr>
          <w:rFonts w:hint="eastAsia" w:ascii="Times New Roman" w:hAnsi="Times New Roman" w:eastAsiaTheme="minorEastAsia"/>
          <w:szCs w:val="21"/>
        </w:rPr>
        <w:t>备件</w:t>
      </w:r>
      <w:r>
        <w:rPr>
          <w:rFonts w:ascii="Times New Roman" w:hAnsi="Times New Roman" w:eastAsiaTheme="minorEastAsia"/>
          <w:szCs w:val="21"/>
        </w:rPr>
        <w:t>及服务须满足国家技术标准和要求。</w:t>
      </w:r>
    </w:p>
    <w:p w14:paraId="61BCF00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2.4</w:t>
      </w:r>
      <w:r>
        <w:rPr>
          <w:rFonts w:ascii="Times New Roman" w:hAnsi="Times New Roman" w:eastAsiaTheme="minorEastAsia"/>
          <w:szCs w:val="21"/>
        </w:rPr>
        <w:tab/>
      </w:r>
      <w:r>
        <w:rPr>
          <w:rFonts w:ascii="Times New Roman" w:hAnsi="Times New Roman" w:eastAsiaTheme="minorEastAsia"/>
          <w:szCs w:val="21"/>
        </w:rPr>
        <w:t>乙方负责对甲方技术人员进行技术培训等相关工作。</w:t>
      </w:r>
    </w:p>
    <w:p w14:paraId="6280CA5B">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2.5</w:t>
      </w:r>
      <w:r>
        <w:rPr>
          <w:rFonts w:ascii="Times New Roman" w:hAnsi="Times New Roman" w:eastAsiaTheme="minorEastAsia"/>
          <w:szCs w:val="21"/>
        </w:rPr>
        <w:tab/>
      </w:r>
      <w:r>
        <w:rPr>
          <w:rFonts w:ascii="Times New Roman" w:hAnsi="Times New Roman" w:eastAsiaTheme="minorEastAsia"/>
          <w:szCs w:val="21"/>
        </w:rPr>
        <w:t>乙方负责派遣熟练、有经验的技术人员对进行</w:t>
      </w:r>
      <w:r>
        <w:rPr>
          <w:rFonts w:hint="eastAsia" w:ascii="Times New Roman" w:hAnsi="Times New Roman" w:eastAsiaTheme="minorEastAsia"/>
          <w:szCs w:val="21"/>
        </w:rPr>
        <w:t>安装、运维</w:t>
      </w:r>
      <w:r>
        <w:rPr>
          <w:rFonts w:ascii="Times New Roman" w:hAnsi="Times New Roman" w:eastAsiaTheme="minorEastAsia"/>
          <w:szCs w:val="21"/>
        </w:rPr>
        <w:t>等工作。</w:t>
      </w:r>
    </w:p>
    <w:p w14:paraId="4FE22FF6">
      <w:pPr>
        <w:spacing w:line="360" w:lineRule="auto"/>
        <w:ind w:firstLine="420" w:firstLineChars="200"/>
        <w:rPr>
          <w:rFonts w:ascii="Times New Roman" w:hAnsi="Times New Roman" w:eastAsiaTheme="minorEastAsia"/>
          <w:szCs w:val="21"/>
        </w:rPr>
      </w:pPr>
    </w:p>
    <w:p w14:paraId="4E077F56">
      <w:pPr>
        <w:spacing w:line="360" w:lineRule="auto"/>
        <w:jc w:val="center"/>
        <w:rPr>
          <w:rFonts w:ascii="Times New Roman" w:hAnsi="Times New Roman" w:eastAsiaTheme="minorEastAsia"/>
          <w:b/>
          <w:szCs w:val="21"/>
        </w:rPr>
      </w:pPr>
      <w:r>
        <w:rPr>
          <w:rFonts w:ascii="Times New Roman" w:hAnsi="Times New Roman" w:eastAsiaTheme="minorEastAsia"/>
          <w:b/>
          <w:szCs w:val="21"/>
        </w:rPr>
        <w:t>第三章  合同价格</w:t>
      </w:r>
    </w:p>
    <w:p w14:paraId="24B94F0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3.1本合同价款包括乙方向甲方提供</w:t>
      </w:r>
      <w:r>
        <w:rPr>
          <w:rFonts w:hint="eastAsia" w:ascii="Times New Roman" w:hAnsi="Times New Roman" w:eastAsiaTheme="minorEastAsia"/>
          <w:szCs w:val="21"/>
        </w:rPr>
        <w:t>叁年“</w:t>
      </w:r>
      <w:r>
        <w:t>视频会议设备及系统维保</w:t>
      </w:r>
      <w:r>
        <w:rPr>
          <w:rFonts w:hint="eastAsia"/>
        </w:rPr>
        <w:t>服务”的</w:t>
      </w:r>
      <w:r>
        <w:rPr>
          <w:rFonts w:hint="eastAsia" w:ascii="Times New Roman" w:hAnsi="Times New Roman" w:eastAsiaTheme="minorEastAsia"/>
          <w:szCs w:val="21"/>
        </w:rPr>
        <w:t>运维费用</w:t>
      </w:r>
      <w:r>
        <w:rPr>
          <w:rFonts w:ascii="Times New Roman" w:hAnsi="Times New Roman" w:eastAsiaTheme="minorEastAsia"/>
          <w:szCs w:val="21"/>
        </w:rPr>
        <w:t>。合同总价格为：RMB</w:t>
      </w:r>
      <w:r>
        <w:rPr>
          <w:rFonts w:ascii="Times New Roman" w:hAnsi="Times New Roman" w:eastAsiaTheme="minorEastAsia"/>
          <w:szCs w:val="21"/>
          <w:u w:val="single"/>
        </w:rPr>
        <w:t xml:space="preserve"> </w:t>
      </w:r>
      <w:r>
        <w:rPr>
          <w:rFonts w:hint="eastAsia" w:ascii="Times New Roman" w:hAnsi="Times New Roman" w:eastAsiaTheme="minorEastAsia"/>
          <w:szCs w:val="21"/>
          <w:u w:val="single"/>
        </w:rPr>
        <w:t xml:space="preserve"> </w:t>
      </w:r>
      <w:r>
        <w:rPr>
          <w:rFonts w:hint="eastAsia" w:ascii="宋体" w:hAnsi="宋体" w:cs="宋体"/>
          <w:szCs w:val="21"/>
          <w:u w:val="single"/>
        </w:rPr>
        <w:t>131,920</w:t>
      </w:r>
      <w:r>
        <w:rPr>
          <w:rFonts w:hint="eastAsia" w:ascii="宋体" w:hAnsi="宋体" w:cs="宋体"/>
          <w:szCs w:val="21"/>
          <w:u w:val="single"/>
          <w:lang w:val="en-US" w:eastAsia="zh-CN"/>
        </w:rPr>
        <w:t>.00</w:t>
      </w:r>
      <w:r>
        <w:rPr>
          <w:rFonts w:ascii="Times New Roman" w:hAnsi="Times New Roman" w:eastAsiaTheme="minorEastAsia"/>
          <w:szCs w:val="21"/>
        </w:rPr>
        <w:t>元，大写：人民币</w:t>
      </w:r>
      <w:r>
        <w:rPr>
          <w:rFonts w:hint="eastAsia" w:ascii="Times New Roman" w:hAnsi="Times New Roman" w:eastAsiaTheme="minorEastAsia"/>
          <w:szCs w:val="21"/>
          <w:u w:val="single"/>
          <w:lang w:val="en-US" w:eastAsia="zh-CN"/>
        </w:rPr>
        <w:t>壹拾叁万壹仟玖佰贰拾</w:t>
      </w:r>
      <w:r>
        <w:rPr>
          <w:rFonts w:ascii="Times New Roman" w:hAnsi="Times New Roman" w:eastAsiaTheme="minorEastAsia"/>
          <w:szCs w:val="21"/>
        </w:rPr>
        <w:t>元整。</w:t>
      </w:r>
      <w:r>
        <w:rPr>
          <w:rFonts w:hint="eastAsia" w:ascii="Times New Roman" w:hAnsi="Times New Roman" w:eastAsiaTheme="minorEastAsia"/>
          <w:szCs w:val="21"/>
        </w:rPr>
        <w:t>服务期限：二年（合同每年一签）。如果乙方在本年度服务中，能满足甲方提出的服务评价且得分在90分以上（附件2），才可在下一年度继续签订服务合同，否则合同到期即终止。</w:t>
      </w:r>
    </w:p>
    <w:p w14:paraId="29DC2203">
      <w:pPr>
        <w:spacing w:line="360" w:lineRule="auto"/>
        <w:ind w:firstLine="420" w:firstLineChars="200"/>
      </w:pPr>
      <w:r>
        <w:rPr>
          <w:rFonts w:ascii="Times New Roman" w:hAnsi="Times New Roman" w:eastAsiaTheme="minorEastAsia"/>
          <w:szCs w:val="21"/>
        </w:rPr>
        <w:t>3.2 合同</w:t>
      </w:r>
      <w:r>
        <w:rPr>
          <w:rFonts w:hint="eastAsia" w:ascii="Times New Roman" w:hAnsi="Times New Roman" w:eastAsiaTheme="minorEastAsia"/>
          <w:szCs w:val="21"/>
        </w:rPr>
        <w:t>服务清</w:t>
      </w:r>
      <w:r>
        <w:rPr>
          <w:rFonts w:ascii="Times New Roman" w:hAnsi="Times New Roman" w:eastAsiaTheme="minorEastAsia"/>
          <w:szCs w:val="21"/>
        </w:rPr>
        <w:t>单如下（</w:t>
      </w:r>
      <w:r>
        <w:rPr>
          <w:rFonts w:hint="eastAsia" w:ascii="Times New Roman" w:hAnsi="Times New Roman" w:eastAsiaTheme="minorEastAsia"/>
          <w:szCs w:val="21"/>
        </w:rPr>
        <w:t>附件1</w:t>
      </w:r>
      <w:r>
        <w:rPr>
          <w:rFonts w:ascii="Times New Roman" w:hAnsi="Times New Roman" w:eastAsiaTheme="minorEastAsia"/>
          <w:szCs w:val="21"/>
        </w:rPr>
        <w:t>）</w:t>
      </w:r>
    </w:p>
    <w:p w14:paraId="5EA97D9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3.3 上述合同总价为固定不变价。维护过程中备件</w:t>
      </w:r>
      <w:r>
        <w:rPr>
          <w:rFonts w:hint="eastAsia" w:ascii="Times New Roman" w:hAnsi="Times New Roman" w:eastAsiaTheme="minorEastAsia"/>
          <w:szCs w:val="21"/>
        </w:rPr>
        <w:t>、</w:t>
      </w:r>
      <w:r>
        <w:rPr>
          <w:rFonts w:ascii="Times New Roman" w:hAnsi="Times New Roman" w:eastAsiaTheme="minorEastAsia"/>
          <w:szCs w:val="21"/>
        </w:rPr>
        <w:t>维修等产生的任何费用都包括在合同价中</w:t>
      </w:r>
      <w:r>
        <w:rPr>
          <w:rFonts w:hint="eastAsia" w:ascii="Times New Roman" w:hAnsi="Times New Roman" w:eastAsiaTheme="minorEastAsia"/>
          <w:szCs w:val="21"/>
        </w:rPr>
        <w:t>。</w:t>
      </w:r>
    </w:p>
    <w:p w14:paraId="60975E70">
      <w:pPr>
        <w:spacing w:line="360" w:lineRule="auto"/>
        <w:jc w:val="center"/>
        <w:rPr>
          <w:rFonts w:ascii="Times New Roman" w:hAnsi="Times New Roman" w:eastAsiaTheme="minorEastAsia"/>
          <w:b/>
          <w:szCs w:val="21"/>
        </w:rPr>
      </w:pPr>
      <w:r>
        <w:rPr>
          <w:rFonts w:ascii="Times New Roman" w:hAnsi="Times New Roman" w:eastAsiaTheme="minorEastAsia"/>
          <w:b/>
          <w:szCs w:val="21"/>
        </w:rPr>
        <w:t>第四章  付款条款</w:t>
      </w:r>
    </w:p>
    <w:p w14:paraId="5191900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4.1 合同项下所有款额应通过甲方和乙方指定的银行用人民币支付。</w:t>
      </w:r>
    </w:p>
    <w:p w14:paraId="2D9CD15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4.2 甲乙双方各自承担其在银行发生的汇款或收款的费用及其他银行费用。</w:t>
      </w:r>
    </w:p>
    <w:p w14:paraId="700329A9">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4.3 合同第三章中确定的合同总价由甲方向乙方以如下方式及比例支付：</w:t>
      </w:r>
    </w:p>
    <w:p w14:paraId="7E6694CC">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4.3.1甲方采用 </w:t>
      </w:r>
      <w:r>
        <w:rPr>
          <w:rFonts w:hint="eastAsia" w:ascii="Times New Roman" w:hAnsi="Times New Roman" w:eastAsiaTheme="minorEastAsia"/>
          <w:szCs w:val="21"/>
          <w:u w:val="single"/>
        </w:rPr>
        <w:t>转账</w:t>
      </w:r>
      <w:r>
        <w:rPr>
          <w:rFonts w:ascii="Times New Roman" w:hAnsi="Times New Roman" w:eastAsiaTheme="minorEastAsia"/>
          <w:szCs w:val="21"/>
          <w:u w:val="single"/>
        </w:rPr>
        <w:t xml:space="preserve">  </w:t>
      </w:r>
      <w:r>
        <w:rPr>
          <w:rFonts w:ascii="Times New Roman" w:hAnsi="Times New Roman" w:eastAsiaTheme="minorEastAsia"/>
          <w:szCs w:val="21"/>
        </w:rPr>
        <w:t>的方式向乙方支付本合同金额。</w:t>
      </w:r>
    </w:p>
    <w:p w14:paraId="365699B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4.3.2 付款进程：</w:t>
      </w:r>
    </w:p>
    <w:p w14:paraId="6D81C3BC">
      <w:pPr>
        <w:pStyle w:val="2"/>
        <w:ind w:left="420"/>
        <w:rPr>
          <w:rFonts w:ascii="Times New Roman" w:hAnsi="Times New Roman" w:eastAsiaTheme="minorEastAsia"/>
          <w:bCs w:val="0"/>
          <w:color w:val="auto"/>
          <w:kern w:val="2"/>
          <w:sz w:val="21"/>
          <w:szCs w:val="21"/>
          <w:lang w:val="en-US"/>
        </w:rPr>
      </w:pPr>
      <w:r>
        <w:rPr>
          <w:rFonts w:hint="eastAsia" w:asciiTheme="minorEastAsia" w:hAnsiTheme="minorEastAsia" w:eastAsiaTheme="minorEastAsia" w:cstheme="minorEastAsia"/>
          <w:bCs w:val="0"/>
          <w:color w:val="auto"/>
          <w:kern w:val="2"/>
          <w:sz w:val="21"/>
          <w:szCs w:val="21"/>
          <w:lang w:val="en-US"/>
        </w:rPr>
        <w:t>4.3.2.1 本</w:t>
      </w:r>
      <w:r>
        <w:rPr>
          <w:rFonts w:hint="eastAsia" w:asciiTheme="minorEastAsia" w:hAnsiTheme="minorEastAsia" w:eastAsiaTheme="minorEastAsia" w:cstheme="minorEastAsia"/>
          <w:sz w:val="21"/>
          <w:szCs w:val="21"/>
          <w:lang w:val="en-US"/>
        </w:rPr>
        <w:t>合同</w:t>
      </w:r>
      <w:r>
        <w:rPr>
          <w:rFonts w:hint="eastAsia" w:asciiTheme="minorEastAsia" w:hAnsiTheme="minorEastAsia" w:eastAsiaTheme="minorEastAsia" w:cstheme="minorEastAsia"/>
          <w:bCs w:val="0"/>
          <w:color w:val="auto"/>
          <w:kern w:val="2"/>
          <w:sz w:val="21"/>
          <w:szCs w:val="21"/>
          <w:lang w:val="en-US"/>
        </w:rPr>
        <w:t>视频会议系统维保服务合同价款（含税）为人民币</w:t>
      </w:r>
      <w:r>
        <w:rPr>
          <w:rFonts w:hint="eastAsia" w:ascii="宋体" w:hAnsi="宋体" w:eastAsia="宋体" w:cs="宋体"/>
          <w:bCs w:val="0"/>
          <w:color w:val="auto"/>
          <w:kern w:val="2"/>
          <w:sz w:val="21"/>
          <w:szCs w:val="21"/>
          <w:lang w:val="en-US"/>
        </w:rPr>
        <w:t>：</w:t>
      </w:r>
      <w:r>
        <w:rPr>
          <w:rFonts w:hint="eastAsia" w:ascii="宋体" w:hAnsi="宋体" w:eastAsia="宋体" w:cs="宋体"/>
          <w:b/>
          <w:bCs w:val="0"/>
          <w:sz w:val="21"/>
          <w:szCs w:val="21"/>
          <w:u w:val="single"/>
          <w:lang w:val="en-US" w:eastAsia="zh-CN"/>
        </w:rPr>
        <w:t>壹拾叁万壹仟玖佰贰拾</w:t>
      </w:r>
      <w:r>
        <w:rPr>
          <w:rFonts w:hint="eastAsia" w:ascii="宋体" w:hAnsi="宋体" w:eastAsia="宋体" w:cs="宋体"/>
          <w:b/>
          <w:bCs w:val="0"/>
          <w:sz w:val="21"/>
          <w:szCs w:val="21"/>
          <w:u w:val="single"/>
          <w:lang w:val="en-US"/>
        </w:rPr>
        <w:t>元整</w:t>
      </w:r>
      <w:r>
        <w:rPr>
          <w:rFonts w:hint="eastAsia" w:ascii="宋体" w:hAnsi="宋体" w:eastAsia="宋体" w:cs="宋体"/>
          <w:b/>
          <w:bCs w:val="0"/>
          <w:color w:val="auto"/>
          <w:kern w:val="2"/>
          <w:sz w:val="21"/>
          <w:szCs w:val="21"/>
          <w:u w:val="single"/>
          <w:lang w:val="en-US"/>
        </w:rPr>
        <w:t>（￥</w:t>
      </w:r>
      <w:r>
        <w:rPr>
          <w:rFonts w:hint="eastAsia" w:ascii="宋体" w:hAnsi="宋体" w:eastAsia="宋体" w:cs="宋体"/>
          <w:b/>
          <w:bCs w:val="0"/>
          <w:sz w:val="21"/>
          <w:szCs w:val="21"/>
          <w:u w:val="single"/>
          <w:lang w:val="en-US"/>
        </w:rPr>
        <w:t>131,920</w:t>
      </w:r>
      <w:r>
        <w:rPr>
          <w:rFonts w:hint="eastAsia" w:ascii="宋体" w:hAnsi="宋体" w:eastAsia="宋体" w:cs="宋体"/>
          <w:b/>
          <w:bCs w:val="0"/>
          <w:sz w:val="21"/>
          <w:szCs w:val="21"/>
          <w:u w:val="single"/>
          <w:lang w:val="en-US" w:eastAsia="zh-CN"/>
        </w:rPr>
        <w:t>.00</w:t>
      </w:r>
      <w:r>
        <w:rPr>
          <w:rFonts w:hint="eastAsia" w:ascii="宋体" w:hAnsi="宋体" w:eastAsia="宋体" w:cs="宋体"/>
          <w:b/>
          <w:bCs w:val="0"/>
          <w:color w:val="auto"/>
          <w:kern w:val="2"/>
          <w:sz w:val="21"/>
          <w:szCs w:val="21"/>
          <w:u w:val="single"/>
          <w:lang w:val="en-US"/>
        </w:rPr>
        <w:t>）</w:t>
      </w:r>
      <w:r>
        <w:rPr>
          <w:rFonts w:hint="eastAsia" w:ascii="宋体" w:hAnsi="宋体" w:eastAsia="宋体" w:cs="宋体"/>
          <w:b/>
          <w:color w:val="000000" w:themeColor="text1"/>
          <w:kern w:val="0"/>
          <w:sz w:val="21"/>
          <w:szCs w:val="21"/>
          <w:lang w:val="en-US"/>
          <w14:textFill>
            <w14:solidFill>
              <w14:schemeClr w14:val="tx1"/>
            </w14:solidFill>
          </w14:textFill>
        </w:rPr>
        <w:t>。</w:t>
      </w:r>
      <w:r>
        <w:rPr>
          <w:rFonts w:hint="eastAsia" w:asciiTheme="minorEastAsia" w:hAnsiTheme="minorEastAsia" w:eastAsiaTheme="minorEastAsia" w:cstheme="minorEastAsia"/>
          <w:bCs w:val="0"/>
          <w:color w:val="auto"/>
          <w:kern w:val="2"/>
          <w:sz w:val="21"/>
          <w:szCs w:val="21"/>
          <w:lang w:val="en-US"/>
        </w:rPr>
        <w:t>每满三个月支付本合同费用的25%，即人民币</w:t>
      </w:r>
      <w:r>
        <w:rPr>
          <w:rFonts w:hint="eastAsia" w:asciiTheme="minorEastAsia" w:hAnsiTheme="minorEastAsia" w:eastAsiaTheme="minorEastAsia" w:cstheme="minorEastAsia"/>
          <w:b/>
          <w:color w:val="auto"/>
          <w:kern w:val="2"/>
          <w:sz w:val="21"/>
          <w:szCs w:val="21"/>
          <w:lang w:val="en-US"/>
        </w:rPr>
        <w:t>：</w:t>
      </w:r>
      <w:r>
        <w:rPr>
          <w:rFonts w:hint="eastAsia" w:asciiTheme="minorEastAsia" w:hAnsiTheme="minorEastAsia" w:eastAsiaTheme="minorEastAsia" w:cstheme="minorEastAsia"/>
          <w:b/>
          <w:color w:val="auto"/>
          <w:kern w:val="2"/>
          <w:sz w:val="21"/>
          <w:szCs w:val="21"/>
          <w:u w:val="single"/>
          <w:lang w:val="en-US" w:eastAsia="zh-CN"/>
        </w:rPr>
        <w:t>叁万贰仟玖佰捌拾</w:t>
      </w:r>
      <w:r>
        <w:rPr>
          <w:rFonts w:hint="eastAsia" w:asciiTheme="minorEastAsia" w:hAnsiTheme="minorEastAsia" w:eastAsiaTheme="minorEastAsia" w:cstheme="minorEastAsia"/>
          <w:b/>
          <w:color w:val="auto"/>
          <w:kern w:val="2"/>
          <w:sz w:val="21"/>
          <w:szCs w:val="21"/>
          <w:u w:val="single"/>
          <w:lang w:val="en-US"/>
        </w:rPr>
        <w:t>元整（￥32,980</w:t>
      </w:r>
      <w:r>
        <w:rPr>
          <w:rFonts w:hint="eastAsia" w:asciiTheme="minorEastAsia" w:hAnsiTheme="minorEastAsia" w:eastAsiaTheme="minorEastAsia" w:cstheme="minorEastAsia"/>
          <w:b/>
          <w:color w:val="auto"/>
          <w:kern w:val="2"/>
          <w:sz w:val="21"/>
          <w:szCs w:val="21"/>
          <w:u w:val="single"/>
          <w:lang w:val="en-US" w:eastAsia="zh-CN"/>
        </w:rPr>
        <w:t>.00</w:t>
      </w:r>
      <w:r>
        <w:rPr>
          <w:rFonts w:hint="eastAsia" w:asciiTheme="minorEastAsia" w:hAnsiTheme="minorEastAsia" w:eastAsiaTheme="minorEastAsia" w:cstheme="minorEastAsia"/>
          <w:b/>
          <w:color w:val="auto"/>
          <w:kern w:val="2"/>
          <w:sz w:val="21"/>
          <w:szCs w:val="21"/>
          <w:u w:val="single"/>
          <w:lang w:val="en-US"/>
        </w:rPr>
        <w:t>）。</w:t>
      </w:r>
      <w:r>
        <w:rPr>
          <w:rFonts w:hint="eastAsia" w:asciiTheme="minorEastAsia" w:hAnsiTheme="minorEastAsia" w:eastAsiaTheme="minorEastAsia" w:cstheme="minorEastAsia"/>
          <w:bCs w:val="0"/>
          <w:color w:val="auto"/>
          <w:kern w:val="2"/>
          <w:sz w:val="21"/>
          <w:szCs w:val="21"/>
          <w:lang w:val="en-US"/>
        </w:rPr>
        <w:t>支付前乙方须提供真实、合法有效等额增值税专用发票，乙方对增值税发票的真伪负全责。</w:t>
      </w:r>
    </w:p>
    <w:p w14:paraId="47B6009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4.4乙方需向甲方开具符合国家相关规定的增值税专用发票，因发票不合规引起的一切后果均由乙方负责。合同各方承担各自的税务责任，甲方不因签署本合同而导致连带承担乙方的税务责任，如果因此而导致甲方的损失，乙方应当赔偿前述损失。在合同履行过程中乙方应无偷漏税走私或其它违法行为。</w:t>
      </w:r>
    </w:p>
    <w:p w14:paraId="6E729554">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第五章  双方的权利和义务</w:t>
      </w:r>
    </w:p>
    <w:p w14:paraId="4F5A442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5.1甲方责任</w:t>
      </w:r>
    </w:p>
    <w:p w14:paraId="70546D9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5.1.1甲方有义务向乙方提供本项目系统需求的必要说明。</w:t>
      </w:r>
    </w:p>
    <w:p w14:paraId="08E6046A">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5.1.2甲方须协调相关单位，保障乙方正常的工作条件。</w:t>
      </w:r>
    </w:p>
    <w:p w14:paraId="5B6F945D">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w:t>
      </w:r>
      <w:r>
        <w:rPr>
          <w:rFonts w:hint="eastAsia" w:ascii="Times New Roman" w:hAnsi="Times New Roman" w:eastAsiaTheme="minorEastAsia"/>
          <w:szCs w:val="21"/>
        </w:rPr>
        <w:t>3</w:t>
      </w:r>
      <w:r>
        <w:rPr>
          <w:rFonts w:ascii="Times New Roman" w:hAnsi="Times New Roman" w:eastAsiaTheme="minorEastAsia"/>
          <w:szCs w:val="21"/>
        </w:rPr>
        <w:t>甲方应按本合同规定及时向乙方支付相应合同款项。</w:t>
      </w:r>
    </w:p>
    <w:p w14:paraId="343433DD">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w:t>
      </w:r>
      <w:r>
        <w:rPr>
          <w:rFonts w:hint="eastAsia" w:ascii="Times New Roman" w:hAnsi="Times New Roman" w:eastAsiaTheme="minorEastAsia"/>
          <w:szCs w:val="21"/>
        </w:rPr>
        <w:t>4</w:t>
      </w:r>
      <w:r>
        <w:rPr>
          <w:rFonts w:ascii="Times New Roman" w:hAnsi="Times New Roman" w:eastAsiaTheme="minorEastAsia"/>
          <w:szCs w:val="21"/>
        </w:rPr>
        <w:t>甲方有检查乙方工作状况的责任。</w:t>
      </w:r>
    </w:p>
    <w:p w14:paraId="4A270087">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5.2乙方责任</w:t>
      </w:r>
    </w:p>
    <w:p w14:paraId="5A18DA8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5.2.1乙方保证所提供的本合同项下</w:t>
      </w:r>
      <w:r>
        <w:rPr>
          <w:rFonts w:hint="eastAsia" w:ascii="Times New Roman" w:hAnsi="Times New Roman" w:eastAsiaTheme="minorEastAsia"/>
          <w:szCs w:val="21"/>
        </w:rPr>
        <w:t>服务</w:t>
      </w:r>
      <w:r>
        <w:rPr>
          <w:rFonts w:ascii="Times New Roman" w:hAnsi="Times New Roman" w:eastAsiaTheme="minorEastAsia"/>
          <w:szCs w:val="21"/>
        </w:rPr>
        <w:t>符合本合同约定的要求、技术标准。</w:t>
      </w:r>
    </w:p>
    <w:p w14:paraId="4242E05A">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5.2.2乙方负责本合同项下所提供的</w:t>
      </w:r>
      <w:r>
        <w:rPr>
          <w:rFonts w:hint="eastAsia" w:ascii="Times New Roman" w:hAnsi="Times New Roman" w:eastAsiaTheme="minorEastAsia"/>
          <w:szCs w:val="21"/>
        </w:rPr>
        <w:t>服务</w:t>
      </w:r>
      <w:r>
        <w:rPr>
          <w:rFonts w:ascii="Times New Roman" w:hAnsi="Times New Roman" w:eastAsiaTheme="minorEastAsia"/>
          <w:szCs w:val="21"/>
        </w:rPr>
        <w:t>设备的安装、调试、集成及使用培训，乙方保证所提供系统正常运行。</w:t>
      </w:r>
    </w:p>
    <w:p w14:paraId="5CBF656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5.2.3乙方应确保人员相对稳定，项目执行过程中项目组负责人和主要技术人员不得变动。</w:t>
      </w:r>
    </w:p>
    <w:p w14:paraId="5D85A76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5.2.4乙方有义务为甲方相关人员的交流、培训、监督和检查提供便利和人员、技术支持。</w:t>
      </w:r>
    </w:p>
    <w:p w14:paraId="65671D0E">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 xml:space="preserve">第六章  </w:t>
      </w:r>
      <w:r>
        <w:rPr>
          <w:rFonts w:hint="eastAsia" w:ascii="Times New Roman" w:hAnsi="Times New Roman" w:eastAsiaTheme="minorEastAsia"/>
          <w:b/>
          <w:szCs w:val="21"/>
        </w:rPr>
        <w:t>服务要求</w:t>
      </w:r>
    </w:p>
    <w:p w14:paraId="2EE096D1">
      <w:pPr>
        <w:spacing w:line="360" w:lineRule="auto"/>
        <w:ind w:firstLine="420" w:firstLineChars="200"/>
        <w:rPr>
          <w:rFonts w:ascii="Times New Roman" w:hAnsi="Times New Roman" w:eastAsiaTheme="minorEastAsia"/>
          <w:szCs w:val="21"/>
        </w:rPr>
      </w:pPr>
      <w:bookmarkStart w:id="1" w:name="_Toc71621723"/>
      <w:r>
        <w:rPr>
          <w:rFonts w:hint="eastAsia" w:ascii="Times New Roman" w:hAnsi="Times New Roman" w:eastAsiaTheme="minorEastAsia"/>
          <w:szCs w:val="21"/>
        </w:rPr>
        <w:t>6.1运维维护期</w:t>
      </w:r>
      <w:bookmarkEnd w:id="1"/>
    </w:p>
    <w:p w14:paraId="38F783B6">
      <w:pPr>
        <w:spacing w:line="360" w:lineRule="auto"/>
        <w:ind w:firstLine="420" w:firstLineChars="200"/>
        <w:rPr>
          <w:rFonts w:ascii="Times New Roman" w:hAnsi="Times New Roman" w:eastAsiaTheme="minorEastAsia"/>
          <w:b/>
          <w:bCs/>
          <w:szCs w:val="21"/>
        </w:rPr>
      </w:pPr>
      <w:r>
        <w:rPr>
          <w:rFonts w:hint="eastAsia" w:ascii="Times New Roman" w:hAnsi="Times New Roman" w:eastAsiaTheme="minorEastAsia"/>
          <w:szCs w:val="21"/>
        </w:rPr>
        <w:t>本项目视频会议系统维保期：</w:t>
      </w:r>
      <w:r>
        <w:rPr>
          <w:rFonts w:hint="eastAsia" w:ascii="Times New Roman" w:hAnsi="Times New Roman" w:eastAsiaTheme="minorEastAsia"/>
          <w:szCs w:val="21"/>
          <w:lang w:val="en-US" w:eastAsia="zh-CN"/>
        </w:rPr>
        <w:t>1</w:t>
      </w:r>
      <w:r>
        <w:rPr>
          <w:rFonts w:hint="eastAsia" w:ascii="Times New Roman" w:hAnsi="Times New Roman" w:eastAsiaTheme="minorEastAsia"/>
          <w:szCs w:val="21"/>
        </w:rPr>
        <w:t>年。</w:t>
      </w:r>
    </w:p>
    <w:p w14:paraId="3DFC5E93">
      <w:pPr>
        <w:spacing w:line="360" w:lineRule="auto"/>
        <w:ind w:firstLine="420" w:firstLineChars="200"/>
        <w:rPr>
          <w:rFonts w:ascii="Times New Roman" w:hAnsi="Times New Roman" w:eastAsiaTheme="minorEastAsia"/>
          <w:szCs w:val="21"/>
        </w:rPr>
      </w:pPr>
      <w:bookmarkStart w:id="2" w:name="_Toc71621724"/>
      <w:r>
        <w:rPr>
          <w:rFonts w:hint="eastAsia" w:ascii="Times New Roman" w:hAnsi="Times New Roman" w:eastAsiaTheme="minorEastAsia"/>
          <w:szCs w:val="21"/>
        </w:rPr>
        <w:t>6.2项目服务内容</w:t>
      </w:r>
      <w:bookmarkEnd w:id="2"/>
    </w:p>
    <w:p w14:paraId="1CEFD3C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6.2.1</w:t>
      </w:r>
      <w:r>
        <w:rPr>
          <w:rFonts w:hint="eastAsia" w:ascii="Times New Roman" w:hAnsi="Times New Roman" w:eastAsiaTheme="minorEastAsia"/>
          <w:szCs w:val="21"/>
        </w:rPr>
        <w:t>设备保修及技术支持服务</w:t>
      </w:r>
    </w:p>
    <w:p w14:paraId="62F6998A">
      <w:pPr>
        <w:spacing w:line="360" w:lineRule="auto"/>
        <w:ind w:firstLine="420" w:firstLineChars="200"/>
        <w:rPr>
          <w:rFonts w:ascii="宋体" w:hAnsi="宋体" w:cs="宋体"/>
        </w:rPr>
      </w:pPr>
      <w:r>
        <w:rPr>
          <w:rFonts w:hint="eastAsia" w:ascii="宋体" w:hAnsi="宋体" w:cs="宋体"/>
        </w:rPr>
        <w:t>乙方提供视频会议系统维保设备明细中所有设备的维保服务，提供原厂配件，对清单中设备及基础软件提供不低于原厂商标准的技术支持服务。乙方根据甲方设备状况建立备件库并明确备用资源的存放位置，提供的配件必须为原厂产品，报修后 4 小时内送达甲方机房并更换完毕。对于一些重大敀障，如不能在承诺时间内修复敀障，需要由原厂解决的，必须提供原厂服务，必要时招标人有权请其他与业公司提供维修服务，费用由乙方承担。</w:t>
      </w:r>
    </w:p>
    <w:p w14:paraId="1B480AB1">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6.2.2其他运维服务内容</w:t>
      </w:r>
    </w:p>
    <w:p w14:paraId="1F2CB454">
      <w:pPr>
        <w:pStyle w:val="26"/>
        <w:numPr>
          <w:ilvl w:val="0"/>
          <w:numId w:val="8"/>
        </w:numPr>
        <w:spacing w:line="360" w:lineRule="auto"/>
        <w:ind w:firstLineChars="0"/>
      </w:pPr>
      <w:r>
        <w:t>按照 ISO9001、ISO20000、ISO27001 有关规范建立运维服务体系。</w:t>
      </w:r>
    </w:p>
    <w:p w14:paraId="0D23A924">
      <w:pPr>
        <w:pStyle w:val="26"/>
        <w:numPr>
          <w:ilvl w:val="0"/>
          <w:numId w:val="8"/>
        </w:numPr>
        <w:spacing w:line="360" w:lineRule="auto"/>
        <w:ind w:firstLineChars="0"/>
      </w:pPr>
      <w:r>
        <w:t>对视频会议系统资产使用</w:t>
      </w:r>
      <w:r>
        <w:rPr>
          <w:rFonts w:hint="eastAsia"/>
        </w:rPr>
        <w:t>情况进行</w:t>
      </w:r>
      <w:r>
        <w:t>统计、分析，定期清查资产，建立视频会议系统信</w:t>
      </w:r>
      <w:r>
        <w:rPr>
          <w:rFonts w:hint="eastAsia"/>
        </w:rPr>
        <w:t>息资产清单并及时更新维护。</w:t>
      </w:r>
    </w:p>
    <w:p w14:paraId="283ECA2C">
      <w:pPr>
        <w:pStyle w:val="26"/>
        <w:numPr>
          <w:ilvl w:val="0"/>
          <w:numId w:val="8"/>
        </w:numPr>
        <w:spacing w:line="360" w:lineRule="auto"/>
        <w:ind w:firstLineChars="0"/>
      </w:pPr>
      <w:r>
        <w:t>提供数据</w:t>
      </w:r>
      <w:r>
        <w:rPr>
          <w:rFonts w:hint="eastAsia"/>
        </w:rPr>
        <w:t>备份</w:t>
      </w:r>
      <w:r>
        <w:t>（数据库、存储）日常维护服务，</w:t>
      </w:r>
      <w:r>
        <w:rPr>
          <w:rFonts w:hint="eastAsia"/>
        </w:rPr>
        <w:t>并</w:t>
      </w:r>
      <w:r>
        <w:t>建立合理</w:t>
      </w:r>
      <w:r>
        <w:rPr>
          <w:rFonts w:hint="eastAsia"/>
        </w:rPr>
        <w:t>的</w:t>
      </w:r>
      <w:r>
        <w:t>备仹管理制度。</w:t>
      </w:r>
    </w:p>
    <w:p w14:paraId="53E2675F">
      <w:pPr>
        <w:pStyle w:val="26"/>
        <w:numPr>
          <w:ilvl w:val="0"/>
          <w:numId w:val="8"/>
        </w:numPr>
        <w:spacing w:line="360" w:lineRule="auto"/>
        <w:ind w:firstLineChars="0"/>
      </w:pPr>
      <w:r>
        <w:t>提供合同范围内</w:t>
      </w:r>
      <w:r>
        <w:rPr>
          <w:rFonts w:hint="eastAsia"/>
        </w:rPr>
        <w:t>的</w:t>
      </w:r>
      <w:r>
        <w:t>所有设备及系统</w:t>
      </w:r>
      <w:r>
        <w:rPr>
          <w:rFonts w:hint="eastAsia"/>
        </w:rPr>
        <w:t>的</w:t>
      </w:r>
      <w:r>
        <w:t>巡检报告、季报、年报等所有服务内容</w:t>
      </w:r>
      <w:r>
        <w:rPr>
          <w:rFonts w:hint="eastAsia"/>
        </w:rPr>
        <w:t>的服务报告。</w:t>
      </w:r>
    </w:p>
    <w:p w14:paraId="10F80605">
      <w:pPr>
        <w:pStyle w:val="26"/>
        <w:numPr>
          <w:ilvl w:val="0"/>
          <w:numId w:val="8"/>
        </w:numPr>
        <w:spacing w:line="360" w:lineRule="auto"/>
        <w:ind w:firstLineChars="0"/>
      </w:pPr>
      <w:r>
        <w:t>设立热线电话、传真、电子邮件，提供 7*24 小时维修服务和技术支持要求响应。</w:t>
      </w:r>
    </w:p>
    <w:p w14:paraId="1754BCEF">
      <w:pPr>
        <w:pStyle w:val="26"/>
        <w:numPr>
          <w:ilvl w:val="0"/>
          <w:numId w:val="8"/>
        </w:numPr>
        <w:spacing w:line="360" w:lineRule="auto"/>
        <w:ind w:firstLineChars="0"/>
      </w:pPr>
      <w:r>
        <w:t>提供服务响应保障</w:t>
      </w:r>
      <w:r>
        <w:rPr>
          <w:rFonts w:hint="eastAsia"/>
        </w:rPr>
        <w:t>预</w:t>
      </w:r>
      <w:r>
        <w:t>案。</w:t>
      </w:r>
    </w:p>
    <w:p w14:paraId="0AAA9018">
      <w:pPr>
        <w:pStyle w:val="26"/>
        <w:numPr>
          <w:ilvl w:val="0"/>
          <w:numId w:val="8"/>
        </w:numPr>
        <w:spacing w:line="360" w:lineRule="auto"/>
        <w:ind w:firstLineChars="0"/>
      </w:pPr>
      <w:r>
        <w:t>提供服务人员管理及</w:t>
      </w:r>
      <w:r>
        <w:rPr>
          <w:rFonts w:hint="eastAsia"/>
        </w:rPr>
        <w:t>绩效</w:t>
      </w:r>
      <w:r>
        <w:t>考核标准。</w:t>
      </w:r>
    </w:p>
    <w:p w14:paraId="1B387B43">
      <w:pPr>
        <w:spacing w:line="360" w:lineRule="auto"/>
        <w:ind w:firstLine="420" w:firstLineChars="200"/>
      </w:pPr>
      <w:r>
        <w:t>提供技术咨询和管理咨询服务。</w:t>
      </w:r>
    </w:p>
    <w:p w14:paraId="40398FF3">
      <w:pPr>
        <w:spacing w:line="360" w:lineRule="auto"/>
        <w:ind w:firstLine="420" w:firstLineChars="200"/>
      </w:pPr>
      <w:r>
        <w:rPr>
          <w:rFonts w:hint="eastAsia"/>
        </w:rPr>
        <w:t>6.3.3高可用性</w:t>
      </w:r>
    </w:p>
    <w:p w14:paraId="57BB9FA9">
      <w:pPr>
        <w:spacing w:line="360" w:lineRule="auto"/>
        <w:ind w:firstLine="420" w:firstLineChars="200"/>
      </w:pPr>
      <w:r>
        <w:rPr>
          <w:rFonts w:hint="eastAsia"/>
        </w:rPr>
        <w:t>为保证7×24小时不间断地运行，减少单点故障的存在，对可能存在单点故障的环节，尽可能减少其对整个设备系统的影响。维保设备具有足够的备份和冗余能力，核心系统的整体可用性应维持较高水准。</w:t>
      </w:r>
    </w:p>
    <w:p w14:paraId="3E1CF7CA">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第七章  违约责任</w:t>
      </w:r>
    </w:p>
    <w:p w14:paraId="13B33AEA">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1</w:t>
      </w:r>
      <w:r>
        <w:rPr>
          <w:rFonts w:ascii="Times New Roman" w:hAnsi="Times New Roman" w:eastAsiaTheme="minorEastAsia"/>
          <w:szCs w:val="21"/>
        </w:rPr>
        <w:t>乙方应当在本合同约定的时限内履行合同义务。由于乙方原因，乙方逾期履行合同义务的，每逾期一日，应向甲方支付合同总价</w:t>
      </w:r>
      <w:r>
        <w:rPr>
          <w:rFonts w:ascii="Times New Roman" w:hAnsi="Times New Roman" w:eastAsiaTheme="minorEastAsia"/>
          <w:szCs w:val="21"/>
          <w:u w:val="single"/>
        </w:rPr>
        <w:t xml:space="preserve"> 1 </w:t>
      </w:r>
      <w:r>
        <w:rPr>
          <w:rFonts w:ascii="Times New Roman" w:hAnsi="Times New Roman" w:eastAsiaTheme="minorEastAsia"/>
          <w:szCs w:val="21"/>
        </w:rPr>
        <w:t>‰的逾期违约金。甲方有权在尚未支付给乙方的合同价款中，先行扣除违约金。逾期达 30日的，甲方有权单方解除本合同，乙方须向甲方支付合同总价</w:t>
      </w:r>
      <w:r>
        <w:rPr>
          <w:rFonts w:ascii="Times New Roman" w:hAnsi="Times New Roman" w:eastAsiaTheme="minorEastAsia"/>
          <w:szCs w:val="21"/>
          <w:u w:val="single"/>
        </w:rPr>
        <w:t xml:space="preserve"> </w:t>
      </w:r>
      <w:r>
        <w:rPr>
          <w:rFonts w:hint="eastAsia" w:ascii="Times New Roman" w:hAnsi="Times New Roman" w:eastAsiaTheme="minorEastAsia"/>
          <w:szCs w:val="21"/>
          <w:u w:val="single"/>
        </w:rPr>
        <w:t>1</w:t>
      </w:r>
      <w:r>
        <w:rPr>
          <w:rFonts w:ascii="Times New Roman" w:hAnsi="Times New Roman" w:eastAsiaTheme="minorEastAsia"/>
          <w:szCs w:val="21"/>
          <w:u w:val="single"/>
        </w:rPr>
        <w:t xml:space="preserve"> </w:t>
      </w:r>
      <w:r>
        <w:rPr>
          <w:rFonts w:ascii="Times New Roman" w:hAnsi="Times New Roman" w:eastAsiaTheme="minorEastAsia"/>
          <w:szCs w:val="21"/>
        </w:rPr>
        <w:t>%的违约金，造成甲方损失的，乙方还应该赔偿损失。</w:t>
      </w:r>
    </w:p>
    <w:p w14:paraId="43465D0B">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2</w:t>
      </w:r>
      <w:r>
        <w:rPr>
          <w:rFonts w:ascii="Times New Roman" w:hAnsi="Times New Roman" w:eastAsiaTheme="minorEastAsia"/>
          <w:szCs w:val="21"/>
        </w:rPr>
        <w:t>由于乙方过错发生以下情形的，甲方有权单方解除本合同，同时乙方须向甲方支付合同总价</w:t>
      </w:r>
      <w:r>
        <w:rPr>
          <w:rFonts w:ascii="Times New Roman" w:hAnsi="Times New Roman" w:eastAsiaTheme="minorEastAsia"/>
          <w:szCs w:val="21"/>
          <w:u w:val="single"/>
        </w:rPr>
        <w:t xml:space="preserve"> 5 </w:t>
      </w:r>
      <w:r>
        <w:rPr>
          <w:rFonts w:ascii="Times New Roman" w:hAnsi="Times New Roman" w:eastAsiaTheme="minorEastAsia"/>
          <w:szCs w:val="21"/>
        </w:rPr>
        <w:t>%的违约金：（1）乙方未按照合同约定时间设提供</w:t>
      </w:r>
      <w:r>
        <w:rPr>
          <w:rFonts w:hint="eastAsia" w:ascii="Times New Roman" w:hAnsi="Times New Roman" w:eastAsiaTheme="minorEastAsia"/>
          <w:szCs w:val="21"/>
        </w:rPr>
        <w:t>维保</w:t>
      </w:r>
      <w:r>
        <w:rPr>
          <w:rFonts w:ascii="Times New Roman" w:hAnsi="Times New Roman" w:eastAsiaTheme="minorEastAsia"/>
          <w:szCs w:val="21"/>
        </w:rPr>
        <w:t>服务，经过甲方书面催告，但乙方在催告的期限内仍不履行义务的；（2）乙方提供的设备</w:t>
      </w:r>
      <w:r>
        <w:rPr>
          <w:rFonts w:hint="eastAsia" w:ascii="Times New Roman" w:hAnsi="Times New Roman" w:eastAsiaTheme="minorEastAsia"/>
          <w:szCs w:val="21"/>
        </w:rPr>
        <w:t>备件</w:t>
      </w:r>
      <w:r>
        <w:rPr>
          <w:rFonts w:ascii="Times New Roman" w:hAnsi="Times New Roman" w:eastAsiaTheme="minorEastAsia"/>
          <w:szCs w:val="21"/>
        </w:rPr>
        <w:t>质量或集成要求不符合合同约定或甲方要求，经过3次返工或提供补救措施仍然不符合的；（3）因乙方过错，造成甲方的系统不能正常运行的</w:t>
      </w:r>
      <w:r>
        <w:rPr>
          <w:rFonts w:hint="eastAsia" w:ascii="Times New Roman" w:hAnsi="Times New Roman" w:eastAsiaTheme="minorEastAsia"/>
          <w:szCs w:val="21"/>
        </w:rPr>
        <w:t>。</w:t>
      </w:r>
    </w:p>
    <w:p w14:paraId="03E94093">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3</w:t>
      </w:r>
      <w:r>
        <w:rPr>
          <w:rFonts w:ascii="Times New Roman" w:hAnsi="Times New Roman" w:eastAsiaTheme="minorEastAsia"/>
          <w:szCs w:val="21"/>
        </w:rPr>
        <w:t>如因一方的行为造成对方损失的，该损失包括但不限于对方为实现权利而支付的诉讼费、申请费、鉴定费、差旅费及律师费等费用。</w:t>
      </w:r>
    </w:p>
    <w:p w14:paraId="0A92C4D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4</w:t>
      </w:r>
      <w:r>
        <w:rPr>
          <w:rFonts w:ascii="Times New Roman" w:hAnsi="Times New Roman" w:eastAsiaTheme="minorEastAsia"/>
          <w:szCs w:val="21"/>
        </w:rPr>
        <w:t>当乙方支付违约金且已提供增值税专用发票时，乙方应无条件为甲方开具红字增值税专用发票。支付逾期违约金不影响违约方履行合同的各项义务，也不影响违约方依据合同约定支付给对方的其他违约金和承担其他法律责任。</w:t>
      </w:r>
    </w:p>
    <w:p w14:paraId="1BC8441F">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第八章  不可抗力</w:t>
      </w:r>
    </w:p>
    <w:p w14:paraId="62BA7C9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8.1</w:t>
      </w:r>
      <w:r>
        <w:rPr>
          <w:rFonts w:ascii="Times New Roman" w:hAnsi="Times New Roman" w:eastAsiaTheme="minorEastAsia"/>
          <w:szCs w:val="21"/>
        </w:rPr>
        <w:tab/>
      </w:r>
      <w:r>
        <w:rPr>
          <w:rFonts w:ascii="Times New Roman" w:hAnsi="Times New Roman" w:eastAsiaTheme="minorEastAsia"/>
          <w:szCs w:val="21"/>
        </w:rPr>
        <w:t>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14:paraId="13DA9CC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8.2</w:t>
      </w:r>
      <w:r>
        <w:rPr>
          <w:rFonts w:ascii="Times New Roman" w:hAnsi="Times New Roman" w:eastAsiaTheme="minorEastAsia"/>
          <w:szCs w:val="21"/>
        </w:rPr>
        <w:tab/>
      </w:r>
      <w:r>
        <w:rPr>
          <w:rFonts w:ascii="Times New Roman" w:hAnsi="Times New Roman" w:eastAsiaTheme="minorEastAsia"/>
          <w:szCs w:val="21"/>
        </w:rPr>
        <w:t>受到不可抗力影响的一方应在不可抗力事件发生后尽快用电报、传真或电传等快捷方式通知对方，并于事故发生后14天内将有关当局出具的证明文件用特快专递或挂号信寄给对方审阅确认。一旦不可抗力事件的影响持续120天以上，双方应通过友好协商在合理的时间内达成解决合同履行问题的协议。</w:t>
      </w:r>
    </w:p>
    <w:p w14:paraId="54EAAF28">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8.3</w:t>
      </w:r>
      <w:r>
        <w:rPr>
          <w:rFonts w:ascii="Times New Roman" w:hAnsi="Times New Roman" w:eastAsiaTheme="minorEastAsia"/>
          <w:szCs w:val="21"/>
        </w:rPr>
        <w:tab/>
      </w:r>
      <w:r>
        <w:rPr>
          <w:rFonts w:ascii="Times New Roman" w:hAnsi="Times New Roman" w:eastAsiaTheme="minorEastAsia"/>
          <w:szCs w:val="21"/>
        </w:rPr>
        <w:t>受到不可抗力影响的一方在合理的期限内提供有关证明后，根据不可抗力的影响，部分或全部的免除其责任。但本合同另有规定或双方另有约定的除外。</w:t>
      </w:r>
    </w:p>
    <w:p w14:paraId="6232D50D">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8.4</w:t>
      </w:r>
      <w:r>
        <w:rPr>
          <w:rFonts w:ascii="Times New Roman" w:hAnsi="Times New Roman" w:eastAsiaTheme="minorEastAsia"/>
          <w:szCs w:val="21"/>
        </w:rPr>
        <w:tab/>
      </w:r>
      <w:r>
        <w:rPr>
          <w:rFonts w:ascii="Times New Roman" w:hAnsi="Times New Roman" w:eastAsiaTheme="minorEastAsia"/>
          <w:szCs w:val="21"/>
        </w:rPr>
        <w:t>受到不可抗力影响的一方应在不可抗力终止或被排除后通过传真、电子邮件等快捷方式及时通知另一方，并尽快恢复本合同的履行。但本合同另有规定或双方另有约定的除外。</w:t>
      </w:r>
    </w:p>
    <w:p w14:paraId="014FD051">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第九章  税  务</w:t>
      </w:r>
    </w:p>
    <w:p w14:paraId="76D20445">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9.1</w:t>
      </w:r>
      <w:r>
        <w:rPr>
          <w:rFonts w:ascii="Times New Roman" w:hAnsi="Times New Roman" w:eastAsiaTheme="minorEastAsia"/>
          <w:szCs w:val="21"/>
        </w:rPr>
        <w:tab/>
      </w:r>
      <w:r>
        <w:rPr>
          <w:rFonts w:ascii="Times New Roman" w:hAnsi="Times New Roman" w:eastAsiaTheme="minorEastAsia"/>
          <w:szCs w:val="21"/>
        </w:rPr>
        <w:t>甲方将承担中国有关机构根据中国税务法律向其征收的所有与合同执行有关的税务。</w:t>
      </w:r>
    </w:p>
    <w:p w14:paraId="0577B67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9.2</w:t>
      </w:r>
      <w:r>
        <w:rPr>
          <w:rFonts w:ascii="Times New Roman" w:hAnsi="Times New Roman" w:eastAsiaTheme="minorEastAsia"/>
          <w:szCs w:val="21"/>
        </w:rPr>
        <w:tab/>
      </w:r>
      <w:r>
        <w:rPr>
          <w:rFonts w:ascii="Times New Roman" w:hAnsi="Times New Roman" w:eastAsiaTheme="minorEastAsia"/>
          <w:szCs w:val="21"/>
        </w:rPr>
        <w:t>乙方保证，对其所提供的技术服务在出售给甲方前已经合法取得拥有完全的所有权，同时已按中国政府的相关法律、法规足额缴纳了应交税款，在合同履行过程中无偷漏税、走私或其它违法行为。</w:t>
      </w:r>
    </w:p>
    <w:p w14:paraId="6928669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9.3</w:t>
      </w:r>
      <w:r>
        <w:rPr>
          <w:rFonts w:ascii="Times New Roman" w:hAnsi="Times New Roman" w:eastAsiaTheme="minorEastAsia"/>
          <w:szCs w:val="21"/>
        </w:rPr>
        <w:tab/>
      </w:r>
      <w:r>
        <w:rPr>
          <w:rFonts w:ascii="Times New Roman" w:hAnsi="Times New Roman" w:eastAsiaTheme="minorEastAsia"/>
          <w:szCs w:val="21"/>
        </w:rPr>
        <w:t>本合同各方应各自承担其未按中华人民共和国相关税务法规足额缴纳税款而产生的全部责任。</w:t>
      </w:r>
    </w:p>
    <w:p w14:paraId="52EAB55E">
      <w:pPr>
        <w:spacing w:line="360" w:lineRule="auto"/>
        <w:ind w:firstLine="420" w:firstLineChars="200"/>
        <w:rPr>
          <w:rFonts w:ascii="Times New Roman" w:hAnsi="Times New Roman" w:eastAsiaTheme="minorEastAsia"/>
          <w:szCs w:val="21"/>
        </w:rPr>
      </w:pPr>
    </w:p>
    <w:p w14:paraId="33B38F75">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第十章  争议解决及法律适用</w:t>
      </w:r>
    </w:p>
    <w:p w14:paraId="18B17C8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10.1所有与合同有关的争议将通过各方友好协商解决。如果不能通过友好协商解决争议，合同任一方可将该争议提交合同签订地人民法院进行裁决，本合同签订地为</w:t>
      </w:r>
      <w:r>
        <w:rPr>
          <w:rFonts w:hint="eastAsia" w:ascii="Times New Roman" w:hAnsi="Times New Roman" w:eastAsiaTheme="minorEastAsia"/>
          <w:szCs w:val="21"/>
        </w:rPr>
        <w:t>内蒙古自治区鄂尔多斯市东胜区。</w:t>
      </w:r>
    </w:p>
    <w:p w14:paraId="0D7CF55E">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第十一章  保密条款</w:t>
      </w:r>
    </w:p>
    <w:p w14:paraId="7555BC2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11.1乙方承诺，非经甲方书面许可，乙方不得以任何形式将甲方的业务流程及各项数据或信息的任何部分泄露给任何第三方。</w:t>
      </w:r>
    </w:p>
    <w:p w14:paraId="60355005">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11.2乙方保证，甲方依据本合同持有和使用乙方开发的软件不会侵犯任何第三人知识产权或其他权利。</w:t>
      </w:r>
    </w:p>
    <w:p w14:paraId="653F5C3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11.3保密条款：</w:t>
      </w:r>
    </w:p>
    <w:p w14:paraId="264D8DF9">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11.3.1本合同任何一方未经其他方同意不得向任何第三方透露合同内容。合同各方一              致同意任何一方在任何时候对其持有的有关另一方的事务或其事物运转操作方法等保密信息实行严格保密。除非有信息提供方书面许可，任何一方不得在任何时间向本合同以外的任何第三方披露或提供保密信息的任何内容（本合同另有约定的除外）。除非有信息提供方的书面指示或出于履行本合同义务的合理要求，任何一方不得对保密信息进行拷贝或抄写。</w:t>
      </w:r>
    </w:p>
    <w:p w14:paraId="6844BD8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11.3.2本保密条款对以下内容不适用：</w:t>
      </w:r>
    </w:p>
    <w:p w14:paraId="6AC4CCE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（1）已被公众熟知且不受版权控制的内容；</w:t>
      </w:r>
    </w:p>
    <w:p w14:paraId="39BC0960">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（2）已通过出版物或其他原因（未经授权行为或疏忽除外）而成为部分不受版权控制的内容；</w:t>
      </w:r>
    </w:p>
    <w:p w14:paraId="6CECEA9C">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（3）由任何第三方未加任何约束提供的内容，且该第三方对这些内容无任何明确、暗含或暗示的保密义务；</w:t>
      </w:r>
    </w:p>
    <w:p w14:paraId="376C93D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（4）按法律要求需向任何机关、机构或媒介公开的内容。</w:t>
      </w:r>
    </w:p>
    <w:p w14:paraId="3F004EA3">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11.3.3信息提供方的保密信息将被认为是具有所有权的信息，如果它属于乙方和/或其分包人、代理人专有权，未经乙方书面许可，甲方不得就这些资料信息向甲方以外的任何第三方传达。甲方无权拷贝、修改、补充或仿造该具有所有权的信息。只有在乙方的书面许可下，方可对保密信息进行作为记录和操作目的的拷贝。甲方应该完整地或部分地将此类具有所有权信息包括所有副本、拷贝、修改和重绘图纸妥善保存。</w:t>
      </w:r>
    </w:p>
    <w:p w14:paraId="60348AE1">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11.3.4信息提供方的保密信息将被认为是具有所有权的信息，如果它属于甲方，未经信息提供方书面许可，乙方不得就这些资料信息向甲方以外的任何第三方传达。乙方无权拷贝、修改、补充或仿造该具有所有权的信息。只有在甲方的书面许可下，方可对保密信息进行作为记录和操作目的的拷贝。所有此类拷贝都必须标上与原件同样的所有权参考标签。乙方应该完整地或部分地将此类保密信息包括所有副本、拷贝、修改和重绘图纸妥善保存。</w:t>
      </w:r>
    </w:p>
    <w:p w14:paraId="446FEE32">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11.3.5各方均有权因本合同的执行向该方职员透露或使其接触从提供方获取的秘     密信息和/或其中的任何部分，范围是这些职员应是项目组成员、项目管理人员、项目成果直接应用人员、该领导人员及为执行本合同必须知悉该保密信息的人员，前提是接受秘密信息的一方向职员透露或使其接触前已经从该职员获得了必要的保密和不透露的承诺。任何一方的关联公司人员及该方职员违背上述承诺，向第三方披露秘密信息，或依据该等秘密信息向第三方作出任何建议，都被视为该方违反本协议。</w:t>
      </w:r>
    </w:p>
    <w:p w14:paraId="71199DDF">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11.4如甲方因使用本合同范围内的应用软件及技术文件而侵犯他人的知识产权或致使除本合同各方以外的第三人向其提出索赔或权利请求，应由乙方负责处理和赔偿，同时乙方应赔偿因此给甲方造成的全部损失，同时乙方应立即更换被指责侵权的应用软件及技术文件，以保证甲方免受上述赔偿请求。经甲方同意，乙方亦可收回应用软件和技术文件，并按购买价偿还给甲方。以上措施发生的一切费用均由乙方承担。</w:t>
      </w:r>
    </w:p>
    <w:p w14:paraId="6BEE0607">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11.5所有保密信息的保密期限为合同生效之日起5年。</w:t>
      </w:r>
    </w:p>
    <w:p w14:paraId="166A7275">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第十二章  合同的生效、终止及其他</w:t>
      </w:r>
    </w:p>
    <w:p w14:paraId="5CCD5EF4">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12.1本合同</w:t>
      </w:r>
      <w:r>
        <w:rPr>
          <w:rFonts w:hint="eastAsia" w:ascii="Times New Roman" w:hAnsi="Times New Roman" w:eastAsiaTheme="minorEastAsia"/>
          <w:szCs w:val="21"/>
        </w:rPr>
        <w:t>自202</w:t>
      </w:r>
      <w:r>
        <w:rPr>
          <w:rFonts w:hint="eastAsia" w:ascii="Times New Roman" w:hAnsi="Times New Roman" w:eastAsiaTheme="minorEastAsia"/>
          <w:szCs w:val="21"/>
          <w:lang w:val="en-US" w:eastAsia="zh-CN"/>
        </w:rPr>
        <w:t>3</w:t>
      </w:r>
      <w:r>
        <w:rPr>
          <w:rFonts w:hint="eastAsia" w:ascii="Times New Roman" w:hAnsi="Times New Roman" w:eastAsiaTheme="minorEastAsia"/>
          <w:szCs w:val="21"/>
        </w:rPr>
        <w:t>年9月29日起生效，合同期限202</w:t>
      </w:r>
      <w:r>
        <w:rPr>
          <w:rFonts w:hint="eastAsia" w:ascii="Times New Roman" w:hAnsi="Times New Roman" w:eastAsiaTheme="minorEastAsia"/>
          <w:szCs w:val="21"/>
          <w:lang w:val="en-US" w:eastAsia="zh-CN"/>
        </w:rPr>
        <w:t>3</w:t>
      </w:r>
      <w:r>
        <w:rPr>
          <w:rFonts w:hint="eastAsia" w:ascii="Times New Roman" w:hAnsi="Times New Roman" w:eastAsiaTheme="minorEastAsia"/>
          <w:szCs w:val="21"/>
        </w:rPr>
        <w:t>年9月29日至202</w:t>
      </w:r>
      <w:r>
        <w:rPr>
          <w:rFonts w:hint="eastAsia" w:ascii="Times New Roman" w:hAnsi="Times New Roman" w:eastAsiaTheme="minorEastAsia"/>
          <w:szCs w:val="21"/>
          <w:lang w:val="en-US" w:eastAsia="zh-CN"/>
        </w:rPr>
        <w:t>4</w:t>
      </w:r>
      <w:r>
        <w:rPr>
          <w:rFonts w:hint="eastAsia" w:ascii="Times New Roman" w:hAnsi="Times New Roman" w:eastAsiaTheme="minorEastAsia"/>
          <w:szCs w:val="21"/>
        </w:rPr>
        <w:t>年9月28日</w:t>
      </w:r>
      <w:r>
        <w:rPr>
          <w:rFonts w:ascii="Times New Roman" w:hAnsi="Times New Roman" w:eastAsiaTheme="minorEastAsia"/>
          <w:szCs w:val="21"/>
        </w:rPr>
        <w:t>。</w:t>
      </w:r>
      <w:bookmarkStart w:id="181" w:name="_GoBack"/>
      <w:bookmarkEnd w:id="181"/>
    </w:p>
    <w:p w14:paraId="5EF802D6">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12.2 合同各方同意所有附件是合同不可分割的一部分，与合同正文具有同等效力。若附件与合同正文有任何不一致，以合同正文为准。</w:t>
      </w:r>
    </w:p>
    <w:p w14:paraId="5B20D15B">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附件：</w:t>
      </w:r>
    </w:p>
    <w:p w14:paraId="7BBDEC2A">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12.3本合同及其附件为中文本，共有陆份原件，甲乙双方各持叁份。</w:t>
      </w:r>
    </w:p>
    <w:p w14:paraId="3CA1D1D2">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112.4对合同内容做出的任何修改和补充应为书面形式，由各方授权代表签字后成为合同不可分割的部分。</w:t>
      </w:r>
    </w:p>
    <w:p w14:paraId="360D564D">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任何与合同相关但未在合同中明确规定的事项将由双方友好协商并达成协议予以解决。</w:t>
      </w:r>
    </w:p>
    <w:p w14:paraId="14396AEF">
      <w:pPr>
        <w:spacing w:line="360" w:lineRule="auto"/>
        <w:ind w:firstLine="420" w:firstLineChars="200"/>
        <w:rPr>
          <w:rFonts w:ascii="Times New Roman" w:hAnsi="Times New Roman" w:eastAsiaTheme="minorEastAsia"/>
          <w:b/>
          <w:bCs/>
          <w:szCs w:val="21"/>
        </w:rPr>
      </w:pPr>
      <w:r>
        <w:rPr>
          <w:rFonts w:ascii="Times New Roman" w:hAnsi="Times New Roman" w:eastAsiaTheme="minorEastAsia"/>
        </w:rPr>
        <w:br w:type="page"/>
      </w:r>
      <w:r>
        <w:rPr>
          <w:rFonts w:hint="eastAsia" w:ascii="Times New Roman" w:hAnsi="Times New Roman" w:eastAsiaTheme="minorEastAsia"/>
          <w:b/>
          <w:bCs/>
          <w:szCs w:val="21"/>
        </w:rPr>
        <w:t>签署页</w:t>
      </w:r>
    </w:p>
    <w:p w14:paraId="094F26F4">
      <w:pPr>
        <w:spacing w:line="360" w:lineRule="auto"/>
        <w:rPr>
          <w:rFonts w:ascii="Times New Roman" w:hAnsi="Times New Roman" w:eastAsiaTheme="minorEastAsia"/>
          <w:szCs w:val="21"/>
        </w:rPr>
      </w:pPr>
      <w:r>
        <w:rPr>
          <w:rFonts w:hint="eastAsia" w:ascii="Times New Roman" w:hAnsi="Times New Roman" w:eastAsiaTheme="minorEastAsia"/>
          <w:szCs w:val="21"/>
        </w:rPr>
        <w:t>甲方：北京创联致信科技有限公司</w:t>
      </w:r>
    </w:p>
    <w:p w14:paraId="21A0569D">
      <w:pPr>
        <w:spacing w:line="360" w:lineRule="auto"/>
        <w:rPr>
          <w:rFonts w:ascii="Times New Roman" w:hAnsi="Times New Roman" w:eastAsiaTheme="minorEastAsia"/>
          <w:szCs w:val="21"/>
        </w:rPr>
      </w:pPr>
      <w:r>
        <w:rPr>
          <w:rFonts w:hint="eastAsia" w:ascii="Times New Roman" w:hAnsi="Times New Roman" w:eastAsiaTheme="minorEastAsia"/>
          <w:szCs w:val="21"/>
        </w:rPr>
        <w:t>户名：北京创联致信科技有限公司</w:t>
      </w:r>
    </w:p>
    <w:p w14:paraId="05D71F4A">
      <w:pPr>
        <w:spacing w:line="360" w:lineRule="auto"/>
        <w:rPr>
          <w:rFonts w:ascii="Times New Roman" w:hAnsi="Times New Roman" w:eastAsiaTheme="minorEastAsia"/>
          <w:szCs w:val="21"/>
        </w:rPr>
      </w:pPr>
      <w:r>
        <w:rPr>
          <w:rFonts w:hint="eastAsia" w:ascii="Times New Roman" w:hAnsi="Times New Roman" w:eastAsiaTheme="minorEastAsia"/>
          <w:szCs w:val="21"/>
        </w:rPr>
        <w:t>开户行：招商银行股份有限公司北京慧忠北里支行</w:t>
      </w:r>
    </w:p>
    <w:p w14:paraId="5B161048">
      <w:pPr>
        <w:spacing w:line="360" w:lineRule="auto"/>
        <w:rPr>
          <w:rFonts w:ascii="Times New Roman" w:hAnsi="Times New Roman" w:eastAsiaTheme="minorEastAsia"/>
          <w:szCs w:val="21"/>
        </w:rPr>
      </w:pPr>
      <w:r>
        <w:rPr>
          <w:rFonts w:hint="eastAsia" w:ascii="Times New Roman" w:hAnsi="Times New Roman" w:eastAsiaTheme="minorEastAsia"/>
          <w:szCs w:val="21"/>
        </w:rPr>
        <w:t>账号： 110946919610501</w:t>
      </w:r>
    </w:p>
    <w:p w14:paraId="471E12DE">
      <w:pPr>
        <w:spacing w:line="360" w:lineRule="auto"/>
        <w:rPr>
          <w:rFonts w:ascii="Times New Roman" w:hAnsi="Times New Roman" w:eastAsiaTheme="minorEastAsia"/>
          <w:szCs w:val="21"/>
        </w:rPr>
      </w:pPr>
      <w:r>
        <w:rPr>
          <w:rFonts w:hint="eastAsia" w:ascii="Times New Roman" w:hAnsi="Times New Roman" w:eastAsiaTheme="minorEastAsia"/>
          <w:szCs w:val="21"/>
        </w:rPr>
        <w:t>纳税人识别号：91110108596007659D</w:t>
      </w:r>
    </w:p>
    <w:p w14:paraId="3ACF972A">
      <w:pPr>
        <w:spacing w:line="360" w:lineRule="auto"/>
        <w:rPr>
          <w:rFonts w:ascii="Times New Roman" w:hAnsi="Times New Roman" w:eastAsiaTheme="minorEastAsia"/>
          <w:szCs w:val="21"/>
        </w:rPr>
      </w:pPr>
      <w:r>
        <w:rPr>
          <w:rFonts w:hint="eastAsia" w:ascii="Times New Roman" w:hAnsi="Times New Roman" w:eastAsiaTheme="minorEastAsia"/>
          <w:szCs w:val="21"/>
        </w:rPr>
        <w:t>地址：北京市密云区新南路92号楼5层5106</w:t>
      </w:r>
    </w:p>
    <w:p w14:paraId="6245E1D8">
      <w:pPr>
        <w:spacing w:line="360" w:lineRule="auto"/>
        <w:rPr>
          <w:rFonts w:ascii="Times New Roman" w:hAnsi="Times New Roman" w:eastAsiaTheme="minorEastAsia"/>
          <w:szCs w:val="21"/>
        </w:rPr>
      </w:pPr>
      <w:r>
        <w:rPr>
          <w:rFonts w:hint="eastAsia" w:ascii="Times New Roman" w:hAnsi="Times New Roman" w:eastAsiaTheme="minorEastAsia"/>
          <w:szCs w:val="21"/>
        </w:rPr>
        <w:t>电话：010-82746952</w:t>
      </w:r>
    </w:p>
    <w:p w14:paraId="215293F2">
      <w:pPr>
        <w:spacing w:line="360" w:lineRule="auto"/>
        <w:rPr>
          <w:rFonts w:ascii="Times New Roman" w:hAnsi="Times New Roman" w:eastAsiaTheme="minorEastAsia"/>
          <w:szCs w:val="21"/>
        </w:rPr>
      </w:pPr>
      <w:r>
        <w:rPr>
          <w:rFonts w:hint="eastAsia" w:ascii="Times New Roman" w:hAnsi="Times New Roman" w:eastAsiaTheme="minorEastAsia"/>
          <w:szCs w:val="21"/>
        </w:rPr>
        <w:t>单位盖章：______________________________________</w:t>
      </w:r>
    </w:p>
    <w:p w14:paraId="187D8CF9">
      <w:pPr>
        <w:spacing w:line="360" w:lineRule="auto"/>
        <w:rPr>
          <w:rFonts w:ascii="Times New Roman" w:hAnsi="Times New Roman" w:eastAsiaTheme="minorEastAsia"/>
          <w:szCs w:val="21"/>
        </w:rPr>
      </w:pPr>
    </w:p>
    <w:p w14:paraId="4FAC8796">
      <w:pPr>
        <w:spacing w:line="360" w:lineRule="auto"/>
        <w:rPr>
          <w:rFonts w:ascii="Times New Roman" w:hAnsi="Times New Roman" w:eastAsiaTheme="minorEastAsia"/>
          <w:szCs w:val="21"/>
        </w:rPr>
      </w:pPr>
      <w:r>
        <w:rPr>
          <w:rFonts w:hint="eastAsia" w:ascii="Times New Roman" w:hAnsi="Times New Roman" w:eastAsiaTheme="minorEastAsia"/>
          <w:szCs w:val="21"/>
        </w:rPr>
        <w:t>法定代表人／委托代理人：________________________</w:t>
      </w:r>
    </w:p>
    <w:p w14:paraId="688AC863">
      <w:pPr>
        <w:spacing w:line="360" w:lineRule="auto"/>
        <w:rPr>
          <w:rFonts w:ascii="Times New Roman" w:hAnsi="Times New Roman" w:eastAsiaTheme="minorEastAsia"/>
          <w:szCs w:val="21"/>
        </w:rPr>
      </w:pPr>
    </w:p>
    <w:p w14:paraId="19ADC7F5">
      <w:pPr>
        <w:spacing w:line="360" w:lineRule="auto"/>
        <w:rPr>
          <w:rFonts w:ascii="Times New Roman" w:hAnsi="Times New Roman" w:eastAsiaTheme="minorEastAsia"/>
          <w:szCs w:val="21"/>
        </w:rPr>
      </w:pPr>
      <w:r>
        <w:rPr>
          <w:rFonts w:hint="eastAsia" w:ascii="Times New Roman" w:hAnsi="Times New Roman" w:eastAsiaTheme="minorEastAsia"/>
          <w:szCs w:val="21"/>
        </w:rPr>
        <w:t>日期：</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年</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月</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日</w:t>
      </w:r>
    </w:p>
    <w:p w14:paraId="6F8CB87B">
      <w:pPr>
        <w:spacing w:line="360" w:lineRule="auto"/>
        <w:rPr>
          <w:rFonts w:ascii="Times New Roman" w:hAnsi="Times New Roman" w:eastAsiaTheme="minorEastAsia"/>
          <w:szCs w:val="21"/>
        </w:rPr>
      </w:pPr>
    </w:p>
    <w:p w14:paraId="5E37F4EB">
      <w:pPr>
        <w:spacing w:line="360" w:lineRule="auto"/>
        <w:rPr>
          <w:rFonts w:ascii="Times New Roman" w:hAnsi="Times New Roman" w:eastAsiaTheme="minorEastAsia"/>
          <w:szCs w:val="21"/>
        </w:rPr>
      </w:pPr>
      <w:r>
        <w:rPr>
          <w:rFonts w:hint="eastAsia" w:ascii="Times New Roman" w:hAnsi="Times New Roman" w:eastAsiaTheme="minorEastAsia"/>
          <w:szCs w:val="21"/>
        </w:rPr>
        <w:t>乙方：北京垚鑫同创科技有限公司</w:t>
      </w:r>
    </w:p>
    <w:p w14:paraId="3C4172E7">
      <w:pPr>
        <w:spacing w:line="360" w:lineRule="auto"/>
        <w:rPr>
          <w:rFonts w:ascii="Times New Roman" w:hAnsi="Times New Roman" w:eastAsiaTheme="minorEastAsia"/>
          <w:szCs w:val="21"/>
        </w:rPr>
      </w:pPr>
      <w:r>
        <w:rPr>
          <w:rFonts w:hint="eastAsia" w:ascii="Times New Roman" w:hAnsi="Times New Roman" w:eastAsiaTheme="minorEastAsia"/>
          <w:szCs w:val="21"/>
        </w:rPr>
        <w:t>户名：北京垚鑫同创科技有限公司</w:t>
      </w:r>
    </w:p>
    <w:p w14:paraId="2611E959">
      <w:pPr>
        <w:spacing w:line="360" w:lineRule="auto"/>
        <w:rPr>
          <w:rFonts w:hint="eastAsia" w:ascii="Times New Roman" w:hAnsi="Times New Roman" w:eastAsiaTheme="minorEastAsia"/>
          <w:szCs w:val="21"/>
        </w:rPr>
      </w:pPr>
      <w:r>
        <w:rPr>
          <w:rFonts w:hint="eastAsia" w:ascii="Times New Roman" w:hAnsi="Times New Roman" w:eastAsiaTheme="minorEastAsia"/>
          <w:szCs w:val="21"/>
        </w:rPr>
        <w:t>开户行：中国建设银行北京和平里支行</w:t>
      </w:r>
    </w:p>
    <w:p w14:paraId="072A67D2">
      <w:pPr>
        <w:spacing w:line="360" w:lineRule="auto"/>
        <w:rPr>
          <w:rFonts w:ascii="Times New Roman" w:hAnsi="Times New Roman" w:eastAsiaTheme="minorEastAsia"/>
          <w:szCs w:val="21"/>
        </w:rPr>
      </w:pPr>
      <w:r>
        <w:rPr>
          <w:rFonts w:hint="eastAsia" w:ascii="Times New Roman" w:hAnsi="Times New Roman" w:eastAsiaTheme="minorEastAsia"/>
          <w:szCs w:val="21"/>
        </w:rPr>
        <w:t>账号： 11050160560000000678</w:t>
      </w:r>
    </w:p>
    <w:p w14:paraId="6362D352">
      <w:pPr>
        <w:spacing w:line="360" w:lineRule="auto"/>
        <w:rPr>
          <w:rFonts w:ascii="Times New Roman" w:hAnsi="Times New Roman" w:eastAsiaTheme="minorEastAsia"/>
          <w:szCs w:val="21"/>
        </w:rPr>
      </w:pPr>
      <w:r>
        <w:rPr>
          <w:rFonts w:hint="eastAsia" w:ascii="Times New Roman" w:hAnsi="Times New Roman" w:eastAsiaTheme="minorEastAsia"/>
          <w:szCs w:val="21"/>
        </w:rPr>
        <w:t>纳税人识别号：91110105MA018XY677</w:t>
      </w:r>
    </w:p>
    <w:p w14:paraId="120052E8">
      <w:pPr>
        <w:spacing w:line="360" w:lineRule="auto"/>
        <w:rPr>
          <w:rFonts w:ascii="Times New Roman" w:hAnsi="Times New Roman" w:eastAsiaTheme="minorEastAsia"/>
          <w:szCs w:val="21"/>
        </w:rPr>
      </w:pPr>
      <w:r>
        <w:rPr>
          <w:rFonts w:hint="eastAsia" w:ascii="Times New Roman" w:hAnsi="Times New Roman" w:eastAsiaTheme="minorEastAsia"/>
          <w:szCs w:val="21"/>
        </w:rPr>
        <w:t>地址：北京市石景山区实兴大街30号院16号楼9层9099室</w:t>
      </w:r>
    </w:p>
    <w:p w14:paraId="308CF53F">
      <w:pPr>
        <w:spacing w:line="360" w:lineRule="auto"/>
        <w:rPr>
          <w:rFonts w:hint="eastAsia" w:ascii="Times New Roman" w:hAnsi="Times New Roman" w:eastAsiaTheme="minorEastAsia"/>
          <w:szCs w:val="21"/>
        </w:rPr>
      </w:pPr>
      <w:r>
        <w:rPr>
          <w:rFonts w:hint="eastAsia" w:ascii="Times New Roman" w:hAnsi="Times New Roman" w:eastAsiaTheme="minorEastAsia"/>
          <w:szCs w:val="21"/>
        </w:rPr>
        <w:t>电话：</w:t>
      </w:r>
      <w:r>
        <w:rPr>
          <w:rFonts w:hint="eastAsia" w:ascii="Times New Roman" w:hAnsi="Times New Roman" w:eastAsiaTheme="minorEastAsia"/>
          <w:szCs w:val="21"/>
          <w:lang w:val="en-US" w:eastAsia="zh-CN"/>
        </w:rPr>
        <w:t>18518671072</w:t>
      </w:r>
    </w:p>
    <w:p w14:paraId="2F967B55">
      <w:pPr>
        <w:spacing w:line="360" w:lineRule="auto"/>
        <w:rPr>
          <w:rFonts w:ascii="Times New Roman" w:hAnsi="Times New Roman" w:eastAsiaTheme="minorEastAsia"/>
          <w:szCs w:val="21"/>
        </w:rPr>
      </w:pPr>
    </w:p>
    <w:p w14:paraId="1A05D33C">
      <w:pPr>
        <w:spacing w:line="360" w:lineRule="auto"/>
        <w:rPr>
          <w:rFonts w:ascii="Times New Roman" w:hAnsi="Times New Roman" w:eastAsiaTheme="minorEastAsia"/>
          <w:szCs w:val="21"/>
        </w:rPr>
      </w:pPr>
      <w:r>
        <w:rPr>
          <w:rFonts w:hint="eastAsia" w:ascii="Times New Roman" w:hAnsi="Times New Roman" w:eastAsiaTheme="minorEastAsia"/>
          <w:szCs w:val="21"/>
        </w:rPr>
        <w:t>单位盖章：______________________________________</w:t>
      </w:r>
    </w:p>
    <w:p w14:paraId="5FE62634">
      <w:pPr>
        <w:spacing w:line="360" w:lineRule="auto"/>
        <w:rPr>
          <w:rFonts w:ascii="Times New Roman" w:hAnsi="Times New Roman" w:eastAsiaTheme="minorEastAsia"/>
          <w:szCs w:val="21"/>
        </w:rPr>
      </w:pPr>
    </w:p>
    <w:p w14:paraId="254DD071">
      <w:pPr>
        <w:spacing w:line="360" w:lineRule="auto"/>
        <w:rPr>
          <w:rFonts w:ascii="Times New Roman" w:hAnsi="Times New Roman" w:eastAsiaTheme="minorEastAsia"/>
          <w:szCs w:val="21"/>
        </w:rPr>
      </w:pPr>
      <w:r>
        <w:rPr>
          <w:rFonts w:hint="eastAsia" w:ascii="Times New Roman" w:hAnsi="Times New Roman" w:eastAsiaTheme="minorEastAsia"/>
          <w:szCs w:val="21"/>
        </w:rPr>
        <w:t>法定代表人／委托代理人：________________________</w:t>
      </w:r>
    </w:p>
    <w:p w14:paraId="5199F9CD">
      <w:pPr>
        <w:spacing w:line="360" w:lineRule="auto"/>
        <w:rPr>
          <w:rFonts w:ascii="Times New Roman" w:hAnsi="Times New Roman" w:eastAsiaTheme="minorEastAsia"/>
          <w:szCs w:val="21"/>
        </w:rPr>
      </w:pPr>
    </w:p>
    <w:p w14:paraId="6D41500D">
      <w:pPr>
        <w:spacing w:line="360" w:lineRule="auto"/>
        <w:rPr>
          <w:rFonts w:ascii="Times New Roman" w:hAnsi="Times New Roman" w:eastAsiaTheme="minorEastAsia"/>
          <w:szCs w:val="21"/>
        </w:rPr>
      </w:pPr>
      <w:r>
        <w:rPr>
          <w:rFonts w:hint="eastAsia" w:ascii="Times New Roman" w:hAnsi="Times New Roman" w:eastAsiaTheme="minorEastAsia"/>
          <w:szCs w:val="21"/>
        </w:rPr>
        <w:t>日期：</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年</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月</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日</w:t>
      </w:r>
    </w:p>
    <w:p w14:paraId="28F8B2C7">
      <w:pPr>
        <w:widowControl/>
        <w:spacing w:line="360" w:lineRule="auto"/>
        <w:ind w:firstLine="400" w:firstLineChars="200"/>
        <w:rPr>
          <w:rFonts w:ascii="宋体" w:hAnsi="宋体" w:cs="宋体"/>
          <w:szCs w:val="21"/>
        </w:rPr>
      </w:pPr>
      <w:r>
        <w:rPr>
          <w:sz w:val="20"/>
          <w:szCs w:val="18"/>
        </w:rPr>
        <w:br w:type="page"/>
      </w:r>
    </w:p>
    <w:p w14:paraId="149D27F3">
      <w:pPr>
        <w:spacing w:before="100" w:beforeAutospacing="1" w:after="100" w:afterAutospacing="1" w:line="360" w:lineRule="auto"/>
        <w:ind w:right="57"/>
        <w:rPr>
          <w:rFonts w:ascii="等线" w:hAnsi="等线" w:eastAsia="等线" w:cs="宋体"/>
          <w:b/>
          <w:color w:val="000000"/>
          <w:sz w:val="28"/>
          <w:szCs w:val="28"/>
        </w:rPr>
      </w:pPr>
      <w:r>
        <w:rPr>
          <w:rFonts w:hint="eastAsia" w:ascii="等线" w:hAnsi="等线" w:eastAsia="等线" w:cs="宋体"/>
          <w:b/>
          <w:color w:val="000000"/>
          <w:sz w:val="28"/>
          <w:szCs w:val="28"/>
        </w:rPr>
        <w:t>附件1、</w:t>
      </w:r>
      <w:r>
        <w:rPr>
          <w:rFonts w:hint="eastAsia" w:ascii="微软雅黑" w:hAnsi="微软雅黑" w:eastAsia="微软雅黑" w:cs="微软雅黑"/>
          <w:b/>
          <w:kern w:val="0"/>
          <w:sz w:val="28"/>
          <w:szCs w:val="28"/>
        </w:rPr>
        <w:t>视频会议系统维保设备明细</w:t>
      </w:r>
    </w:p>
    <w:tbl>
      <w:tblPr>
        <w:tblStyle w:val="19"/>
        <w:tblW w:w="4853" w:type="pct"/>
        <w:tblInd w:w="0" w:type="dxa"/>
        <w:tblLayout w:type="autofit"/>
        <w:tblCellMar>
          <w:top w:w="0" w:type="dxa"/>
          <w:left w:w="108" w:type="dxa"/>
          <w:bottom w:w="0" w:type="dxa"/>
          <w:right w:w="108" w:type="dxa"/>
        </w:tblCellMar>
      </w:tblPr>
      <w:tblGrid>
        <w:gridCol w:w="617"/>
        <w:gridCol w:w="2276"/>
        <w:gridCol w:w="1090"/>
        <w:gridCol w:w="1136"/>
        <w:gridCol w:w="2079"/>
        <w:gridCol w:w="559"/>
        <w:gridCol w:w="514"/>
      </w:tblGrid>
      <w:tr w14:paraId="34A51084">
        <w:tblPrEx>
          <w:tblCellMar>
            <w:top w:w="0" w:type="dxa"/>
            <w:left w:w="108" w:type="dxa"/>
            <w:bottom w:w="0" w:type="dxa"/>
            <w:right w:w="108" w:type="dxa"/>
          </w:tblCellMar>
        </w:tblPrEx>
        <w:trPr>
          <w:trHeight w:val="625" w:hRule="atLeast"/>
        </w:trPr>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91132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编号</w:t>
            </w:r>
          </w:p>
        </w:tc>
        <w:tc>
          <w:tcPr>
            <w:tcW w:w="13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DFFC0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货物名称</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2C96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品牌</w:t>
            </w:r>
          </w:p>
        </w:tc>
        <w:tc>
          <w:tcPr>
            <w:tcW w:w="68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78763D4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产品类型（进口/国产）</w:t>
            </w:r>
          </w:p>
        </w:tc>
        <w:tc>
          <w:tcPr>
            <w:tcW w:w="1257" w:type="pct"/>
            <w:vMerge w:val="restart"/>
            <w:tcBorders>
              <w:top w:val="single" w:color="auto" w:sz="4" w:space="0"/>
              <w:left w:val="single" w:color="auto" w:sz="4" w:space="0"/>
              <w:bottom w:val="single" w:color="auto" w:sz="4" w:space="0"/>
              <w:right w:val="single" w:color="auto" w:sz="4" w:space="0"/>
            </w:tcBorders>
            <w:vAlign w:val="center"/>
          </w:tcPr>
          <w:p w14:paraId="3A2056B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规格型号</w:t>
            </w:r>
          </w:p>
        </w:tc>
        <w:tc>
          <w:tcPr>
            <w:tcW w:w="338" w:type="pct"/>
            <w:vMerge w:val="restart"/>
            <w:tcBorders>
              <w:top w:val="single" w:color="auto" w:sz="4" w:space="0"/>
              <w:left w:val="single" w:color="auto" w:sz="4" w:space="0"/>
              <w:bottom w:val="single" w:color="auto" w:sz="4" w:space="0"/>
              <w:right w:val="single" w:color="auto" w:sz="4" w:space="0"/>
            </w:tcBorders>
            <w:vAlign w:val="center"/>
          </w:tcPr>
          <w:p w14:paraId="070B7E3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数量</w:t>
            </w:r>
          </w:p>
        </w:tc>
        <w:tc>
          <w:tcPr>
            <w:tcW w:w="311" w:type="pct"/>
            <w:vMerge w:val="restart"/>
            <w:tcBorders>
              <w:top w:val="single" w:color="auto" w:sz="4" w:space="0"/>
              <w:left w:val="single" w:color="auto" w:sz="4" w:space="0"/>
              <w:bottom w:val="single" w:color="auto" w:sz="4" w:space="0"/>
              <w:right w:val="single" w:color="auto" w:sz="4" w:space="0"/>
            </w:tcBorders>
            <w:vAlign w:val="center"/>
          </w:tcPr>
          <w:p w14:paraId="7E49632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单位</w:t>
            </w:r>
          </w:p>
        </w:tc>
      </w:tr>
      <w:tr w14:paraId="739973FA">
        <w:tblPrEx>
          <w:tblCellMar>
            <w:top w:w="0" w:type="dxa"/>
            <w:left w:w="108" w:type="dxa"/>
            <w:bottom w:w="0" w:type="dxa"/>
            <w:right w:w="108" w:type="dxa"/>
          </w:tblCellMar>
        </w:tblPrEx>
        <w:trPr>
          <w:trHeight w:val="625" w:hRule="atLeast"/>
        </w:trPr>
        <w:tc>
          <w:tcPr>
            <w:tcW w:w="373" w:type="pct"/>
            <w:vMerge w:val="continue"/>
            <w:tcBorders>
              <w:top w:val="single" w:color="auto" w:sz="4" w:space="0"/>
              <w:left w:val="single" w:color="auto" w:sz="4" w:space="0"/>
              <w:bottom w:val="single" w:color="auto" w:sz="4" w:space="0"/>
              <w:right w:val="single" w:color="auto" w:sz="4" w:space="0"/>
            </w:tcBorders>
            <w:vAlign w:val="center"/>
          </w:tcPr>
          <w:p w14:paraId="5E42C772">
            <w:pPr>
              <w:adjustRightInd w:val="0"/>
              <w:snapToGrid w:val="0"/>
              <w:rPr>
                <w:rFonts w:ascii="微软雅黑" w:hAnsi="微软雅黑" w:eastAsia="微软雅黑" w:cs="宋体"/>
                <w:color w:val="000000"/>
                <w:sz w:val="20"/>
              </w:rPr>
            </w:pPr>
          </w:p>
        </w:tc>
        <w:tc>
          <w:tcPr>
            <w:tcW w:w="1376" w:type="pct"/>
            <w:vMerge w:val="continue"/>
            <w:tcBorders>
              <w:top w:val="single" w:color="auto" w:sz="4" w:space="0"/>
              <w:left w:val="single" w:color="auto" w:sz="4" w:space="0"/>
              <w:bottom w:val="single" w:color="auto" w:sz="4" w:space="0"/>
              <w:right w:val="single" w:color="auto" w:sz="4" w:space="0"/>
            </w:tcBorders>
            <w:vAlign w:val="center"/>
          </w:tcPr>
          <w:p w14:paraId="0FA15C8B">
            <w:pPr>
              <w:adjustRightInd w:val="0"/>
              <w:snapToGrid w:val="0"/>
              <w:rPr>
                <w:rFonts w:ascii="微软雅黑" w:hAnsi="微软雅黑" w:eastAsia="微软雅黑" w:cs="宋体"/>
                <w:color w:val="000000"/>
                <w:sz w:val="20"/>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523B7DEE">
            <w:pPr>
              <w:adjustRightInd w:val="0"/>
              <w:snapToGrid w:val="0"/>
              <w:rPr>
                <w:rFonts w:ascii="微软雅黑" w:hAnsi="微软雅黑" w:eastAsia="微软雅黑" w:cs="宋体"/>
                <w:color w:val="000000"/>
                <w:sz w:val="20"/>
              </w:rPr>
            </w:pPr>
          </w:p>
        </w:tc>
        <w:tc>
          <w:tcPr>
            <w:tcW w:w="687" w:type="pct"/>
            <w:vMerge w:val="continue"/>
            <w:tcBorders>
              <w:top w:val="single" w:color="auto" w:sz="4" w:space="0"/>
              <w:left w:val="single" w:color="auto" w:sz="4" w:space="0"/>
              <w:bottom w:val="single" w:color="auto" w:sz="4" w:space="0"/>
              <w:right w:val="single" w:color="auto" w:sz="4" w:space="0"/>
            </w:tcBorders>
            <w:vAlign w:val="center"/>
          </w:tcPr>
          <w:p w14:paraId="00424487">
            <w:pPr>
              <w:adjustRightInd w:val="0"/>
              <w:snapToGrid w:val="0"/>
              <w:rPr>
                <w:rFonts w:ascii="微软雅黑" w:hAnsi="微软雅黑" w:eastAsia="微软雅黑" w:cs="宋体"/>
                <w:color w:val="000000"/>
                <w:sz w:val="20"/>
              </w:rPr>
            </w:pPr>
          </w:p>
        </w:tc>
        <w:tc>
          <w:tcPr>
            <w:tcW w:w="1257" w:type="pct"/>
            <w:vMerge w:val="continue"/>
            <w:tcBorders>
              <w:top w:val="single" w:color="auto" w:sz="4" w:space="0"/>
              <w:left w:val="single" w:color="auto" w:sz="4" w:space="0"/>
              <w:bottom w:val="single" w:color="auto" w:sz="4" w:space="0"/>
              <w:right w:val="single" w:color="auto" w:sz="4" w:space="0"/>
            </w:tcBorders>
            <w:vAlign w:val="center"/>
          </w:tcPr>
          <w:p w14:paraId="13854D23">
            <w:pPr>
              <w:adjustRightInd w:val="0"/>
              <w:snapToGrid w:val="0"/>
              <w:rPr>
                <w:rFonts w:ascii="微软雅黑" w:hAnsi="微软雅黑" w:eastAsia="微软雅黑" w:cs="宋体"/>
                <w:color w:val="000000"/>
                <w:sz w:val="20"/>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14:paraId="39454BEC">
            <w:pPr>
              <w:adjustRightInd w:val="0"/>
              <w:snapToGrid w:val="0"/>
              <w:rPr>
                <w:rFonts w:ascii="微软雅黑" w:hAnsi="微软雅黑" w:eastAsia="微软雅黑" w:cs="宋体"/>
                <w:color w:val="000000"/>
                <w:sz w:val="20"/>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14:paraId="2561F9F5">
            <w:pPr>
              <w:adjustRightInd w:val="0"/>
              <w:snapToGrid w:val="0"/>
              <w:rPr>
                <w:rFonts w:ascii="微软雅黑" w:hAnsi="微软雅黑" w:eastAsia="微软雅黑" w:cs="宋体"/>
                <w:color w:val="000000"/>
                <w:sz w:val="20"/>
              </w:rPr>
            </w:pPr>
          </w:p>
        </w:tc>
      </w:tr>
      <w:tr w14:paraId="7DF89263">
        <w:tblPrEx>
          <w:tblCellMar>
            <w:top w:w="0" w:type="dxa"/>
            <w:left w:w="108" w:type="dxa"/>
            <w:bottom w:w="0" w:type="dxa"/>
            <w:right w:w="108" w:type="dxa"/>
          </w:tblCellMar>
        </w:tblPrEx>
        <w:trPr>
          <w:trHeight w:val="344" w:hRule="atLeast"/>
        </w:trPr>
        <w:tc>
          <w:tcPr>
            <w:tcW w:w="373" w:type="pct"/>
            <w:vMerge w:val="continue"/>
            <w:tcBorders>
              <w:top w:val="single" w:color="auto" w:sz="4" w:space="0"/>
              <w:left w:val="single" w:color="auto" w:sz="4" w:space="0"/>
              <w:bottom w:val="single" w:color="auto" w:sz="4" w:space="0"/>
              <w:right w:val="single" w:color="auto" w:sz="4" w:space="0"/>
            </w:tcBorders>
            <w:vAlign w:val="center"/>
          </w:tcPr>
          <w:p w14:paraId="4558886E">
            <w:pPr>
              <w:adjustRightInd w:val="0"/>
              <w:snapToGrid w:val="0"/>
              <w:rPr>
                <w:rFonts w:ascii="微软雅黑" w:hAnsi="微软雅黑" w:eastAsia="微软雅黑" w:cs="宋体"/>
                <w:color w:val="000000"/>
                <w:sz w:val="20"/>
              </w:rPr>
            </w:pPr>
          </w:p>
        </w:tc>
        <w:tc>
          <w:tcPr>
            <w:tcW w:w="1376" w:type="pct"/>
            <w:vMerge w:val="continue"/>
            <w:tcBorders>
              <w:top w:val="single" w:color="auto" w:sz="4" w:space="0"/>
              <w:left w:val="single" w:color="auto" w:sz="4" w:space="0"/>
              <w:bottom w:val="single" w:color="auto" w:sz="4" w:space="0"/>
              <w:right w:val="single" w:color="auto" w:sz="4" w:space="0"/>
            </w:tcBorders>
            <w:vAlign w:val="center"/>
          </w:tcPr>
          <w:p w14:paraId="2DE99EC1">
            <w:pPr>
              <w:adjustRightInd w:val="0"/>
              <w:snapToGrid w:val="0"/>
              <w:rPr>
                <w:rFonts w:ascii="微软雅黑" w:hAnsi="微软雅黑" w:eastAsia="微软雅黑" w:cs="宋体"/>
                <w:color w:val="000000"/>
                <w:sz w:val="20"/>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14:paraId="0FDCC005">
            <w:pPr>
              <w:adjustRightInd w:val="0"/>
              <w:snapToGrid w:val="0"/>
              <w:rPr>
                <w:rFonts w:ascii="微软雅黑" w:hAnsi="微软雅黑" w:eastAsia="微软雅黑" w:cs="宋体"/>
                <w:color w:val="000000"/>
                <w:sz w:val="20"/>
              </w:rPr>
            </w:pPr>
          </w:p>
        </w:tc>
        <w:tc>
          <w:tcPr>
            <w:tcW w:w="687" w:type="pct"/>
            <w:vMerge w:val="continue"/>
            <w:tcBorders>
              <w:top w:val="single" w:color="auto" w:sz="4" w:space="0"/>
              <w:left w:val="single" w:color="auto" w:sz="4" w:space="0"/>
              <w:bottom w:val="single" w:color="auto" w:sz="4" w:space="0"/>
              <w:right w:val="single" w:color="auto" w:sz="4" w:space="0"/>
            </w:tcBorders>
            <w:vAlign w:val="center"/>
          </w:tcPr>
          <w:p w14:paraId="3C0F8CEE">
            <w:pPr>
              <w:adjustRightInd w:val="0"/>
              <w:snapToGrid w:val="0"/>
              <w:rPr>
                <w:rFonts w:ascii="微软雅黑" w:hAnsi="微软雅黑" w:eastAsia="微软雅黑" w:cs="宋体"/>
                <w:color w:val="000000"/>
                <w:sz w:val="20"/>
              </w:rPr>
            </w:pPr>
          </w:p>
        </w:tc>
        <w:tc>
          <w:tcPr>
            <w:tcW w:w="1257" w:type="pct"/>
            <w:vMerge w:val="continue"/>
            <w:tcBorders>
              <w:top w:val="single" w:color="auto" w:sz="4" w:space="0"/>
              <w:left w:val="single" w:color="auto" w:sz="4" w:space="0"/>
              <w:bottom w:val="single" w:color="auto" w:sz="4" w:space="0"/>
              <w:right w:val="single" w:color="auto" w:sz="4" w:space="0"/>
            </w:tcBorders>
            <w:vAlign w:val="center"/>
          </w:tcPr>
          <w:p w14:paraId="6BCA8CB9">
            <w:pPr>
              <w:adjustRightInd w:val="0"/>
              <w:snapToGrid w:val="0"/>
              <w:rPr>
                <w:rFonts w:ascii="微软雅黑" w:hAnsi="微软雅黑" w:eastAsia="微软雅黑" w:cs="宋体"/>
                <w:color w:val="000000"/>
                <w:sz w:val="20"/>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14:paraId="35FC1A07">
            <w:pPr>
              <w:adjustRightInd w:val="0"/>
              <w:snapToGrid w:val="0"/>
              <w:rPr>
                <w:rFonts w:ascii="微软雅黑" w:hAnsi="微软雅黑" w:eastAsia="微软雅黑" w:cs="宋体"/>
                <w:color w:val="000000"/>
                <w:sz w:val="20"/>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14:paraId="6AF59C92">
            <w:pPr>
              <w:adjustRightInd w:val="0"/>
              <w:snapToGrid w:val="0"/>
              <w:rPr>
                <w:rFonts w:ascii="微软雅黑" w:hAnsi="微软雅黑" w:eastAsia="微软雅黑" w:cs="宋体"/>
                <w:color w:val="000000"/>
                <w:sz w:val="20"/>
              </w:rPr>
            </w:pPr>
          </w:p>
        </w:tc>
      </w:tr>
      <w:tr w14:paraId="29155C9E">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2CA21ED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1376" w:type="pct"/>
            <w:tcBorders>
              <w:top w:val="nil"/>
              <w:left w:val="nil"/>
              <w:bottom w:val="single" w:color="auto" w:sz="4" w:space="0"/>
              <w:right w:val="single" w:color="auto" w:sz="4" w:space="0"/>
            </w:tcBorders>
            <w:vAlign w:val="center"/>
          </w:tcPr>
          <w:p w14:paraId="3063B4E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分中心多点控制单元（MCU）</w:t>
            </w:r>
          </w:p>
        </w:tc>
        <w:tc>
          <w:tcPr>
            <w:tcW w:w="659" w:type="pct"/>
            <w:tcBorders>
              <w:top w:val="nil"/>
              <w:left w:val="nil"/>
              <w:bottom w:val="single" w:color="auto" w:sz="4" w:space="0"/>
              <w:right w:val="single" w:color="auto" w:sz="4" w:space="0"/>
            </w:tcBorders>
            <w:vAlign w:val="center"/>
          </w:tcPr>
          <w:p w14:paraId="1A22B75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5B3623E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12AA811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VP9650-18</w:t>
            </w:r>
          </w:p>
        </w:tc>
        <w:tc>
          <w:tcPr>
            <w:tcW w:w="338" w:type="pct"/>
            <w:tcBorders>
              <w:top w:val="nil"/>
              <w:left w:val="nil"/>
              <w:bottom w:val="single" w:color="auto" w:sz="4" w:space="0"/>
              <w:right w:val="single" w:color="auto" w:sz="4" w:space="0"/>
            </w:tcBorders>
            <w:vAlign w:val="center"/>
          </w:tcPr>
          <w:p w14:paraId="0797878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48D9901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463F3CE0">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0948FE0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1376" w:type="pct"/>
            <w:tcBorders>
              <w:top w:val="nil"/>
              <w:left w:val="nil"/>
              <w:bottom w:val="single" w:color="auto" w:sz="4" w:space="0"/>
              <w:right w:val="single" w:color="auto" w:sz="4" w:space="0"/>
            </w:tcBorders>
            <w:vAlign w:val="center"/>
          </w:tcPr>
          <w:p w14:paraId="22CB944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分中心高清视频会议终端</w:t>
            </w:r>
          </w:p>
        </w:tc>
        <w:tc>
          <w:tcPr>
            <w:tcW w:w="659" w:type="pct"/>
            <w:tcBorders>
              <w:top w:val="nil"/>
              <w:left w:val="nil"/>
              <w:bottom w:val="single" w:color="auto" w:sz="4" w:space="0"/>
              <w:right w:val="single" w:color="auto" w:sz="4" w:space="0"/>
            </w:tcBorders>
            <w:vAlign w:val="center"/>
          </w:tcPr>
          <w:p w14:paraId="0D56C61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40B1022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199D2A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TE50</w:t>
            </w:r>
          </w:p>
        </w:tc>
        <w:tc>
          <w:tcPr>
            <w:tcW w:w="338" w:type="pct"/>
            <w:tcBorders>
              <w:top w:val="nil"/>
              <w:left w:val="nil"/>
              <w:bottom w:val="single" w:color="auto" w:sz="4" w:space="0"/>
              <w:right w:val="single" w:color="auto" w:sz="4" w:space="0"/>
            </w:tcBorders>
            <w:vAlign w:val="center"/>
          </w:tcPr>
          <w:p w14:paraId="59FB000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5A1AE23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703239CE">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26D900C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3.1</w:t>
            </w:r>
          </w:p>
        </w:tc>
        <w:tc>
          <w:tcPr>
            <w:tcW w:w="1376" w:type="pct"/>
            <w:tcBorders>
              <w:top w:val="nil"/>
              <w:left w:val="nil"/>
              <w:bottom w:val="single" w:color="auto" w:sz="4" w:space="0"/>
              <w:right w:val="single" w:color="auto" w:sz="4" w:space="0"/>
            </w:tcBorders>
            <w:vAlign w:val="center"/>
          </w:tcPr>
          <w:p w14:paraId="36CB721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分中心图像预监系统</w:t>
            </w:r>
          </w:p>
        </w:tc>
        <w:tc>
          <w:tcPr>
            <w:tcW w:w="659" w:type="pct"/>
            <w:tcBorders>
              <w:top w:val="nil"/>
              <w:left w:val="nil"/>
              <w:bottom w:val="single" w:color="auto" w:sz="4" w:space="0"/>
              <w:right w:val="single" w:color="auto" w:sz="4" w:space="0"/>
            </w:tcBorders>
            <w:vAlign w:val="center"/>
          </w:tcPr>
          <w:p w14:paraId="1545CC2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02DDD5B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5DD470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TE40</w:t>
            </w:r>
          </w:p>
        </w:tc>
        <w:tc>
          <w:tcPr>
            <w:tcW w:w="338" w:type="pct"/>
            <w:tcBorders>
              <w:top w:val="nil"/>
              <w:left w:val="nil"/>
              <w:bottom w:val="single" w:color="auto" w:sz="4" w:space="0"/>
              <w:right w:val="single" w:color="auto" w:sz="4" w:space="0"/>
            </w:tcBorders>
            <w:vAlign w:val="center"/>
          </w:tcPr>
          <w:p w14:paraId="570AB06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4E816C7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502A49A2">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0049991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3.2</w:t>
            </w:r>
          </w:p>
        </w:tc>
        <w:tc>
          <w:tcPr>
            <w:tcW w:w="1376" w:type="pct"/>
            <w:tcBorders>
              <w:top w:val="nil"/>
              <w:left w:val="nil"/>
              <w:bottom w:val="single" w:color="auto" w:sz="4" w:space="0"/>
              <w:right w:val="single" w:color="auto" w:sz="4" w:space="0"/>
            </w:tcBorders>
            <w:vAlign w:val="center"/>
          </w:tcPr>
          <w:p w14:paraId="53E00EB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预监显示器</w:t>
            </w:r>
          </w:p>
        </w:tc>
        <w:tc>
          <w:tcPr>
            <w:tcW w:w="659" w:type="pct"/>
            <w:tcBorders>
              <w:top w:val="nil"/>
              <w:left w:val="nil"/>
              <w:bottom w:val="single" w:color="auto" w:sz="4" w:space="0"/>
              <w:right w:val="single" w:color="auto" w:sz="4" w:space="0"/>
            </w:tcBorders>
            <w:vAlign w:val="center"/>
          </w:tcPr>
          <w:p w14:paraId="7726622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687" w:type="pct"/>
            <w:tcBorders>
              <w:top w:val="nil"/>
              <w:left w:val="nil"/>
              <w:bottom w:val="single" w:color="auto" w:sz="4" w:space="0"/>
              <w:right w:val="single" w:color="auto" w:sz="4" w:space="0"/>
            </w:tcBorders>
            <w:vAlign w:val="center"/>
          </w:tcPr>
          <w:p w14:paraId="5557794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F4F6F8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LCD-46NX265 </w:t>
            </w:r>
          </w:p>
        </w:tc>
        <w:tc>
          <w:tcPr>
            <w:tcW w:w="338" w:type="pct"/>
            <w:tcBorders>
              <w:top w:val="nil"/>
              <w:left w:val="nil"/>
              <w:bottom w:val="single" w:color="auto" w:sz="4" w:space="0"/>
              <w:right w:val="single" w:color="auto" w:sz="4" w:space="0"/>
            </w:tcBorders>
            <w:vAlign w:val="center"/>
          </w:tcPr>
          <w:p w14:paraId="4B67494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6B423E7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154B5F9B">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4D5D642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3.3</w:t>
            </w:r>
          </w:p>
        </w:tc>
        <w:tc>
          <w:tcPr>
            <w:tcW w:w="1376" w:type="pct"/>
            <w:tcBorders>
              <w:top w:val="nil"/>
              <w:left w:val="nil"/>
              <w:bottom w:val="single" w:color="auto" w:sz="4" w:space="0"/>
              <w:right w:val="single" w:color="auto" w:sz="4" w:space="0"/>
            </w:tcBorders>
            <w:vAlign w:val="center"/>
          </w:tcPr>
          <w:p w14:paraId="4EBF1DA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会场标示制作</w:t>
            </w:r>
          </w:p>
        </w:tc>
        <w:tc>
          <w:tcPr>
            <w:tcW w:w="659" w:type="pct"/>
            <w:tcBorders>
              <w:top w:val="nil"/>
              <w:left w:val="nil"/>
              <w:bottom w:val="single" w:color="auto" w:sz="4" w:space="0"/>
              <w:right w:val="single" w:color="auto" w:sz="4" w:space="0"/>
            </w:tcBorders>
            <w:vAlign w:val="center"/>
          </w:tcPr>
          <w:p w14:paraId="68A7C41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国标</w:t>
            </w:r>
          </w:p>
        </w:tc>
        <w:tc>
          <w:tcPr>
            <w:tcW w:w="687" w:type="pct"/>
            <w:tcBorders>
              <w:top w:val="nil"/>
              <w:left w:val="nil"/>
              <w:bottom w:val="single" w:color="auto" w:sz="4" w:space="0"/>
              <w:right w:val="single" w:color="auto" w:sz="4" w:space="0"/>
            </w:tcBorders>
            <w:vAlign w:val="center"/>
          </w:tcPr>
          <w:p w14:paraId="22759FA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ED9367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国标</w:t>
            </w:r>
          </w:p>
        </w:tc>
        <w:tc>
          <w:tcPr>
            <w:tcW w:w="338" w:type="pct"/>
            <w:tcBorders>
              <w:top w:val="nil"/>
              <w:left w:val="nil"/>
              <w:bottom w:val="single" w:color="auto" w:sz="4" w:space="0"/>
              <w:right w:val="single" w:color="auto" w:sz="4" w:space="0"/>
            </w:tcBorders>
            <w:vAlign w:val="center"/>
          </w:tcPr>
          <w:p w14:paraId="4DEDE7C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46A302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6EC5BA5C">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34213DE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4.1</w:t>
            </w:r>
          </w:p>
        </w:tc>
        <w:tc>
          <w:tcPr>
            <w:tcW w:w="1376" w:type="pct"/>
            <w:tcBorders>
              <w:top w:val="nil"/>
              <w:left w:val="nil"/>
              <w:bottom w:val="single" w:color="auto" w:sz="4" w:space="0"/>
              <w:right w:val="single" w:color="auto" w:sz="4" w:space="0"/>
            </w:tcBorders>
            <w:vAlign w:val="center"/>
          </w:tcPr>
          <w:p w14:paraId="4427CF7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分中心视频信号处理系统-高清视频矩阵</w:t>
            </w:r>
          </w:p>
        </w:tc>
        <w:tc>
          <w:tcPr>
            <w:tcW w:w="659" w:type="pct"/>
            <w:tcBorders>
              <w:top w:val="nil"/>
              <w:left w:val="nil"/>
              <w:bottom w:val="single" w:color="auto" w:sz="4" w:space="0"/>
              <w:right w:val="single" w:color="auto" w:sz="4" w:space="0"/>
            </w:tcBorders>
            <w:vAlign w:val="center"/>
          </w:tcPr>
          <w:p w14:paraId="56FCEB4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淳中</w:t>
            </w:r>
          </w:p>
        </w:tc>
        <w:tc>
          <w:tcPr>
            <w:tcW w:w="687" w:type="pct"/>
            <w:tcBorders>
              <w:top w:val="nil"/>
              <w:left w:val="nil"/>
              <w:bottom w:val="single" w:color="auto" w:sz="4" w:space="0"/>
              <w:right w:val="single" w:color="auto" w:sz="4" w:space="0"/>
            </w:tcBorders>
            <w:vAlign w:val="center"/>
          </w:tcPr>
          <w:p w14:paraId="5000034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E8F414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8路通道</w:t>
            </w:r>
          </w:p>
        </w:tc>
        <w:tc>
          <w:tcPr>
            <w:tcW w:w="338" w:type="pct"/>
            <w:tcBorders>
              <w:top w:val="nil"/>
              <w:left w:val="nil"/>
              <w:bottom w:val="single" w:color="auto" w:sz="4" w:space="0"/>
              <w:right w:val="single" w:color="auto" w:sz="4" w:space="0"/>
            </w:tcBorders>
            <w:vAlign w:val="center"/>
          </w:tcPr>
          <w:p w14:paraId="037FFF1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532978F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00C558D1">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51744B9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4.2</w:t>
            </w:r>
          </w:p>
        </w:tc>
        <w:tc>
          <w:tcPr>
            <w:tcW w:w="1376" w:type="pct"/>
            <w:tcBorders>
              <w:top w:val="nil"/>
              <w:left w:val="nil"/>
              <w:bottom w:val="single" w:color="auto" w:sz="4" w:space="0"/>
              <w:right w:val="single" w:color="auto" w:sz="4" w:space="0"/>
            </w:tcBorders>
            <w:vAlign w:val="center"/>
          </w:tcPr>
          <w:p w14:paraId="44659A7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分中心视频信号处理系统-多媒体录播服务器</w:t>
            </w:r>
          </w:p>
        </w:tc>
        <w:tc>
          <w:tcPr>
            <w:tcW w:w="659" w:type="pct"/>
            <w:tcBorders>
              <w:top w:val="nil"/>
              <w:left w:val="nil"/>
              <w:bottom w:val="single" w:color="auto" w:sz="4" w:space="0"/>
              <w:right w:val="single" w:color="auto" w:sz="4" w:space="0"/>
            </w:tcBorders>
            <w:vAlign w:val="center"/>
          </w:tcPr>
          <w:p w14:paraId="03805E0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14:paraId="0B52863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restart"/>
            <w:tcBorders>
              <w:top w:val="nil"/>
              <w:left w:val="single" w:color="auto" w:sz="4" w:space="0"/>
              <w:bottom w:val="single" w:color="auto" w:sz="4" w:space="0"/>
              <w:right w:val="single" w:color="auto" w:sz="4" w:space="0"/>
            </w:tcBorders>
            <w:vAlign w:val="center"/>
          </w:tcPr>
          <w:p w14:paraId="4482470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Videocon MRS会议录播系统</w:t>
            </w:r>
          </w:p>
        </w:tc>
        <w:tc>
          <w:tcPr>
            <w:tcW w:w="338" w:type="pct"/>
            <w:tcBorders>
              <w:top w:val="nil"/>
              <w:left w:val="nil"/>
              <w:bottom w:val="single" w:color="auto" w:sz="4" w:space="0"/>
              <w:right w:val="single" w:color="auto" w:sz="4" w:space="0"/>
            </w:tcBorders>
            <w:vAlign w:val="center"/>
          </w:tcPr>
          <w:p w14:paraId="0A197BF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0C2EA59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4355A72D">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5F7DDAD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4.3</w:t>
            </w:r>
          </w:p>
        </w:tc>
        <w:tc>
          <w:tcPr>
            <w:tcW w:w="1376" w:type="pct"/>
            <w:tcBorders>
              <w:top w:val="nil"/>
              <w:left w:val="nil"/>
              <w:bottom w:val="single" w:color="auto" w:sz="4" w:space="0"/>
              <w:right w:val="single" w:color="auto" w:sz="4" w:space="0"/>
            </w:tcBorders>
            <w:vAlign w:val="center"/>
          </w:tcPr>
          <w:p w14:paraId="24AAC69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分中心视频信号处理系统-高清编码器</w:t>
            </w:r>
          </w:p>
        </w:tc>
        <w:tc>
          <w:tcPr>
            <w:tcW w:w="659" w:type="pct"/>
            <w:tcBorders>
              <w:top w:val="nil"/>
              <w:left w:val="nil"/>
              <w:bottom w:val="single" w:color="auto" w:sz="4" w:space="0"/>
              <w:right w:val="single" w:color="auto" w:sz="4" w:space="0"/>
            </w:tcBorders>
            <w:vAlign w:val="center"/>
          </w:tcPr>
          <w:p w14:paraId="5B20E5F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14:paraId="53078F5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continue"/>
            <w:tcBorders>
              <w:top w:val="nil"/>
              <w:left w:val="single" w:color="auto" w:sz="4" w:space="0"/>
              <w:bottom w:val="single" w:color="auto" w:sz="4" w:space="0"/>
              <w:right w:val="single" w:color="auto" w:sz="4" w:space="0"/>
            </w:tcBorders>
            <w:vAlign w:val="center"/>
          </w:tcPr>
          <w:p w14:paraId="5DB1C86B">
            <w:pPr>
              <w:adjustRightInd w:val="0"/>
              <w:snapToGrid w:val="0"/>
              <w:rPr>
                <w:rFonts w:ascii="微软雅黑" w:hAnsi="微软雅黑" w:eastAsia="微软雅黑" w:cs="宋体"/>
                <w:color w:val="000000"/>
                <w:sz w:val="20"/>
              </w:rPr>
            </w:pPr>
          </w:p>
        </w:tc>
        <w:tc>
          <w:tcPr>
            <w:tcW w:w="338" w:type="pct"/>
            <w:tcBorders>
              <w:top w:val="nil"/>
              <w:left w:val="nil"/>
              <w:bottom w:val="single" w:color="auto" w:sz="4" w:space="0"/>
              <w:right w:val="single" w:color="auto" w:sz="4" w:space="0"/>
            </w:tcBorders>
            <w:vAlign w:val="center"/>
          </w:tcPr>
          <w:p w14:paraId="5D3F8FF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534C1BF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3B280215">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4994DA7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4.4</w:t>
            </w:r>
          </w:p>
        </w:tc>
        <w:tc>
          <w:tcPr>
            <w:tcW w:w="1376" w:type="pct"/>
            <w:tcBorders>
              <w:top w:val="nil"/>
              <w:left w:val="nil"/>
              <w:bottom w:val="single" w:color="auto" w:sz="4" w:space="0"/>
              <w:right w:val="single" w:color="auto" w:sz="4" w:space="0"/>
            </w:tcBorders>
            <w:vAlign w:val="center"/>
          </w:tcPr>
          <w:p w14:paraId="2E717C6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分中心视频信号处理系统-VGA编码器</w:t>
            </w:r>
          </w:p>
        </w:tc>
        <w:tc>
          <w:tcPr>
            <w:tcW w:w="659" w:type="pct"/>
            <w:tcBorders>
              <w:top w:val="nil"/>
              <w:left w:val="nil"/>
              <w:bottom w:val="single" w:color="auto" w:sz="4" w:space="0"/>
              <w:right w:val="single" w:color="auto" w:sz="4" w:space="0"/>
            </w:tcBorders>
            <w:vAlign w:val="center"/>
          </w:tcPr>
          <w:p w14:paraId="604733C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14:paraId="28D48CE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continue"/>
            <w:tcBorders>
              <w:top w:val="nil"/>
              <w:left w:val="single" w:color="auto" w:sz="4" w:space="0"/>
              <w:bottom w:val="single" w:color="auto" w:sz="4" w:space="0"/>
              <w:right w:val="single" w:color="auto" w:sz="4" w:space="0"/>
            </w:tcBorders>
            <w:vAlign w:val="center"/>
          </w:tcPr>
          <w:p w14:paraId="4941CE56">
            <w:pPr>
              <w:adjustRightInd w:val="0"/>
              <w:snapToGrid w:val="0"/>
              <w:rPr>
                <w:rFonts w:ascii="微软雅黑" w:hAnsi="微软雅黑" w:eastAsia="微软雅黑" w:cs="宋体"/>
                <w:color w:val="000000"/>
                <w:sz w:val="20"/>
              </w:rPr>
            </w:pPr>
          </w:p>
        </w:tc>
        <w:tc>
          <w:tcPr>
            <w:tcW w:w="338" w:type="pct"/>
            <w:tcBorders>
              <w:top w:val="nil"/>
              <w:left w:val="nil"/>
              <w:bottom w:val="single" w:color="auto" w:sz="4" w:space="0"/>
              <w:right w:val="single" w:color="auto" w:sz="4" w:space="0"/>
            </w:tcBorders>
            <w:vAlign w:val="center"/>
          </w:tcPr>
          <w:p w14:paraId="731D29C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6344B1D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1E180A40">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073AEA2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4.5</w:t>
            </w:r>
          </w:p>
        </w:tc>
        <w:tc>
          <w:tcPr>
            <w:tcW w:w="1376" w:type="pct"/>
            <w:tcBorders>
              <w:top w:val="nil"/>
              <w:left w:val="nil"/>
              <w:bottom w:val="single" w:color="auto" w:sz="4" w:space="0"/>
              <w:right w:val="single" w:color="auto" w:sz="4" w:space="0"/>
            </w:tcBorders>
            <w:vAlign w:val="center"/>
          </w:tcPr>
          <w:p w14:paraId="0A6AFED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分中心视频信号处理系统-后期媒体编辑软件</w:t>
            </w:r>
          </w:p>
        </w:tc>
        <w:tc>
          <w:tcPr>
            <w:tcW w:w="659" w:type="pct"/>
            <w:tcBorders>
              <w:top w:val="nil"/>
              <w:left w:val="nil"/>
              <w:bottom w:val="single" w:color="auto" w:sz="4" w:space="0"/>
              <w:right w:val="single" w:color="auto" w:sz="4" w:space="0"/>
            </w:tcBorders>
            <w:vAlign w:val="center"/>
          </w:tcPr>
          <w:p w14:paraId="2C1DCC2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14:paraId="714A821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continue"/>
            <w:tcBorders>
              <w:top w:val="nil"/>
              <w:left w:val="single" w:color="auto" w:sz="4" w:space="0"/>
              <w:bottom w:val="single" w:color="auto" w:sz="4" w:space="0"/>
              <w:right w:val="single" w:color="auto" w:sz="4" w:space="0"/>
            </w:tcBorders>
            <w:vAlign w:val="center"/>
          </w:tcPr>
          <w:p w14:paraId="04F50DFB">
            <w:pPr>
              <w:adjustRightInd w:val="0"/>
              <w:snapToGrid w:val="0"/>
              <w:rPr>
                <w:rFonts w:ascii="微软雅黑" w:hAnsi="微软雅黑" w:eastAsia="微软雅黑" w:cs="宋体"/>
                <w:color w:val="000000"/>
                <w:sz w:val="20"/>
              </w:rPr>
            </w:pPr>
          </w:p>
        </w:tc>
        <w:tc>
          <w:tcPr>
            <w:tcW w:w="338" w:type="pct"/>
            <w:tcBorders>
              <w:top w:val="nil"/>
              <w:left w:val="nil"/>
              <w:bottom w:val="single" w:color="auto" w:sz="4" w:space="0"/>
              <w:right w:val="single" w:color="auto" w:sz="4" w:space="0"/>
            </w:tcBorders>
            <w:vAlign w:val="center"/>
          </w:tcPr>
          <w:p w14:paraId="22AD52B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8F2B84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4FCEAF13">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1A79076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4.6</w:t>
            </w:r>
          </w:p>
        </w:tc>
        <w:tc>
          <w:tcPr>
            <w:tcW w:w="1376" w:type="pct"/>
            <w:tcBorders>
              <w:top w:val="nil"/>
              <w:left w:val="nil"/>
              <w:bottom w:val="single" w:color="auto" w:sz="4" w:space="0"/>
              <w:right w:val="single" w:color="auto" w:sz="4" w:space="0"/>
            </w:tcBorders>
            <w:vAlign w:val="center"/>
          </w:tcPr>
          <w:p w14:paraId="0E345E1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分中心视频信号处理系统-图形工作站</w:t>
            </w:r>
          </w:p>
        </w:tc>
        <w:tc>
          <w:tcPr>
            <w:tcW w:w="659" w:type="pct"/>
            <w:tcBorders>
              <w:top w:val="nil"/>
              <w:left w:val="nil"/>
              <w:bottom w:val="single" w:color="auto" w:sz="4" w:space="0"/>
              <w:right w:val="single" w:color="auto" w:sz="4" w:space="0"/>
            </w:tcBorders>
            <w:vAlign w:val="center"/>
          </w:tcPr>
          <w:p w14:paraId="42991D0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联想</w:t>
            </w:r>
          </w:p>
        </w:tc>
        <w:tc>
          <w:tcPr>
            <w:tcW w:w="687" w:type="pct"/>
            <w:tcBorders>
              <w:top w:val="nil"/>
              <w:left w:val="nil"/>
              <w:bottom w:val="single" w:color="auto" w:sz="4" w:space="0"/>
              <w:right w:val="single" w:color="auto" w:sz="4" w:space="0"/>
            </w:tcBorders>
            <w:vAlign w:val="center"/>
          </w:tcPr>
          <w:p w14:paraId="2BDB6D3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4C69954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ThinkCenter 8500T </w:t>
            </w:r>
          </w:p>
        </w:tc>
        <w:tc>
          <w:tcPr>
            <w:tcW w:w="338" w:type="pct"/>
            <w:tcBorders>
              <w:top w:val="nil"/>
              <w:left w:val="nil"/>
              <w:bottom w:val="single" w:color="auto" w:sz="4" w:space="0"/>
              <w:right w:val="single" w:color="auto" w:sz="4" w:space="0"/>
            </w:tcBorders>
            <w:vAlign w:val="center"/>
          </w:tcPr>
          <w:p w14:paraId="5C7D491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B9B3F4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0134B2A7">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4E1B24C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4.7</w:t>
            </w:r>
          </w:p>
        </w:tc>
        <w:tc>
          <w:tcPr>
            <w:tcW w:w="1376" w:type="pct"/>
            <w:tcBorders>
              <w:top w:val="nil"/>
              <w:left w:val="nil"/>
              <w:bottom w:val="single" w:color="auto" w:sz="4" w:space="0"/>
              <w:right w:val="single" w:color="auto" w:sz="4" w:space="0"/>
            </w:tcBorders>
            <w:vAlign w:val="center"/>
          </w:tcPr>
          <w:p w14:paraId="4F44BDE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分中心视频会议室辅助设备-时序电源</w:t>
            </w:r>
          </w:p>
        </w:tc>
        <w:tc>
          <w:tcPr>
            <w:tcW w:w="659" w:type="pct"/>
            <w:tcBorders>
              <w:top w:val="nil"/>
              <w:left w:val="nil"/>
              <w:bottom w:val="single" w:color="auto" w:sz="4" w:space="0"/>
              <w:right w:val="single" w:color="auto" w:sz="4" w:space="0"/>
            </w:tcBorders>
            <w:vAlign w:val="center"/>
          </w:tcPr>
          <w:p w14:paraId="3E41AA6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SKD</w:t>
            </w:r>
          </w:p>
        </w:tc>
        <w:tc>
          <w:tcPr>
            <w:tcW w:w="687" w:type="pct"/>
            <w:tcBorders>
              <w:top w:val="nil"/>
              <w:left w:val="nil"/>
              <w:bottom w:val="single" w:color="auto" w:sz="4" w:space="0"/>
              <w:right w:val="single" w:color="auto" w:sz="4" w:space="0"/>
            </w:tcBorders>
            <w:vAlign w:val="center"/>
          </w:tcPr>
          <w:p w14:paraId="4A8B5F8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F0CE09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SPS2512</w:t>
            </w:r>
          </w:p>
        </w:tc>
        <w:tc>
          <w:tcPr>
            <w:tcW w:w="338" w:type="pct"/>
            <w:tcBorders>
              <w:top w:val="nil"/>
              <w:left w:val="nil"/>
              <w:bottom w:val="single" w:color="auto" w:sz="4" w:space="0"/>
              <w:right w:val="single" w:color="auto" w:sz="4" w:space="0"/>
            </w:tcBorders>
            <w:vAlign w:val="center"/>
          </w:tcPr>
          <w:p w14:paraId="451C2EF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7B9C8C5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2CA9BF6A">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5DD41B5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4.8</w:t>
            </w:r>
          </w:p>
        </w:tc>
        <w:tc>
          <w:tcPr>
            <w:tcW w:w="1376" w:type="pct"/>
            <w:tcBorders>
              <w:top w:val="nil"/>
              <w:left w:val="nil"/>
              <w:bottom w:val="single" w:color="auto" w:sz="4" w:space="0"/>
              <w:right w:val="single" w:color="auto" w:sz="4" w:space="0"/>
            </w:tcBorders>
            <w:vAlign w:val="center"/>
          </w:tcPr>
          <w:p w14:paraId="6E88669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分中心视频会议室辅助设备-监视器</w:t>
            </w:r>
          </w:p>
        </w:tc>
        <w:tc>
          <w:tcPr>
            <w:tcW w:w="659" w:type="pct"/>
            <w:tcBorders>
              <w:top w:val="nil"/>
              <w:left w:val="nil"/>
              <w:bottom w:val="single" w:color="auto" w:sz="4" w:space="0"/>
              <w:right w:val="single" w:color="auto" w:sz="4" w:space="0"/>
            </w:tcBorders>
            <w:vAlign w:val="center"/>
          </w:tcPr>
          <w:p w14:paraId="7A4F544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美佳爱</w:t>
            </w:r>
          </w:p>
        </w:tc>
        <w:tc>
          <w:tcPr>
            <w:tcW w:w="687" w:type="pct"/>
            <w:tcBorders>
              <w:top w:val="nil"/>
              <w:left w:val="nil"/>
              <w:bottom w:val="single" w:color="auto" w:sz="4" w:space="0"/>
              <w:right w:val="single" w:color="auto" w:sz="4" w:space="0"/>
            </w:tcBorders>
            <w:vAlign w:val="center"/>
          </w:tcPr>
          <w:p w14:paraId="514B591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55A6AD3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22寸液晶监视器-mj-m2200</w:t>
            </w:r>
          </w:p>
        </w:tc>
        <w:tc>
          <w:tcPr>
            <w:tcW w:w="338" w:type="pct"/>
            <w:tcBorders>
              <w:top w:val="nil"/>
              <w:left w:val="nil"/>
              <w:bottom w:val="single" w:color="auto" w:sz="4" w:space="0"/>
              <w:right w:val="single" w:color="auto" w:sz="4" w:space="0"/>
            </w:tcBorders>
            <w:vAlign w:val="center"/>
          </w:tcPr>
          <w:p w14:paraId="1F74820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0731806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3B31F29D">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6307A61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4.9</w:t>
            </w:r>
          </w:p>
        </w:tc>
        <w:tc>
          <w:tcPr>
            <w:tcW w:w="1376" w:type="pct"/>
            <w:tcBorders>
              <w:top w:val="nil"/>
              <w:left w:val="nil"/>
              <w:bottom w:val="single" w:color="auto" w:sz="4" w:space="0"/>
              <w:right w:val="single" w:color="auto" w:sz="4" w:space="0"/>
            </w:tcBorders>
            <w:vAlign w:val="center"/>
          </w:tcPr>
          <w:p w14:paraId="6494ED1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分中心视频会议室辅助设备-机柜</w:t>
            </w:r>
          </w:p>
        </w:tc>
        <w:tc>
          <w:tcPr>
            <w:tcW w:w="659" w:type="pct"/>
            <w:tcBorders>
              <w:top w:val="nil"/>
              <w:left w:val="nil"/>
              <w:bottom w:val="single" w:color="auto" w:sz="4" w:space="0"/>
              <w:right w:val="single" w:color="auto" w:sz="4" w:space="0"/>
            </w:tcBorders>
            <w:vAlign w:val="center"/>
          </w:tcPr>
          <w:p w14:paraId="1753C74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图腾</w:t>
            </w:r>
          </w:p>
        </w:tc>
        <w:tc>
          <w:tcPr>
            <w:tcW w:w="687" w:type="pct"/>
            <w:tcBorders>
              <w:top w:val="nil"/>
              <w:left w:val="nil"/>
              <w:bottom w:val="single" w:color="auto" w:sz="4" w:space="0"/>
              <w:right w:val="single" w:color="auto" w:sz="4" w:space="0"/>
            </w:tcBorders>
            <w:vAlign w:val="center"/>
          </w:tcPr>
          <w:p w14:paraId="656AE8C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318A3D5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A26642</w:t>
            </w:r>
          </w:p>
        </w:tc>
        <w:tc>
          <w:tcPr>
            <w:tcW w:w="338" w:type="pct"/>
            <w:tcBorders>
              <w:top w:val="nil"/>
              <w:left w:val="nil"/>
              <w:bottom w:val="single" w:color="auto" w:sz="4" w:space="0"/>
              <w:right w:val="single" w:color="auto" w:sz="4" w:space="0"/>
            </w:tcBorders>
            <w:vAlign w:val="center"/>
          </w:tcPr>
          <w:p w14:paraId="011C885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644CB49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64ABD7E3">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0F2CEE8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4.1</w:t>
            </w:r>
          </w:p>
        </w:tc>
        <w:tc>
          <w:tcPr>
            <w:tcW w:w="1376" w:type="pct"/>
            <w:tcBorders>
              <w:top w:val="nil"/>
              <w:left w:val="nil"/>
              <w:bottom w:val="single" w:color="auto" w:sz="4" w:space="0"/>
              <w:right w:val="single" w:color="auto" w:sz="4" w:space="0"/>
            </w:tcBorders>
            <w:vAlign w:val="center"/>
          </w:tcPr>
          <w:p w14:paraId="3EB117B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分中心视频信号处理系统-便携工作终端</w:t>
            </w:r>
          </w:p>
        </w:tc>
        <w:tc>
          <w:tcPr>
            <w:tcW w:w="659" w:type="pct"/>
            <w:tcBorders>
              <w:top w:val="nil"/>
              <w:left w:val="nil"/>
              <w:bottom w:val="single" w:color="auto" w:sz="4" w:space="0"/>
              <w:right w:val="single" w:color="auto" w:sz="4" w:space="0"/>
            </w:tcBorders>
            <w:vAlign w:val="center"/>
          </w:tcPr>
          <w:p w14:paraId="50C89C3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联想</w:t>
            </w:r>
          </w:p>
        </w:tc>
        <w:tc>
          <w:tcPr>
            <w:tcW w:w="687" w:type="pct"/>
            <w:tcBorders>
              <w:top w:val="nil"/>
              <w:left w:val="nil"/>
              <w:bottom w:val="single" w:color="auto" w:sz="4" w:space="0"/>
              <w:right w:val="single" w:color="auto" w:sz="4" w:space="0"/>
            </w:tcBorders>
            <w:vAlign w:val="center"/>
          </w:tcPr>
          <w:p w14:paraId="5F86D8E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3211CD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ThinkPad T440</w:t>
            </w:r>
          </w:p>
        </w:tc>
        <w:tc>
          <w:tcPr>
            <w:tcW w:w="338" w:type="pct"/>
            <w:tcBorders>
              <w:top w:val="nil"/>
              <w:left w:val="nil"/>
              <w:bottom w:val="single" w:color="auto" w:sz="4" w:space="0"/>
              <w:right w:val="single" w:color="auto" w:sz="4" w:space="0"/>
            </w:tcBorders>
            <w:vAlign w:val="center"/>
          </w:tcPr>
          <w:p w14:paraId="716684F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13C8A4A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3185D8F5">
        <w:tblPrEx>
          <w:tblCellMar>
            <w:top w:w="0" w:type="dxa"/>
            <w:left w:w="108" w:type="dxa"/>
            <w:bottom w:w="0" w:type="dxa"/>
            <w:right w:w="108" w:type="dxa"/>
          </w:tblCellMar>
        </w:tblPrEx>
        <w:trPr>
          <w:trHeight w:val="733" w:hRule="atLeast"/>
        </w:trPr>
        <w:tc>
          <w:tcPr>
            <w:tcW w:w="373" w:type="pct"/>
            <w:tcBorders>
              <w:top w:val="nil"/>
              <w:left w:val="single" w:color="auto" w:sz="4" w:space="0"/>
              <w:bottom w:val="single" w:color="auto" w:sz="4" w:space="0"/>
              <w:right w:val="single" w:color="auto" w:sz="4" w:space="0"/>
            </w:tcBorders>
            <w:vAlign w:val="center"/>
          </w:tcPr>
          <w:p w14:paraId="5EE6963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5.1</w:t>
            </w:r>
          </w:p>
        </w:tc>
        <w:tc>
          <w:tcPr>
            <w:tcW w:w="1376" w:type="pct"/>
            <w:tcBorders>
              <w:top w:val="nil"/>
              <w:left w:val="nil"/>
              <w:bottom w:val="single" w:color="auto" w:sz="4" w:space="0"/>
              <w:right w:val="single" w:color="auto" w:sz="4" w:space="0"/>
            </w:tcBorders>
            <w:vAlign w:val="center"/>
          </w:tcPr>
          <w:p w14:paraId="240AA4F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分中心视频会议图像显示系统-70英寸高清液晶电视</w:t>
            </w:r>
          </w:p>
        </w:tc>
        <w:tc>
          <w:tcPr>
            <w:tcW w:w="659" w:type="pct"/>
            <w:tcBorders>
              <w:top w:val="nil"/>
              <w:left w:val="nil"/>
              <w:bottom w:val="single" w:color="auto" w:sz="4" w:space="0"/>
              <w:right w:val="single" w:color="auto" w:sz="4" w:space="0"/>
            </w:tcBorders>
            <w:vAlign w:val="center"/>
          </w:tcPr>
          <w:p w14:paraId="4D203FF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687" w:type="pct"/>
            <w:tcBorders>
              <w:top w:val="nil"/>
              <w:left w:val="nil"/>
              <w:bottom w:val="single" w:color="auto" w:sz="4" w:space="0"/>
              <w:right w:val="single" w:color="auto" w:sz="4" w:space="0"/>
            </w:tcBorders>
            <w:vAlign w:val="center"/>
          </w:tcPr>
          <w:p w14:paraId="478A5C4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5573F16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LCD70LX640</w:t>
            </w:r>
          </w:p>
        </w:tc>
        <w:tc>
          <w:tcPr>
            <w:tcW w:w="338" w:type="pct"/>
            <w:tcBorders>
              <w:top w:val="nil"/>
              <w:left w:val="nil"/>
              <w:bottom w:val="single" w:color="auto" w:sz="4" w:space="0"/>
              <w:right w:val="single" w:color="auto" w:sz="4" w:space="0"/>
            </w:tcBorders>
            <w:vAlign w:val="center"/>
          </w:tcPr>
          <w:p w14:paraId="2A3C72F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14:paraId="2C69879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6FD2D44E">
        <w:tblPrEx>
          <w:tblCellMar>
            <w:top w:w="0" w:type="dxa"/>
            <w:left w:w="108" w:type="dxa"/>
            <w:bottom w:w="0" w:type="dxa"/>
            <w:right w:w="108" w:type="dxa"/>
          </w:tblCellMar>
        </w:tblPrEx>
        <w:trPr>
          <w:trHeight w:val="733" w:hRule="atLeast"/>
        </w:trPr>
        <w:tc>
          <w:tcPr>
            <w:tcW w:w="373" w:type="pct"/>
            <w:tcBorders>
              <w:top w:val="nil"/>
              <w:left w:val="single" w:color="auto" w:sz="4" w:space="0"/>
              <w:bottom w:val="single" w:color="auto" w:sz="4" w:space="0"/>
              <w:right w:val="single" w:color="auto" w:sz="4" w:space="0"/>
            </w:tcBorders>
            <w:vAlign w:val="center"/>
          </w:tcPr>
          <w:p w14:paraId="4875533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5.2</w:t>
            </w:r>
          </w:p>
        </w:tc>
        <w:tc>
          <w:tcPr>
            <w:tcW w:w="1376" w:type="pct"/>
            <w:tcBorders>
              <w:top w:val="nil"/>
              <w:left w:val="nil"/>
              <w:bottom w:val="single" w:color="auto" w:sz="4" w:space="0"/>
              <w:right w:val="single" w:color="auto" w:sz="4" w:space="0"/>
            </w:tcBorders>
            <w:vAlign w:val="center"/>
          </w:tcPr>
          <w:p w14:paraId="789DF18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分中心视频会议图像显示系统-60英寸高清液晶电视</w:t>
            </w:r>
          </w:p>
        </w:tc>
        <w:tc>
          <w:tcPr>
            <w:tcW w:w="659" w:type="pct"/>
            <w:tcBorders>
              <w:top w:val="nil"/>
              <w:left w:val="nil"/>
              <w:bottom w:val="single" w:color="auto" w:sz="4" w:space="0"/>
              <w:right w:val="single" w:color="auto" w:sz="4" w:space="0"/>
            </w:tcBorders>
            <w:vAlign w:val="center"/>
          </w:tcPr>
          <w:p w14:paraId="561DA66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687" w:type="pct"/>
            <w:tcBorders>
              <w:top w:val="nil"/>
              <w:left w:val="nil"/>
              <w:bottom w:val="single" w:color="auto" w:sz="4" w:space="0"/>
              <w:right w:val="single" w:color="auto" w:sz="4" w:space="0"/>
            </w:tcBorders>
            <w:vAlign w:val="center"/>
          </w:tcPr>
          <w:p w14:paraId="73445C1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625D2A6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LCD-60NX265</w:t>
            </w:r>
          </w:p>
        </w:tc>
        <w:tc>
          <w:tcPr>
            <w:tcW w:w="338" w:type="pct"/>
            <w:tcBorders>
              <w:top w:val="nil"/>
              <w:left w:val="nil"/>
              <w:bottom w:val="single" w:color="auto" w:sz="4" w:space="0"/>
              <w:right w:val="single" w:color="auto" w:sz="4" w:space="0"/>
            </w:tcBorders>
            <w:vAlign w:val="center"/>
          </w:tcPr>
          <w:p w14:paraId="3DB67C3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1C119DD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6D4BD817">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558189E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5.3</w:t>
            </w:r>
          </w:p>
        </w:tc>
        <w:tc>
          <w:tcPr>
            <w:tcW w:w="1376" w:type="pct"/>
            <w:tcBorders>
              <w:top w:val="nil"/>
              <w:left w:val="nil"/>
              <w:bottom w:val="single" w:color="auto" w:sz="4" w:space="0"/>
              <w:right w:val="single" w:color="auto" w:sz="4" w:space="0"/>
            </w:tcBorders>
            <w:vAlign w:val="center"/>
          </w:tcPr>
          <w:p w14:paraId="2EC8A1B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分中心视频会议图像显示系统-移动推车</w:t>
            </w:r>
          </w:p>
        </w:tc>
        <w:tc>
          <w:tcPr>
            <w:tcW w:w="659" w:type="pct"/>
            <w:tcBorders>
              <w:top w:val="nil"/>
              <w:left w:val="nil"/>
              <w:bottom w:val="single" w:color="auto" w:sz="4" w:space="0"/>
              <w:right w:val="single" w:color="auto" w:sz="4" w:space="0"/>
            </w:tcBorders>
            <w:vAlign w:val="center"/>
          </w:tcPr>
          <w:p w14:paraId="0739BAA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尚郎</w:t>
            </w:r>
          </w:p>
        </w:tc>
        <w:tc>
          <w:tcPr>
            <w:tcW w:w="687" w:type="pct"/>
            <w:tcBorders>
              <w:top w:val="nil"/>
              <w:left w:val="nil"/>
              <w:bottom w:val="single" w:color="auto" w:sz="4" w:space="0"/>
              <w:right w:val="single" w:color="auto" w:sz="4" w:space="0"/>
            </w:tcBorders>
            <w:vAlign w:val="center"/>
          </w:tcPr>
          <w:p w14:paraId="44F7BC1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31469CA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LP-6822</w:t>
            </w:r>
          </w:p>
        </w:tc>
        <w:tc>
          <w:tcPr>
            <w:tcW w:w="338" w:type="pct"/>
            <w:tcBorders>
              <w:top w:val="nil"/>
              <w:left w:val="nil"/>
              <w:bottom w:val="single" w:color="auto" w:sz="4" w:space="0"/>
              <w:right w:val="single" w:color="auto" w:sz="4" w:space="0"/>
            </w:tcBorders>
            <w:vAlign w:val="center"/>
          </w:tcPr>
          <w:p w14:paraId="3C9A728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2446424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5EBA3297">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6327F91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6.1</w:t>
            </w:r>
          </w:p>
        </w:tc>
        <w:tc>
          <w:tcPr>
            <w:tcW w:w="1376" w:type="pct"/>
            <w:tcBorders>
              <w:top w:val="nil"/>
              <w:left w:val="nil"/>
              <w:bottom w:val="single" w:color="auto" w:sz="4" w:space="0"/>
              <w:right w:val="single" w:color="auto" w:sz="4" w:space="0"/>
            </w:tcBorders>
            <w:vAlign w:val="center"/>
          </w:tcPr>
          <w:p w14:paraId="18CD457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分中心高清投影设备</w:t>
            </w:r>
          </w:p>
        </w:tc>
        <w:tc>
          <w:tcPr>
            <w:tcW w:w="659" w:type="pct"/>
            <w:tcBorders>
              <w:top w:val="nil"/>
              <w:left w:val="nil"/>
              <w:bottom w:val="single" w:color="auto" w:sz="4" w:space="0"/>
              <w:right w:val="single" w:color="auto" w:sz="4" w:space="0"/>
            </w:tcBorders>
            <w:vAlign w:val="center"/>
          </w:tcPr>
          <w:p w14:paraId="4A70D63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明基</w:t>
            </w:r>
          </w:p>
        </w:tc>
        <w:tc>
          <w:tcPr>
            <w:tcW w:w="687" w:type="pct"/>
            <w:tcBorders>
              <w:top w:val="nil"/>
              <w:left w:val="nil"/>
              <w:bottom w:val="single" w:color="auto" w:sz="4" w:space="0"/>
              <w:right w:val="single" w:color="auto" w:sz="4" w:space="0"/>
            </w:tcBorders>
            <w:vAlign w:val="center"/>
          </w:tcPr>
          <w:p w14:paraId="3A0D21C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5D39C76">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SH963</w:t>
            </w:r>
          </w:p>
        </w:tc>
        <w:tc>
          <w:tcPr>
            <w:tcW w:w="338" w:type="pct"/>
            <w:tcBorders>
              <w:top w:val="nil"/>
              <w:left w:val="nil"/>
              <w:bottom w:val="single" w:color="auto" w:sz="4" w:space="0"/>
              <w:right w:val="single" w:color="auto" w:sz="4" w:space="0"/>
            </w:tcBorders>
            <w:vAlign w:val="center"/>
          </w:tcPr>
          <w:p w14:paraId="18EA829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0AC543B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0F7127AD">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14:paraId="3599062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6.2</w:t>
            </w:r>
          </w:p>
        </w:tc>
        <w:tc>
          <w:tcPr>
            <w:tcW w:w="1376" w:type="pct"/>
            <w:tcBorders>
              <w:top w:val="nil"/>
              <w:left w:val="nil"/>
              <w:bottom w:val="single" w:color="auto" w:sz="4" w:space="0"/>
              <w:right w:val="single" w:color="auto" w:sz="4" w:space="0"/>
            </w:tcBorders>
            <w:vAlign w:val="center"/>
          </w:tcPr>
          <w:p w14:paraId="138E5F7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智能电动升降幕</w:t>
            </w:r>
          </w:p>
        </w:tc>
        <w:tc>
          <w:tcPr>
            <w:tcW w:w="659" w:type="pct"/>
            <w:tcBorders>
              <w:top w:val="nil"/>
              <w:left w:val="nil"/>
              <w:bottom w:val="single" w:color="auto" w:sz="4" w:space="0"/>
              <w:right w:val="single" w:color="auto" w:sz="4" w:space="0"/>
            </w:tcBorders>
            <w:vAlign w:val="center"/>
          </w:tcPr>
          <w:p w14:paraId="216B5F3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红叶</w:t>
            </w:r>
          </w:p>
        </w:tc>
        <w:tc>
          <w:tcPr>
            <w:tcW w:w="687" w:type="pct"/>
            <w:tcBorders>
              <w:top w:val="nil"/>
              <w:left w:val="nil"/>
              <w:bottom w:val="single" w:color="auto" w:sz="4" w:space="0"/>
              <w:right w:val="single" w:color="auto" w:sz="4" w:space="0"/>
            </w:tcBorders>
            <w:vAlign w:val="center"/>
          </w:tcPr>
          <w:p w14:paraId="5F5C001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36CBB34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电动幕(120寸/白塑/4：3)</w:t>
            </w:r>
          </w:p>
        </w:tc>
        <w:tc>
          <w:tcPr>
            <w:tcW w:w="338" w:type="pct"/>
            <w:tcBorders>
              <w:top w:val="nil"/>
              <w:left w:val="nil"/>
              <w:bottom w:val="single" w:color="auto" w:sz="4" w:space="0"/>
              <w:right w:val="single" w:color="auto" w:sz="4" w:space="0"/>
            </w:tcBorders>
            <w:vAlign w:val="center"/>
          </w:tcPr>
          <w:p w14:paraId="4B68246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282179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14:paraId="7FA0F53D">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10CC4CE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7</w:t>
            </w:r>
          </w:p>
        </w:tc>
        <w:tc>
          <w:tcPr>
            <w:tcW w:w="1376" w:type="pct"/>
            <w:tcBorders>
              <w:top w:val="nil"/>
              <w:left w:val="nil"/>
              <w:bottom w:val="single" w:color="auto" w:sz="4" w:space="0"/>
              <w:right w:val="single" w:color="auto" w:sz="4" w:space="0"/>
            </w:tcBorders>
            <w:vAlign w:val="center"/>
          </w:tcPr>
          <w:p w14:paraId="5C37CAE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分中心主摄像头</w:t>
            </w:r>
          </w:p>
        </w:tc>
        <w:tc>
          <w:tcPr>
            <w:tcW w:w="659" w:type="pct"/>
            <w:tcBorders>
              <w:top w:val="nil"/>
              <w:left w:val="nil"/>
              <w:bottom w:val="single" w:color="auto" w:sz="4" w:space="0"/>
              <w:right w:val="single" w:color="auto" w:sz="4" w:space="0"/>
            </w:tcBorders>
            <w:vAlign w:val="center"/>
          </w:tcPr>
          <w:p w14:paraId="175E4B4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松下</w:t>
            </w:r>
          </w:p>
        </w:tc>
        <w:tc>
          <w:tcPr>
            <w:tcW w:w="687" w:type="pct"/>
            <w:tcBorders>
              <w:top w:val="nil"/>
              <w:left w:val="nil"/>
              <w:bottom w:val="single" w:color="auto" w:sz="4" w:space="0"/>
              <w:right w:val="single" w:color="auto" w:sz="4" w:space="0"/>
            </w:tcBorders>
            <w:vAlign w:val="center"/>
          </w:tcPr>
          <w:p w14:paraId="6BCE516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1B7E357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AW-HE55SMC</w:t>
            </w:r>
          </w:p>
        </w:tc>
        <w:tc>
          <w:tcPr>
            <w:tcW w:w="338" w:type="pct"/>
            <w:tcBorders>
              <w:top w:val="nil"/>
              <w:left w:val="nil"/>
              <w:bottom w:val="single" w:color="auto" w:sz="4" w:space="0"/>
              <w:right w:val="single" w:color="auto" w:sz="4" w:space="0"/>
            </w:tcBorders>
            <w:vAlign w:val="center"/>
          </w:tcPr>
          <w:p w14:paraId="2C29266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411C632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14:paraId="11005E45">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39F2F64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1376" w:type="pct"/>
            <w:tcBorders>
              <w:top w:val="nil"/>
              <w:left w:val="nil"/>
              <w:bottom w:val="single" w:color="auto" w:sz="4" w:space="0"/>
              <w:right w:val="single" w:color="auto" w:sz="4" w:space="0"/>
            </w:tcBorders>
            <w:vAlign w:val="center"/>
          </w:tcPr>
          <w:p w14:paraId="46B528C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分中心辅助摄像头</w:t>
            </w:r>
          </w:p>
        </w:tc>
        <w:tc>
          <w:tcPr>
            <w:tcW w:w="659" w:type="pct"/>
            <w:tcBorders>
              <w:top w:val="nil"/>
              <w:left w:val="nil"/>
              <w:bottom w:val="single" w:color="auto" w:sz="4" w:space="0"/>
              <w:right w:val="single" w:color="auto" w:sz="4" w:space="0"/>
            </w:tcBorders>
            <w:vAlign w:val="center"/>
          </w:tcPr>
          <w:p w14:paraId="5EF94B5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松下</w:t>
            </w:r>
          </w:p>
        </w:tc>
        <w:tc>
          <w:tcPr>
            <w:tcW w:w="687" w:type="pct"/>
            <w:tcBorders>
              <w:top w:val="nil"/>
              <w:left w:val="nil"/>
              <w:bottom w:val="single" w:color="auto" w:sz="4" w:space="0"/>
              <w:right w:val="single" w:color="auto" w:sz="4" w:space="0"/>
            </w:tcBorders>
            <w:vAlign w:val="center"/>
          </w:tcPr>
          <w:p w14:paraId="12D0802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2A0E20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AW-HE55SMC</w:t>
            </w:r>
          </w:p>
        </w:tc>
        <w:tc>
          <w:tcPr>
            <w:tcW w:w="338" w:type="pct"/>
            <w:tcBorders>
              <w:top w:val="nil"/>
              <w:left w:val="nil"/>
              <w:bottom w:val="single" w:color="auto" w:sz="4" w:space="0"/>
              <w:right w:val="single" w:color="auto" w:sz="4" w:space="0"/>
            </w:tcBorders>
            <w:vAlign w:val="center"/>
          </w:tcPr>
          <w:p w14:paraId="2D09E4A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6584A90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14:paraId="38B8E19F">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shd w:val="clear" w:color="auto" w:fill="auto"/>
            <w:vAlign w:val="center"/>
          </w:tcPr>
          <w:p w14:paraId="5372607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9</w:t>
            </w:r>
          </w:p>
        </w:tc>
        <w:tc>
          <w:tcPr>
            <w:tcW w:w="1376" w:type="pct"/>
            <w:tcBorders>
              <w:top w:val="nil"/>
              <w:left w:val="nil"/>
              <w:bottom w:val="single" w:color="auto" w:sz="4" w:space="0"/>
              <w:right w:val="single" w:color="auto" w:sz="4" w:space="0"/>
            </w:tcBorders>
            <w:shd w:val="clear" w:color="auto" w:fill="auto"/>
            <w:vAlign w:val="center"/>
          </w:tcPr>
          <w:p w14:paraId="253EC8B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摄像头控制键盘</w:t>
            </w:r>
          </w:p>
        </w:tc>
        <w:tc>
          <w:tcPr>
            <w:tcW w:w="659" w:type="pct"/>
            <w:tcBorders>
              <w:top w:val="nil"/>
              <w:left w:val="nil"/>
              <w:bottom w:val="single" w:color="auto" w:sz="4" w:space="0"/>
              <w:right w:val="single" w:color="auto" w:sz="4" w:space="0"/>
            </w:tcBorders>
            <w:shd w:val="clear" w:color="auto" w:fill="FFFFFF"/>
            <w:vAlign w:val="center"/>
          </w:tcPr>
          <w:p w14:paraId="6A11612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丹诺</w:t>
            </w:r>
          </w:p>
        </w:tc>
        <w:tc>
          <w:tcPr>
            <w:tcW w:w="687" w:type="pct"/>
            <w:tcBorders>
              <w:top w:val="nil"/>
              <w:left w:val="nil"/>
              <w:bottom w:val="single" w:color="auto" w:sz="4" w:space="0"/>
              <w:right w:val="single" w:color="auto" w:sz="4" w:space="0"/>
            </w:tcBorders>
            <w:shd w:val="clear" w:color="auto" w:fill="FFFFFF"/>
            <w:vAlign w:val="center"/>
          </w:tcPr>
          <w:p w14:paraId="32BB226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0990BF1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DN-KB001</w:t>
            </w:r>
          </w:p>
        </w:tc>
        <w:tc>
          <w:tcPr>
            <w:tcW w:w="338" w:type="pct"/>
            <w:tcBorders>
              <w:top w:val="nil"/>
              <w:left w:val="nil"/>
              <w:bottom w:val="single" w:color="auto" w:sz="4" w:space="0"/>
              <w:right w:val="single" w:color="auto" w:sz="4" w:space="0"/>
            </w:tcBorders>
            <w:vAlign w:val="center"/>
          </w:tcPr>
          <w:p w14:paraId="55435DF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70F6EE9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56C0ADF3">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5C4F953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10</w:t>
            </w:r>
          </w:p>
        </w:tc>
        <w:tc>
          <w:tcPr>
            <w:tcW w:w="1376" w:type="pct"/>
            <w:tcBorders>
              <w:top w:val="nil"/>
              <w:left w:val="nil"/>
              <w:bottom w:val="single" w:color="auto" w:sz="4" w:space="0"/>
              <w:right w:val="single" w:color="auto" w:sz="4" w:space="0"/>
            </w:tcBorders>
            <w:vAlign w:val="center"/>
          </w:tcPr>
          <w:p w14:paraId="31B462D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高清移动视频会议终端</w:t>
            </w:r>
          </w:p>
        </w:tc>
        <w:tc>
          <w:tcPr>
            <w:tcW w:w="659" w:type="pct"/>
            <w:tcBorders>
              <w:top w:val="nil"/>
              <w:left w:val="nil"/>
              <w:bottom w:val="single" w:color="auto" w:sz="4" w:space="0"/>
              <w:right w:val="single" w:color="auto" w:sz="4" w:space="0"/>
            </w:tcBorders>
            <w:vAlign w:val="center"/>
          </w:tcPr>
          <w:p w14:paraId="441D456F">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7A4A06E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D336BB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RP200-46A</w:t>
            </w:r>
          </w:p>
        </w:tc>
        <w:tc>
          <w:tcPr>
            <w:tcW w:w="338" w:type="pct"/>
            <w:tcBorders>
              <w:top w:val="nil"/>
              <w:left w:val="nil"/>
              <w:bottom w:val="single" w:color="auto" w:sz="4" w:space="0"/>
              <w:right w:val="single" w:color="auto" w:sz="4" w:space="0"/>
            </w:tcBorders>
            <w:vAlign w:val="center"/>
          </w:tcPr>
          <w:p w14:paraId="3899245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0876B0C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75F4C4A9">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29A7DAB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11</w:t>
            </w:r>
          </w:p>
        </w:tc>
        <w:tc>
          <w:tcPr>
            <w:tcW w:w="1376" w:type="pct"/>
            <w:tcBorders>
              <w:top w:val="nil"/>
              <w:left w:val="nil"/>
              <w:bottom w:val="single" w:color="auto" w:sz="4" w:space="0"/>
              <w:right w:val="single" w:color="auto" w:sz="4" w:space="0"/>
            </w:tcBorders>
            <w:vAlign w:val="center"/>
          </w:tcPr>
          <w:p w14:paraId="282D37D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桌面可视电话终端</w:t>
            </w:r>
          </w:p>
        </w:tc>
        <w:tc>
          <w:tcPr>
            <w:tcW w:w="659" w:type="pct"/>
            <w:tcBorders>
              <w:top w:val="nil"/>
              <w:left w:val="nil"/>
              <w:bottom w:val="single" w:color="auto" w:sz="4" w:space="0"/>
              <w:right w:val="single" w:color="auto" w:sz="4" w:space="0"/>
            </w:tcBorders>
            <w:vAlign w:val="center"/>
          </w:tcPr>
          <w:p w14:paraId="2A8F7B2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20760F8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1748DEE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eSpace 8950</w:t>
            </w:r>
          </w:p>
        </w:tc>
        <w:tc>
          <w:tcPr>
            <w:tcW w:w="338" w:type="pct"/>
            <w:tcBorders>
              <w:top w:val="nil"/>
              <w:left w:val="nil"/>
              <w:bottom w:val="single" w:color="auto" w:sz="4" w:space="0"/>
              <w:right w:val="single" w:color="auto" w:sz="4" w:space="0"/>
            </w:tcBorders>
            <w:vAlign w:val="center"/>
          </w:tcPr>
          <w:p w14:paraId="0804907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14:paraId="1E057AD9">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05098871">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455C80E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12</w:t>
            </w:r>
          </w:p>
        </w:tc>
        <w:tc>
          <w:tcPr>
            <w:tcW w:w="1376" w:type="pct"/>
            <w:tcBorders>
              <w:top w:val="nil"/>
              <w:left w:val="nil"/>
              <w:bottom w:val="single" w:color="auto" w:sz="4" w:space="0"/>
              <w:right w:val="single" w:color="auto" w:sz="4" w:space="0"/>
            </w:tcBorders>
            <w:vAlign w:val="center"/>
          </w:tcPr>
          <w:p w14:paraId="0D6D73C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旗县级高清视频会议终端</w:t>
            </w:r>
          </w:p>
        </w:tc>
        <w:tc>
          <w:tcPr>
            <w:tcW w:w="659" w:type="pct"/>
            <w:tcBorders>
              <w:top w:val="nil"/>
              <w:left w:val="nil"/>
              <w:bottom w:val="single" w:color="auto" w:sz="4" w:space="0"/>
              <w:right w:val="single" w:color="auto" w:sz="4" w:space="0"/>
            </w:tcBorders>
            <w:vAlign w:val="center"/>
          </w:tcPr>
          <w:p w14:paraId="4B5498B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2C556282">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743F47C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TE40</w:t>
            </w:r>
          </w:p>
        </w:tc>
        <w:tc>
          <w:tcPr>
            <w:tcW w:w="338" w:type="pct"/>
            <w:tcBorders>
              <w:top w:val="nil"/>
              <w:left w:val="nil"/>
              <w:bottom w:val="single" w:color="auto" w:sz="4" w:space="0"/>
              <w:right w:val="single" w:color="auto" w:sz="4" w:space="0"/>
            </w:tcBorders>
            <w:vAlign w:val="center"/>
          </w:tcPr>
          <w:p w14:paraId="755EEDD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311" w:type="pct"/>
            <w:tcBorders>
              <w:top w:val="nil"/>
              <w:left w:val="nil"/>
              <w:bottom w:val="single" w:color="auto" w:sz="4" w:space="0"/>
              <w:right w:val="single" w:color="auto" w:sz="4" w:space="0"/>
            </w:tcBorders>
            <w:vAlign w:val="center"/>
          </w:tcPr>
          <w:p w14:paraId="0B446ED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0A31CE7F">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6E1D9F7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13</w:t>
            </w:r>
          </w:p>
        </w:tc>
        <w:tc>
          <w:tcPr>
            <w:tcW w:w="1376" w:type="pct"/>
            <w:tcBorders>
              <w:top w:val="nil"/>
              <w:left w:val="nil"/>
              <w:bottom w:val="single" w:color="auto" w:sz="4" w:space="0"/>
              <w:right w:val="single" w:color="auto" w:sz="4" w:space="0"/>
            </w:tcBorders>
            <w:vAlign w:val="center"/>
          </w:tcPr>
          <w:p w14:paraId="08F57E6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旗县级会场主用摄像头</w:t>
            </w:r>
          </w:p>
        </w:tc>
        <w:tc>
          <w:tcPr>
            <w:tcW w:w="659" w:type="pct"/>
            <w:tcBorders>
              <w:top w:val="nil"/>
              <w:left w:val="nil"/>
              <w:bottom w:val="single" w:color="auto" w:sz="4" w:space="0"/>
              <w:right w:val="single" w:color="auto" w:sz="4" w:space="0"/>
            </w:tcBorders>
            <w:vAlign w:val="center"/>
          </w:tcPr>
          <w:p w14:paraId="560CF853">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6547F35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5FEDB1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VPC600</w:t>
            </w:r>
          </w:p>
        </w:tc>
        <w:tc>
          <w:tcPr>
            <w:tcW w:w="338" w:type="pct"/>
            <w:tcBorders>
              <w:top w:val="nil"/>
              <w:left w:val="nil"/>
              <w:bottom w:val="single" w:color="auto" w:sz="4" w:space="0"/>
              <w:right w:val="single" w:color="auto" w:sz="4" w:space="0"/>
            </w:tcBorders>
            <w:vAlign w:val="center"/>
          </w:tcPr>
          <w:p w14:paraId="28E5AF45">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311" w:type="pct"/>
            <w:tcBorders>
              <w:top w:val="nil"/>
              <w:left w:val="nil"/>
              <w:bottom w:val="single" w:color="auto" w:sz="4" w:space="0"/>
              <w:right w:val="single" w:color="auto" w:sz="4" w:space="0"/>
            </w:tcBorders>
            <w:vAlign w:val="center"/>
          </w:tcPr>
          <w:p w14:paraId="2F58720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14:paraId="5B9E3163">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14:paraId="60A50818">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14</w:t>
            </w:r>
          </w:p>
        </w:tc>
        <w:tc>
          <w:tcPr>
            <w:tcW w:w="1376" w:type="pct"/>
            <w:tcBorders>
              <w:top w:val="nil"/>
              <w:left w:val="nil"/>
              <w:bottom w:val="single" w:color="auto" w:sz="4" w:space="0"/>
              <w:right w:val="single" w:color="auto" w:sz="4" w:space="0"/>
            </w:tcBorders>
            <w:vAlign w:val="center"/>
          </w:tcPr>
          <w:p w14:paraId="08EDF09B">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旗县级桌面可视电话终端</w:t>
            </w:r>
          </w:p>
        </w:tc>
        <w:tc>
          <w:tcPr>
            <w:tcW w:w="659" w:type="pct"/>
            <w:tcBorders>
              <w:top w:val="nil"/>
              <w:left w:val="nil"/>
              <w:bottom w:val="single" w:color="auto" w:sz="4" w:space="0"/>
              <w:right w:val="single" w:color="auto" w:sz="4" w:space="0"/>
            </w:tcBorders>
            <w:vAlign w:val="center"/>
          </w:tcPr>
          <w:p w14:paraId="697B613D">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14:paraId="717C484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CF6398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eSpace 8950</w:t>
            </w:r>
          </w:p>
        </w:tc>
        <w:tc>
          <w:tcPr>
            <w:tcW w:w="338" w:type="pct"/>
            <w:tcBorders>
              <w:top w:val="nil"/>
              <w:left w:val="nil"/>
              <w:bottom w:val="single" w:color="auto" w:sz="4" w:space="0"/>
              <w:right w:val="single" w:color="auto" w:sz="4" w:space="0"/>
            </w:tcBorders>
            <w:vAlign w:val="center"/>
          </w:tcPr>
          <w:p w14:paraId="1EC2246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311" w:type="pct"/>
            <w:tcBorders>
              <w:top w:val="nil"/>
              <w:left w:val="nil"/>
              <w:bottom w:val="single" w:color="auto" w:sz="4" w:space="0"/>
              <w:right w:val="single" w:color="auto" w:sz="4" w:space="0"/>
            </w:tcBorders>
            <w:vAlign w:val="center"/>
          </w:tcPr>
          <w:p w14:paraId="7BAA025E">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14:paraId="62FB5CD0">
        <w:tblPrEx>
          <w:tblCellMar>
            <w:top w:w="0" w:type="dxa"/>
            <w:left w:w="108" w:type="dxa"/>
            <w:bottom w:w="0" w:type="dxa"/>
            <w:right w:w="108" w:type="dxa"/>
          </w:tblCellMar>
        </w:tblPrEx>
        <w:trPr>
          <w:trHeight w:val="245" w:hRule="atLeast"/>
        </w:trPr>
        <w:tc>
          <w:tcPr>
            <w:tcW w:w="373" w:type="pct"/>
            <w:tcBorders>
              <w:top w:val="nil"/>
              <w:left w:val="single" w:color="auto" w:sz="4" w:space="0"/>
              <w:bottom w:val="single" w:color="auto" w:sz="4" w:space="0"/>
              <w:right w:val="single" w:color="auto" w:sz="4" w:space="0"/>
            </w:tcBorders>
            <w:vAlign w:val="center"/>
          </w:tcPr>
          <w:p w14:paraId="148B0A1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15</w:t>
            </w:r>
          </w:p>
        </w:tc>
        <w:tc>
          <w:tcPr>
            <w:tcW w:w="1376" w:type="pct"/>
            <w:tcBorders>
              <w:top w:val="nil"/>
              <w:left w:val="nil"/>
              <w:bottom w:val="single" w:color="auto" w:sz="4" w:space="0"/>
              <w:right w:val="single" w:color="auto" w:sz="4" w:space="0"/>
            </w:tcBorders>
            <w:vAlign w:val="center"/>
          </w:tcPr>
          <w:p w14:paraId="01B66CC0">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旗县级高清电视</w:t>
            </w:r>
          </w:p>
        </w:tc>
        <w:tc>
          <w:tcPr>
            <w:tcW w:w="659" w:type="pct"/>
            <w:tcBorders>
              <w:top w:val="nil"/>
              <w:left w:val="nil"/>
              <w:bottom w:val="single" w:color="auto" w:sz="4" w:space="0"/>
              <w:right w:val="single" w:color="auto" w:sz="4" w:space="0"/>
            </w:tcBorders>
            <w:vAlign w:val="center"/>
          </w:tcPr>
          <w:p w14:paraId="7E768394">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飞利浦</w:t>
            </w:r>
          </w:p>
        </w:tc>
        <w:tc>
          <w:tcPr>
            <w:tcW w:w="687" w:type="pct"/>
            <w:tcBorders>
              <w:top w:val="nil"/>
              <w:left w:val="nil"/>
              <w:bottom w:val="single" w:color="auto" w:sz="4" w:space="0"/>
              <w:right w:val="single" w:color="auto" w:sz="4" w:space="0"/>
            </w:tcBorders>
            <w:vAlign w:val="center"/>
          </w:tcPr>
          <w:p w14:paraId="35040CC1">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14:paraId="2819242A">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55PFL3043</w:t>
            </w:r>
          </w:p>
        </w:tc>
        <w:tc>
          <w:tcPr>
            <w:tcW w:w="338" w:type="pct"/>
            <w:tcBorders>
              <w:top w:val="nil"/>
              <w:left w:val="nil"/>
              <w:bottom w:val="single" w:color="auto" w:sz="4" w:space="0"/>
              <w:right w:val="single" w:color="auto" w:sz="4" w:space="0"/>
            </w:tcBorders>
            <w:vAlign w:val="center"/>
          </w:tcPr>
          <w:p w14:paraId="5450977C">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16</w:t>
            </w:r>
          </w:p>
        </w:tc>
        <w:tc>
          <w:tcPr>
            <w:tcW w:w="311" w:type="pct"/>
            <w:tcBorders>
              <w:top w:val="nil"/>
              <w:left w:val="nil"/>
              <w:bottom w:val="single" w:color="auto" w:sz="4" w:space="0"/>
              <w:right w:val="single" w:color="auto" w:sz="4" w:space="0"/>
            </w:tcBorders>
            <w:vAlign w:val="center"/>
          </w:tcPr>
          <w:p w14:paraId="3077B1B7">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bl>
    <w:p w14:paraId="0DA93E0D">
      <w:pPr>
        <w:pStyle w:val="2"/>
        <w:ind w:left="0" w:leftChars="0"/>
        <w:rPr>
          <w:lang w:val="en-US"/>
        </w:rPr>
      </w:pPr>
    </w:p>
    <w:p w14:paraId="03D52577">
      <w:pPr>
        <w:pStyle w:val="2"/>
        <w:ind w:left="0" w:leftChars="0"/>
        <w:rPr>
          <w:lang w:val="en-US"/>
        </w:rPr>
      </w:pPr>
    </w:p>
    <w:p w14:paraId="0038BF34">
      <w:pPr>
        <w:pStyle w:val="2"/>
        <w:ind w:left="0" w:leftChars="0"/>
        <w:rPr>
          <w:lang w:val="en-US"/>
        </w:rPr>
      </w:pPr>
    </w:p>
    <w:p w14:paraId="5F175AA2">
      <w:pPr>
        <w:pStyle w:val="2"/>
        <w:ind w:left="0" w:leftChars="0"/>
        <w:rPr>
          <w:lang w:val="en-US"/>
        </w:rPr>
      </w:pPr>
    </w:p>
    <w:p w14:paraId="260D2975">
      <w:pPr>
        <w:pStyle w:val="2"/>
        <w:ind w:left="0" w:leftChars="0"/>
        <w:rPr>
          <w:lang w:val="en-US"/>
        </w:rPr>
      </w:pPr>
    </w:p>
    <w:p w14:paraId="0670EB5A">
      <w:pPr>
        <w:pStyle w:val="2"/>
        <w:ind w:left="0" w:leftChars="0"/>
        <w:rPr>
          <w:lang w:val="en-US"/>
        </w:rPr>
      </w:pPr>
    </w:p>
    <w:p w14:paraId="0734991F">
      <w:pPr>
        <w:pStyle w:val="2"/>
        <w:ind w:left="0" w:leftChars="0"/>
        <w:rPr>
          <w:lang w:val="en-US"/>
        </w:rPr>
      </w:pPr>
    </w:p>
    <w:p w14:paraId="6F4DEBC1">
      <w:pPr>
        <w:pStyle w:val="2"/>
        <w:ind w:left="0" w:leftChars="0"/>
        <w:rPr>
          <w:lang w:val="en-US"/>
        </w:rPr>
      </w:pPr>
    </w:p>
    <w:p w14:paraId="6CB82318">
      <w:pPr>
        <w:pStyle w:val="2"/>
        <w:ind w:left="0" w:leftChars="0"/>
        <w:rPr>
          <w:lang w:val="en-US"/>
        </w:rPr>
      </w:pPr>
    </w:p>
    <w:p w14:paraId="33BB5BB1">
      <w:pPr>
        <w:pStyle w:val="2"/>
        <w:ind w:left="0" w:leftChars="0"/>
        <w:rPr>
          <w:lang w:val="en-US"/>
        </w:rPr>
      </w:pPr>
    </w:p>
    <w:p w14:paraId="5AEFF659">
      <w:pPr>
        <w:pStyle w:val="2"/>
        <w:ind w:left="0" w:leftChars="0"/>
        <w:rPr>
          <w:lang w:val="en-US"/>
        </w:rPr>
      </w:pPr>
    </w:p>
    <w:p w14:paraId="2F0B1DF9">
      <w:pPr>
        <w:pStyle w:val="2"/>
        <w:ind w:left="0" w:leftChars="0"/>
        <w:rPr>
          <w:lang w:val="en-US"/>
        </w:rPr>
      </w:pPr>
    </w:p>
    <w:p w14:paraId="248EC326">
      <w:pPr>
        <w:pStyle w:val="2"/>
        <w:ind w:left="0" w:leftChars="0"/>
        <w:rPr>
          <w:lang w:val="en-US"/>
        </w:rPr>
      </w:pPr>
    </w:p>
    <w:p w14:paraId="33D98FE1">
      <w:pPr>
        <w:pStyle w:val="2"/>
        <w:ind w:left="0" w:leftChars="0"/>
        <w:rPr>
          <w:lang w:val="en-US"/>
        </w:rPr>
      </w:pPr>
    </w:p>
    <w:p w14:paraId="54A7A327">
      <w:pPr>
        <w:pStyle w:val="2"/>
        <w:ind w:left="0" w:leftChars="0"/>
        <w:rPr>
          <w:lang w:val="en-US"/>
        </w:rPr>
      </w:pPr>
    </w:p>
    <w:p w14:paraId="1ED999A3">
      <w:pPr>
        <w:pStyle w:val="2"/>
        <w:ind w:left="0" w:leftChars="0"/>
        <w:rPr>
          <w:lang w:val="en-US"/>
        </w:rPr>
      </w:pPr>
      <w:r>
        <w:rPr>
          <w:rFonts w:hint="eastAsia"/>
          <w:lang w:val="en-US"/>
        </w:rPr>
        <w:t>附件2</w:t>
      </w:r>
    </w:p>
    <w:p w14:paraId="565B3B35">
      <w:pPr>
        <w:spacing w:after="468" w:afterLines="150"/>
        <w:jc w:val="center"/>
        <w:rPr>
          <w:rFonts w:ascii="黑体" w:eastAsia="黑体"/>
          <w:b/>
          <w:sz w:val="28"/>
          <w:szCs w:val="28"/>
        </w:rPr>
      </w:pPr>
      <w:r>
        <w:rPr>
          <w:rFonts w:hint="eastAsia" w:ascii="黑体" w:eastAsia="黑体"/>
          <w:b/>
          <w:sz w:val="28"/>
          <w:szCs w:val="28"/>
        </w:rPr>
        <w:t>内蒙古自治区烟草公司鄂尔多斯市公司</w:t>
      </w:r>
    </w:p>
    <w:p w14:paraId="78ECD6D8">
      <w:pPr>
        <w:spacing w:after="468" w:afterLines="150"/>
        <w:jc w:val="center"/>
        <w:rPr>
          <w:sz w:val="28"/>
          <w:szCs w:val="28"/>
        </w:rPr>
      </w:pPr>
      <w:r>
        <w:rPr>
          <w:rFonts w:hint="eastAsia" w:ascii="黑体" w:eastAsia="黑体"/>
          <w:b/>
          <w:sz w:val="28"/>
          <w:szCs w:val="28"/>
        </w:rPr>
        <w:t>视频会议设备维保服务评价表</w:t>
      </w:r>
    </w:p>
    <w:p w14:paraId="79836548">
      <w:pPr>
        <w:spacing w:after="468" w:afterLines="150"/>
        <w:rPr>
          <w:rFonts w:ascii="仿宋_GB2312" w:hAnsi="仿宋_GB2312" w:eastAsia="仿宋_GB2312" w:cs="仿宋_GB2312"/>
          <w:sz w:val="24"/>
        </w:rPr>
      </w:pPr>
      <w:r>
        <w:rPr>
          <w:rFonts w:hint="eastAsia" w:ascii="仿宋_GB2312" w:hAnsi="仿宋_GB2312" w:eastAsia="仿宋_GB2312" w:cs="仿宋_GB2312"/>
          <w:sz w:val="24"/>
        </w:rPr>
        <w:t>甲方实施部门负责人：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（签章）     </w:t>
      </w:r>
    </w:p>
    <w:p w14:paraId="147BC7D4">
      <w:pPr>
        <w:spacing w:after="468" w:afterLines="150"/>
        <w:rPr>
          <w:rFonts w:ascii="仿宋_GB2312" w:hAnsi="仿宋_GB2312" w:eastAsia="仿宋_GB2312" w:cs="仿宋_GB2312"/>
          <w:sz w:val="24"/>
          <w:u w:val="single"/>
        </w:rPr>
      </w:pPr>
      <w:r>
        <w:rPr>
          <w:rFonts w:hint="eastAsia" w:ascii="仿宋_GB2312" w:hAnsi="仿宋_GB2312" w:eastAsia="仿宋_GB2312" w:cs="仿宋_GB2312"/>
          <w:sz w:val="24"/>
        </w:rPr>
        <w:t>乙方单位负责人或授权委托人：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（签章）</w:t>
      </w:r>
    </w:p>
    <w:tbl>
      <w:tblPr>
        <w:tblStyle w:val="1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14:paraId="1DD1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jc w:val="center"/>
        </w:trPr>
        <w:tc>
          <w:tcPr>
            <w:tcW w:w="8760" w:type="dxa"/>
            <w:tcBorders>
              <w:top w:val="single" w:color="auto" w:sz="4" w:space="0"/>
              <w:left w:val="single" w:color="auto" w:sz="4" w:space="0"/>
              <w:bottom w:val="single" w:color="auto" w:sz="4" w:space="0"/>
              <w:right w:val="single" w:color="auto" w:sz="4" w:space="0"/>
            </w:tcBorders>
          </w:tcPr>
          <w:p w14:paraId="462859EE">
            <w:pPr>
              <w:spacing w:line="360" w:lineRule="auto"/>
              <w:ind w:left="5481" w:hanging="5481" w:hangingChars="2600"/>
              <w:rPr>
                <w:rFonts w:ascii="仿宋_GB2312" w:hAnsi="仿宋_GB2312" w:eastAsia="仿宋_GB2312" w:cs="仿宋_GB2312"/>
                <w:b/>
                <w:szCs w:val="21"/>
              </w:rPr>
            </w:pPr>
            <w:r>
              <w:rPr>
                <w:rFonts w:hint="eastAsia" w:ascii="仿宋_GB2312" w:hAnsi="仿宋_GB2312" w:eastAsia="仿宋_GB2312" w:cs="仿宋_GB2312"/>
                <w:b/>
                <w:szCs w:val="21"/>
              </w:rPr>
              <w:t>服务标准打分</w:t>
            </w:r>
          </w:p>
          <w:p w14:paraId="74F70FA4">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1、乙方提供的故障响应时间不超过</w:t>
            </w:r>
            <w:r>
              <w:rPr>
                <w:rFonts w:ascii="仿宋_GB2312" w:hAnsi="仿宋_GB2312" w:eastAsia="仿宋_GB2312" w:cs="仿宋_GB2312"/>
                <w:szCs w:val="21"/>
              </w:rPr>
              <w:t>1</w:t>
            </w:r>
            <w:r>
              <w:rPr>
                <w:rFonts w:hint="eastAsia" w:ascii="仿宋_GB2312" w:hAnsi="仿宋_GB2312" w:eastAsia="仿宋_GB2312" w:cs="仿宋_GB2312"/>
                <w:szCs w:val="21"/>
              </w:rPr>
              <w:t>小时，故障恢复时间不超过</w:t>
            </w:r>
            <w:r>
              <w:rPr>
                <w:rFonts w:ascii="仿宋_GB2312" w:hAnsi="仿宋_GB2312" w:eastAsia="仿宋_GB2312" w:cs="仿宋_GB2312"/>
                <w:szCs w:val="21"/>
              </w:rPr>
              <w:t>4</w:t>
            </w:r>
            <w:r>
              <w:rPr>
                <w:rFonts w:hint="eastAsia" w:ascii="仿宋_GB2312" w:hAnsi="仿宋_GB2312" w:eastAsia="仿宋_GB2312" w:cs="仿宋_GB2312"/>
                <w:szCs w:val="21"/>
              </w:rPr>
              <w:t>小时，全年总恢复时间不超过</w:t>
            </w:r>
            <w:r>
              <w:rPr>
                <w:rFonts w:ascii="仿宋_GB2312" w:hAnsi="仿宋_GB2312" w:eastAsia="仿宋_GB2312" w:cs="仿宋_GB2312"/>
                <w:szCs w:val="21"/>
              </w:rPr>
              <w:t>72</w:t>
            </w:r>
            <w:r>
              <w:rPr>
                <w:rFonts w:hint="eastAsia" w:ascii="仿宋_GB2312" w:hAnsi="仿宋_GB2312" w:eastAsia="仿宋_GB2312" w:cs="仿宋_GB2312"/>
                <w:szCs w:val="21"/>
              </w:rPr>
              <w:t>小时：</w:t>
            </w:r>
          </w:p>
          <w:p w14:paraId="68D20A2D">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□满足（20分）        □基本满足 （5分）               □不满足（0分）  </w:t>
            </w:r>
          </w:p>
          <w:p w14:paraId="092BEDBC">
            <w:pPr>
              <w:spacing w:line="360" w:lineRule="auto"/>
              <w:ind w:left="5460" w:hanging="5460" w:hangingChars="2600"/>
              <w:rPr>
                <w:rFonts w:ascii="仿宋_GB2312" w:hAnsi="仿宋_GB2312" w:eastAsia="仿宋_GB2312" w:cs="仿宋_GB2312"/>
                <w:szCs w:val="21"/>
              </w:rPr>
            </w:pPr>
            <w:r>
              <w:rPr>
                <w:rFonts w:hint="eastAsia" w:ascii="仿宋_GB2312" w:hAnsi="仿宋_GB2312" w:eastAsia="仿宋_GB2312" w:cs="仿宋_GB2312"/>
                <w:szCs w:val="21"/>
              </w:rPr>
              <w:t>2、乙方对所提供的线路每季度进行一次巡检：</w:t>
            </w:r>
          </w:p>
          <w:p w14:paraId="60FD4D29">
            <w:pPr>
              <w:spacing w:line="360" w:lineRule="auto"/>
              <w:ind w:left="5460" w:hanging="5460" w:hangingChars="2600"/>
              <w:rPr>
                <w:rFonts w:ascii="仿宋_GB2312" w:hAnsi="仿宋_GB2312" w:eastAsia="仿宋_GB2312" w:cs="仿宋_GB2312"/>
                <w:szCs w:val="21"/>
              </w:rPr>
            </w:pPr>
            <w:r>
              <w:rPr>
                <w:rFonts w:hint="eastAsia" w:ascii="仿宋_GB2312" w:hAnsi="仿宋_GB2312" w:eastAsia="仿宋_GB2312" w:cs="仿宋_GB2312"/>
                <w:szCs w:val="21"/>
              </w:rPr>
              <w:t xml:space="preserve">□满足（20分）                                  □不满足（0分）  </w:t>
            </w:r>
          </w:p>
          <w:p w14:paraId="65DB06A7">
            <w:pPr>
              <w:spacing w:line="360" w:lineRule="auto"/>
              <w:ind w:left="5460" w:hanging="5460" w:hangingChars="2600"/>
              <w:jc w:val="left"/>
              <w:rPr>
                <w:rFonts w:ascii="仿宋_GB2312" w:hAnsi="仿宋_GB2312" w:eastAsia="仿宋_GB2312" w:cs="仿宋_GB2312"/>
                <w:szCs w:val="21"/>
              </w:rPr>
            </w:pPr>
            <w:r>
              <w:rPr>
                <w:rFonts w:hint="eastAsia" w:ascii="仿宋_GB2312" w:hAnsi="仿宋_GB2312" w:eastAsia="仿宋_GB2312" w:cs="仿宋_GB2312"/>
                <w:szCs w:val="21"/>
              </w:rPr>
              <w:t>3、甲方提出故障申告，乙方技术人员每30分钟反馈故障排查处理情况，</w:t>
            </w:r>
          </w:p>
          <w:p w14:paraId="2AC48E23">
            <w:pPr>
              <w:spacing w:line="360" w:lineRule="auto"/>
              <w:ind w:left="5460" w:hanging="5460" w:hangingChars="2600"/>
              <w:jc w:val="left"/>
              <w:rPr>
                <w:rFonts w:ascii="仿宋_GB2312" w:hAnsi="仿宋_GB2312" w:eastAsia="仿宋_GB2312" w:cs="仿宋_GB2312"/>
                <w:szCs w:val="21"/>
              </w:rPr>
            </w:pPr>
            <w:r>
              <w:rPr>
                <w:rFonts w:hint="eastAsia" w:ascii="仿宋_GB2312" w:hAnsi="仿宋_GB2312" w:eastAsia="仿宋_GB2312" w:cs="仿宋_GB2312"/>
                <w:szCs w:val="21"/>
              </w:rPr>
              <w:t>故障恢复后30分钟口头反馈结果，3个工作日内提供书面故障报告：</w:t>
            </w:r>
          </w:p>
          <w:p w14:paraId="7C7AA4D6">
            <w:pPr>
              <w:spacing w:line="360" w:lineRule="auto"/>
              <w:ind w:left="5460" w:hanging="5460" w:hangingChars="2600"/>
              <w:rPr>
                <w:rFonts w:ascii="仿宋_GB2312" w:hAnsi="仿宋_GB2312" w:eastAsia="仿宋_GB2312" w:cs="仿宋_GB2312"/>
                <w:szCs w:val="21"/>
              </w:rPr>
            </w:pPr>
            <w:r>
              <w:rPr>
                <w:rFonts w:hint="eastAsia" w:ascii="仿宋_GB2312" w:hAnsi="仿宋_GB2312" w:eastAsia="仿宋_GB2312" w:cs="仿宋_GB2312"/>
                <w:szCs w:val="21"/>
              </w:rPr>
              <w:t>□满足 （10分）                                 □不满足  （0分）</w:t>
            </w:r>
          </w:p>
        </w:tc>
      </w:tr>
      <w:tr w14:paraId="4C96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8760" w:type="dxa"/>
            <w:tcBorders>
              <w:top w:val="single" w:color="auto" w:sz="4" w:space="0"/>
              <w:left w:val="single" w:color="auto" w:sz="4" w:space="0"/>
              <w:bottom w:val="single" w:color="auto" w:sz="4" w:space="0"/>
              <w:right w:val="single" w:color="auto" w:sz="4" w:space="0"/>
            </w:tcBorders>
          </w:tcPr>
          <w:p w14:paraId="758D9E5C">
            <w:pPr>
              <w:spacing w:line="360" w:lineRule="auto"/>
              <w:rPr>
                <w:rFonts w:ascii="仿宋_GB2312" w:hAnsi="仿宋_GB2312" w:eastAsia="仿宋_GB2312" w:cs="仿宋_GB2312"/>
                <w:b/>
                <w:szCs w:val="21"/>
                <w:shd w:val="pct10" w:color="auto" w:fill="FFFFFF"/>
              </w:rPr>
            </w:pPr>
            <w:r>
              <w:rPr>
                <w:rFonts w:hint="eastAsia" w:ascii="仿宋_GB2312" w:hAnsi="仿宋_GB2312" w:eastAsia="仿宋_GB2312" w:cs="仿宋_GB2312"/>
                <w:b/>
                <w:szCs w:val="21"/>
                <w:shd w:val="pct10" w:color="auto" w:fill="FFFFFF"/>
              </w:rPr>
              <w:t xml:space="preserve">甲方对乙方服务人员做出评价： </w:t>
            </w:r>
          </w:p>
          <w:p w14:paraId="449ED90C">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沟通能力 □满意（10分） □基本满意（5分） □一般（2分） □不满意（0分）</w:t>
            </w:r>
          </w:p>
          <w:p w14:paraId="701CED19">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服务态度：□满意（10分）□基本满意（5分） □一般（2分） □不满意（0分）</w:t>
            </w:r>
          </w:p>
          <w:p w14:paraId="230A45BE">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服务效率：□满意（10分）□基本满意（5分） □一般（2分） □不满意（0分）</w:t>
            </w:r>
          </w:p>
          <w:p w14:paraId="3753589F">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专业水平：□满意（10分）□基本满意（5分） □一般（2分） □不满意（0分）</w:t>
            </w:r>
          </w:p>
        </w:tc>
      </w:tr>
      <w:tr w14:paraId="1A65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760" w:type="dxa"/>
            <w:tcBorders>
              <w:top w:val="single" w:color="auto" w:sz="4" w:space="0"/>
              <w:left w:val="single" w:color="auto" w:sz="4" w:space="0"/>
              <w:bottom w:val="single" w:color="auto" w:sz="4" w:space="0"/>
              <w:right w:val="single" w:color="auto" w:sz="4" w:space="0"/>
            </w:tcBorders>
          </w:tcPr>
          <w:p w14:paraId="1580930E">
            <w:pPr>
              <w:spacing w:line="360" w:lineRule="auto"/>
              <w:jc w:val="left"/>
              <w:rPr>
                <w:rFonts w:ascii="仿宋_GB2312" w:hAnsi="仿宋_GB2312" w:eastAsia="仿宋_GB2312" w:cs="仿宋_GB2312"/>
                <w:b/>
                <w:szCs w:val="21"/>
                <w:shd w:val="pct10" w:color="auto" w:fill="FFFFFF"/>
              </w:rPr>
            </w:pPr>
            <w:r>
              <w:rPr>
                <w:rFonts w:hint="eastAsia" w:ascii="仿宋_GB2312" w:hAnsi="仿宋_GB2312" w:eastAsia="仿宋_GB2312" w:cs="仿宋_GB2312"/>
                <w:b/>
                <w:szCs w:val="21"/>
                <w:shd w:val="pct10" w:color="auto" w:fill="FFFFFF"/>
              </w:rPr>
              <w:t>综合得分：</w:t>
            </w:r>
          </w:p>
        </w:tc>
      </w:tr>
    </w:tbl>
    <w:p w14:paraId="42219F44">
      <w:pPr>
        <w:pStyle w:val="2"/>
        <w:ind w:left="0" w:leftChars="0"/>
        <w:rPr>
          <w:lang w:val="en-US"/>
        </w:rPr>
      </w:pPr>
    </w:p>
    <w:p w14:paraId="31B10DA5">
      <w:pPr>
        <w:pStyle w:val="2"/>
        <w:ind w:left="0" w:leftChars="0"/>
        <w:rPr>
          <w:lang w:val="en-US"/>
        </w:rPr>
      </w:pPr>
      <w:r>
        <w:rPr>
          <w:rFonts w:hint="eastAsia"/>
          <w:lang w:val="en-US"/>
        </w:rPr>
        <w:t>附件</w:t>
      </w:r>
      <w:bookmarkStart w:id="3" w:name="_Toc47417439"/>
      <w:bookmarkStart w:id="4" w:name="_Toc49344299"/>
      <w:r>
        <w:rPr>
          <w:rFonts w:hint="eastAsia"/>
          <w:lang w:val="en-US"/>
        </w:rPr>
        <w:t>3</w:t>
      </w:r>
    </w:p>
    <w:p w14:paraId="526D81D4">
      <w:pPr>
        <w:pStyle w:val="2"/>
        <w:ind w:left="0" w:leftChars="0" w:firstLine="1789" w:firstLineChars="495"/>
        <w:rPr>
          <w:b/>
          <w:sz w:val="36"/>
          <w:szCs w:val="36"/>
          <w:lang w:val="en-US"/>
        </w:rPr>
      </w:pPr>
      <w:r>
        <w:rPr>
          <w:rFonts w:hint="eastAsia" w:asciiTheme="minorEastAsia" w:hAnsiTheme="minorEastAsia" w:eastAsiaTheme="minorEastAsia"/>
          <w:b/>
          <w:sz w:val="36"/>
          <w:szCs w:val="36"/>
        </w:rPr>
        <w:t>视频会议运维及管理方案</w:t>
      </w:r>
      <w:bookmarkEnd w:id="3"/>
      <w:bookmarkEnd w:id="4"/>
    </w:p>
    <w:p w14:paraId="46C08DDB">
      <w:pPr>
        <w:pStyle w:val="6"/>
        <w:spacing w:line="360" w:lineRule="auto"/>
        <w:rPr>
          <w:rFonts w:asciiTheme="minorEastAsia" w:hAnsiTheme="minorEastAsia" w:eastAsiaTheme="minorEastAsia"/>
          <w:sz w:val="24"/>
          <w:szCs w:val="24"/>
        </w:rPr>
      </w:pPr>
      <w:bookmarkStart w:id="5" w:name="_Toc49344300"/>
      <w:bookmarkStart w:id="6" w:name="_Toc484274948"/>
      <w:bookmarkStart w:id="7" w:name="_Toc486143087"/>
      <w:r>
        <w:rPr>
          <w:rFonts w:hint="eastAsia" w:asciiTheme="minorEastAsia" w:hAnsiTheme="minorEastAsia" w:eastAsiaTheme="minorEastAsia"/>
          <w:sz w:val="24"/>
          <w:szCs w:val="24"/>
        </w:rPr>
        <w:t>运维服务的范围及内容</w:t>
      </w:r>
      <w:bookmarkEnd w:id="5"/>
      <w:bookmarkEnd w:id="6"/>
      <w:bookmarkEnd w:id="7"/>
    </w:p>
    <w:p w14:paraId="4D3BE42A">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鄂尔多斯烟草公司，每年举办多场各种形式的视频会议，维护部分不仅要负责各种视频会议设备的测试、保管与养护，还要负责每次会议的组会、呼叫、测试、值守等专业工作。若市外节点出现较重故障，则需上门现场服务，上门负责排查解决设备及网络故障，完成客户网络的开通、变更等工作。在会议召开之前必须进行各节点声音和视频的连调，确保清晰度达标，并按照会议要求，各项工作必须有条不紊，保证准确无误。此外，在日常维护中，对MCU等一系列视频会议系统设备硬件与软件进行定期维护，对音视频设备进行定期升级、更新、维护等工作。我公司协同鄂尔多斯烟草信息办人员、各视频节点会议人员保持密切联系，并积极配合其工作。</w:t>
      </w:r>
    </w:p>
    <w:p w14:paraId="3103A997">
      <w:pPr>
        <w:pStyle w:val="6"/>
        <w:spacing w:line="360" w:lineRule="auto"/>
        <w:rPr>
          <w:rFonts w:asciiTheme="minorEastAsia" w:hAnsiTheme="minorEastAsia" w:eastAsiaTheme="minorEastAsia"/>
          <w:sz w:val="24"/>
          <w:szCs w:val="24"/>
        </w:rPr>
      </w:pPr>
      <w:bookmarkStart w:id="8" w:name="_Toc49344304"/>
      <w:bookmarkStart w:id="9" w:name="_Toc486143098"/>
      <w:r>
        <w:rPr>
          <w:rFonts w:hint="eastAsia" w:asciiTheme="minorEastAsia" w:hAnsiTheme="minorEastAsia" w:eastAsiaTheme="minorEastAsia"/>
          <w:sz w:val="24"/>
          <w:szCs w:val="24"/>
        </w:rPr>
        <w:t>运维服务方案</w:t>
      </w:r>
      <w:bookmarkEnd w:id="8"/>
      <w:bookmarkEnd w:id="9"/>
    </w:p>
    <w:p w14:paraId="18406F4B">
      <w:pPr>
        <w:pStyle w:val="7"/>
        <w:spacing w:line="360" w:lineRule="auto"/>
        <w:rPr>
          <w:rFonts w:asciiTheme="minorEastAsia" w:hAnsiTheme="minorEastAsia" w:eastAsiaTheme="minorEastAsia"/>
        </w:rPr>
      </w:pPr>
      <w:bookmarkStart w:id="10" w:name="_Toc49344305"/>
      <w:bookmarkStart w:id="11" w:name="_Toc456770655"/>
      <w:bookmarkStart w:id="12" w:name="_Toc486143099"/>
      <w:r>
        <w:rPr>
          <w:rFonts w:hint="eastAsia" w:asciiTheme="minorEastAsia" w:hAnsiTheme="minorEastAsia" w:eastAsiaTheme="minorEastAsia"/>
        </w:rPr>
        <w:t>运维原则</w:t>
      </w:r>
      <w:bookmarkEnd w:id="10"/>
      <w:bookmarkEnd w:id="11"/>
      <w:bookmarkEnd w:id="12"/>
    </w:p>
    <w:p w14:paraId="7A06B9D6">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（1）高可用性</w:t>
      </w:r>
    </w:p>
    <w:p w14:paraId="222A3AB0">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保证7×24小时不间断地运行，工程中各个系统要具有高可用性，减少单点故障的存在，对可能存在单点故障的环节，尽可能减少其对整个系统的影响。各系统具有足够的备份和冗余能力，核心系统的整体可用性应维持较高水准。</w:t>
      </w:r>
    </w:p>
    <w:p w14:paraId="370806E7">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（2）安全性</w:t>
      </w:r>
    </w:p>
    <w:p w14:paraId="6A8EB235">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运维方案中具有完整的安全策略和切实可靠的安全手段来保障用户运行系统基础环境的安全。</w:t>
      </w:r>
    </w:p>
    <w:p w14:paraId="0E90E246">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（3）节能、环保和减排的原则</w:t>
      </w:r>
    </w:p>
    <w:p w14:paraId="43F307B5">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运维方案应充分贯彻节能、环保、减排的原则，建设绿色IT工程。设计方案中充分考虑可能采用的先进的节能降耗技术。</w:t>
      </w:r>
    </w:p>
    <w:p w14:paraId="1682B539">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（4）可持续发展性</w:t>
      </w:r>
    </w:p>
    <w:p w14:paraId="5305BBEB">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运维方案的设计具有一定的超前性。</w:t>
      </w:r>
    </w:p>
    <w:p w14:paraId="63453CCF">
      <w:pPr>
        <w:pStyle w:val="7"/>
        <w:spacing w:line="360" w:lineRule="auto"/>
        <w:rPr>
          <w:rFonts w:asciiTheme="minorEastAsia" w:hAnsiTheme="minorEastAsia" w:eastAsiaTheme="minorEastAsia"/>
        </w:rPr>
      </w:pPr>
      <w:bookmarkStart w:id="13" w:name="_Toc486143101"/>
      <w:bookmarkStart w:id="14" w:name="_Toc446841630"/>
      <w:bookmarkStart w:id="15" w:name="_Toc49344307"/>
      <w:r>
        <w:rPr>
          <w:rFonts w:hint="eastAsia" w:asciiTheme="minorEastAsia" w:hAnsiTheme="minorEastAsia" w:eastAsiaTheme="minorEastAsia"/>
        </w:rPr>
        <w:t>各部门职责</w:t>
      </w:r>
      <w:bookmarkEnd w:id="13"/>
      <w:bookmarkEnd w:id="14"/>
      <w:bookmarkEnd w:id="15"/>
    </w:p>
    <w:p w14:paraId="740AF9F6">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针对鄂尔多斯视频会议的软硬件特点以及项目的要求，为了更好的保障服务质量，我公司组建了项目组，派遣具有专业项目管理知识的资深管理人员负责整个项目的统筹管理，对整个项目的质量负责；技术核心由我公司资深技术专家、实施经验丰富工程师队伍组成，具有过硬的专业技能和丰富的维护经验。</w:t>
      </w:r>
    </w:p>
    <w:p w14:paraId="38C41CFA">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各部门的职能：</w:t>
      </w:r>
    </w:p>
    <w:p w14:paraId="20C3080C">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项目总监(项目协调总负责人)：由北京创联致信负责技术的总经理担任，定期听取项目组的工作汇报，对整个项目的重大事项进行决定，负责与鄂尔多斯烟草公司领导就项目问题进行沟通。</w:t>
      </w:r>
    </w:p>
    <w:p w14:paraId="4965621E">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经理：项目经理由北京创联致信选派一名有丰富项目管理能力和很强的项目组织能力同时又是资深的技术人员担任，他负责项目的技术运维，控制项目的进度，制定整个项目服务计划，协调全部可用资源，确保项目顺利、准确完成，负责和客户就需求和技术等方面的沟通，组织召开例会，服务过程的质量监督。</w:t>
      </w:r>
    </w:p>
    <w:p w14:paraId="72B5D404">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客服主管：协助项目经理对整个项目的计划进行跟踪，负责对客户进行回访，了解工程师的工作质量，接受并记录客户的投诉，将工程师工作情况和客户的情况向项目经理汇报，对客户满意度进行调查统计。</w:t>
      </w:r>
    </w:p>
    <w:p w14:paraId="4BED55C7">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配置管理专员：负责对整个项目进行建档工作，针对鄂尔多斯烟草公司IT设备建立全面的设备信息库。收集整理技术小组签署的服务报告单，从项目启动开始建立配置计划和配置清单，跟踪和更新项目所有配置的变化信息；同时负责本项目知识库的建立者和维护者。</w:t>
      </w:r>
    </w:p>
    <w:p w14:paraId="4391F0EF">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备件主管：定期和项目经理或技术小组的工程师沟通，获取所需备件清单，负责采购备件，保证项目备件的供应。</w:t>
      </w:r>
    </w:p>
    <w:p w14:paraId="558789F8">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责任工程师：提供现场服务，负责对设备本身的正常运行提供保障，了解设备健康状况，建立设备档案资料，并实时对档案资料进行跟踪、整理，更换故障设备。</w:t>
      </w:r>
    </w:p>
    <w:p w14:paraId="7E0A1676">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现场综合问题定位工程师：提供视频会议系统现场服务，对网络、系统、软件异常故障进行快速准确定位，尤其在IT基础架构复杂，应用软件众多的环境下出现的不寻常、不常见问题，进行快速排查，找出问题的源头，现场综合问题工程师来自技术支持中心专家团队。</w:t>
      </w:r>
    </w:p>
    <w:p w14:paraId="4E18F3A4">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技术支持中心专家团队：由多名在政府行业从事过多年的系统、软件、应用、网络等技术专家组成，协助综合问题定位小组对问题进行定位并对问题进行快速解决，定期对鄂尔多斯烟草公司视频会议的设备、系统、软、硬件环境进行综合、全面健康检查，对整个系统提出高层次的优化性的建议。同时，用户在产品使用中遇到问题，可凭客户服务号拨打热线电话，获得技术支持中心专家团队的支持。</w:t>
      </w:r>
    </w:p>
    <w:p w14:paraId="72408837">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业务持续性管理专家：配合客户制定应急响应流程，充分利用业务持续性方法论，向客户提供专业咨询，并跟踪演练进程和状态。</w:t>
      </w:r>
    </w:p>
    <w:p w14:paraId="3A79C415">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原厂商技术专家和全球产品实验室：北京北京创联致信合创科技有限公司的国外合作伙伴和原厂商有着良好的合作关系，可以从原厂商实验室获得全面的技术支持，保证一些技术本身缺陷的问题能够得到快速解决。</w:t>
      </w:r>
    </w:p>
    <w:p w14:paraId="7064406A">
      <w:pPr>
        <w:pStyle w:val="7"/>
        <w:spacing w:line="360" w:lineRule="auto"/>
        <w:rPr>
          <w:rFonts w:asciiTheme="minorEastAsia" w:hAnsiTheme="minorEastAsia" w:eastAsiaTheme="minorEastAsia"/>
        </w:rPr>
      </w:pPr>
      <w:bookmarkStart w:id="16" w:name="_Toc49344311"/>
      <w:bookmarkStart w:id="17" w:name="_Toc446841632"/>
      <w:bookmarkStart w:id="18" w:name="_Toc486143105"/>
      <w:r>
        <w:rPr>
          <w:rFonts w:hint="eastAsia" w:asciiTheme="minorEastAsia" w:hAnsiTheme="minorEastAsia" w:eastAsiaTheme="minorEastAsia"/>
        </w:rPr>
        <w:t>运维服务范围</w:t>
      </w:r>
      <w:bookmarkEnd w:id="16"/>
      <w:bookmarkEnd w:id="17"/>
      <w:bookmarkEnd w:id="18"/>
    </w:p>
    <w:p w14:paraId="204E54F8">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北京创联致信针对鄂尔多斯烟草公司视频会议的运维服务主要由一线驻场工程师和二线后台技术支持工程师构成，依托于</w:t>
      </w:r>
      <w:bookmarkStart w:id="19" w:name="_Toc444200078"/>
      <w:r>
        <w:rPr>
          <w:rFonts w:hint="eastAsia" w:asciiTheme="minorEastAsia" w:hAnsiTheme="minorEastAsia" w:eastAsiaTheme="minorEastAsia"/>
          <w:sz w:val="24"/>
          <w:szCs w:val="24"/>
        </w:rPr>
        <w:t>部署的综合</w:t>
      </w:r>
      <w:r>
        <w:rPr>
          <w:rFonts w:asciiTheme="minorEastAsia" w:hAnsiTheme="minorEastAsia" w:eastAsiaTheme="minorEastAsia"/>
          <w:sz w:val="24"/>
          <w:szCs w:val="24"/>
        </w:rPr>
        <w:t>运维</w:t>
      </w:r>
      <w:r>
        <w:rPr>
          <w:rFonts w:hint="eastAsia" w:asciiTheme="minorEastAsia" w:hAnsiTheme="minorEastAsia" w:eastAsiaTheme="minorEastAsia"/>
          <w:sz w:val="24"/>
          <w:szCs w:val="24"/>
        </w:rPr>
        <w:t>系统</w:t>
      </w:r>
      <w:bookmarkEnd w:id="19"/>
      <w:r>
        <w:rPr>
          <w:rFonts w:hint="eastAsia" w:asciiTheme="minorEastAsia" w:hAnsiTheme="minorEastAsia" w:eastAsiaTheme="minorEastAsia"/>
          <w:sz w:val="24"/>
          <w:szCs w:val="24"/>
        </w:rPr>
        <w:t>服务于鄂尔多斯烟草公司网络及视频会议的各类IT系统，涵盖本项目所涉及的全部内容。</w:t>
      </w:r>
    </w:p>
    <w:p w14:paraId="152B8E18">
      <w:pPr>
        <w:pStyle w:val="7"/>
        <w:spacing w:line="360" w:lineRule="auto"/>
        <w:rPr>
          <w:rFonts w:asciiTheme="minorEastAsia" w:hAnsiTheme="minorEastAsia" w:eastAsiaTheme="minorEastAsia"/>
        </w:rPr>
      </w:pPr>
      <w:bookmarkStart w:id="20" w:name="_Toc446841633"/>
      <w:bookmarkStart w:id="21" w:name="_Toc486143106"/>
      <w:bookmarkStart w:id="22" w:name="_Toc49344312"/>
      <w:r>
        <w:rPr>
          <w:rFonts w:hint="eastAsia" w:asciiTheme="minorEastAsia" w:hAnsiTheme="minorEastAsia" w:eastAsiaTheme="minorEastAsia"/>
        </w:rPr>
        <w:t>运维服务内容展示和评估标准</w:t>
      </w:r>
      <w:bookmarkEnd w:id="20"/>
      <w:bookmarkEnd w:id="21"/>
      <w:bookmarkEnd w:id="22"/>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7367"/>
      </w:tblGrid>
      <w:tr w14:paraId="549E90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4" w:type="dxa"/>
            <w:vAlign w:val="center"/>
          </w:tcPr>
          <w:p w14:paraId="386CE923">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服务内容</w:t>
            </w:r>
          </w:p>
        </w:tc>
        <w:tc>
          <w:tcPr>
            <w:tcW w:w="7367" w:type="dxa"/>
            <w:vAlign w:val="center"/>
          </w:tcPr>
          <w:p w14:paraId="35C88EEA">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评估标准</w:t>
            </w:r>
          </w:p>
        </w:tc>
      </w:tr>
      <w:tr w14:paraId="5535FC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4" w:type="dxa"/>
          </w:tcPr>
          <w:p w14:paraId="7C1B68AD">
            <w:pPr>
              <w:pStyle w:val="9"/>
              <w:spacing w:before="312" w:line="360" w:lineRule="auto"/>
              <w:ind w:firstLine="0" w:firstLineChars="0"/>
              <w:jc w:val="center"/>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预防性检查</w:t>
            </w:r>
          </w:p>
        </w:tc>
        <w:tc>
          <w:tcPr>
            <w:tcW w:w="7367" w:type="dxa"/>
          </w:tcPr>
          <w:p w14:paraId="14C3D10A">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定期进行现场检查服务；</w:t>
            </w:r>
          </w:p>
          <w:p w14:paraId="228ADA39">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检查服务的质量应达到用户要求，如检查内容、报告质量、责任工程师水平及态度等；</w:t>
            </w:r>
          </w:p>
          <w:p w14:paraId="739573B6">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应在所确定时间内完成检查内容；</w:t>
            </w:r>
          </w:p>
          <w:p w14:paraId="5A4DBBBA">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应在规定时间内提交检查计划、检查报告。</w:t>
            </w:r>
          </w:p>
        </w:tc>
      </w:tr>
      <w:tr w14:paraId="6C240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4" w:type="dxa"/>
          </w:tcPr>
          <w:p w14:paraId="4200CF78">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系统升级</w:t>
            </w:r>
          </w:p>
        </w:tc>
        <w:tc>
          <w:tcPr>
            <w:tcW w:w="7367" w:type="dxa"/>
          </w:tcPr>
          <w:p w14:paraId="53CC3068">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定期向用户提供其所发布的相关软件更新信息；</w:t>
            </w:r>
          </w:p>
          <w:p w14:paraId="4E1E2545">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定期检查用户软件补丁安装状况并提供相应补丁安装建议；</w:t>
            </w:r>
          </w:p>
          <w:p w14:paraId="25667CF0">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及时通知用户对系统安全稳定运行存在影响的软件漏洞及修补方法；</w:t>
            </w:r>
          </w:p>
          <w:p w14:paraId="3A18F32F">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按用户要求配合完成软件补丁安装；</w:t>
            </w:r>
          </w:p>
        </w:tc>
      </w:tr>
      <w:tr w14:paraId="349455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4" w:type="dxa"/>
          </w:tcPr>
          <w:p w14:paraId="7FF1C01E">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故障处理</w:t>
            </w:r>
          </w:p>
        </w:tc>
        <w:tc>
          <w:tcPr>
            <w:tcW w:w="7367" w:type="dxa"/>
          </w:tcPr>
          <w:p w14:paraId="2CF2C7CD">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处理故障应按照在规定的响应时间内及时响应；</w:t>
            </w:r>
          </w:p>
          <w:p w14:paraId="3FECD4D7">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在规定的系统恢复时间内恢复系统</w:t>
            </w:r>
            <w:r>
              <w:rPr>
                <w:rFonts w:hint="eastAsia" w:cs="Arial" w:asciiTheme="minorEastAsia" w:hAnsiTheme="minorEastAsia" w:eastAsiaTheme="minorEastAsia"/>
                <w:sz w:val="24"/>
                <w:szCs w:val="24"/>
                <w:lang w:bidi="he-IL"/>
              </w:rPr>
              <w:t>软件和硬件</w:t>
            </w:r>
            <w:r>
              <w:rPr>
                <w:rFonts w:cs="Arial" w:asciiTheme="minorEastAsia" w:hAnsiTheme="minorEastAsia" w:eastAsiaTheme="minorEastAsia"/>
                <w:sz w:val="24"/>
                <w:szCs w:val="24"/>
                <w:lang w:bidi="he-IL"/>
              </w:rPr>
              <w:t>故障；</w:t>
            </w:r>
          </w:p>
          <w:p w14:paraId="77DB0572">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在故障分析过程中，定期向客户反馈分析进展。</w:t>
            </w:r>
          </w:p>
          <w:p w14:paraId="76B7E5D4">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按客户要求提交相应故障处理报告；</w:t>
            </w:r>
          </w:p>
        </w:tc>
      </w:tr>
      <w:tr w14:paraId="6FC23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64" w:type="dxa"/>
          </w:tcPr>
          <w:p w14:paraId="65D78CE5">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技术支持</w:t>
            </w:r>
          </w:p>
        </w:tc>
        <w:tc>
          <w:tcPr>
            <w:tcW w:w="7367" w:type="dxa"/>
          </w:tcPr>
          <w:p w14:paraId="5760D125">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按客户要求提供现场技术支持服务；</w:t>
            </w:r>
          </w:p>
          <w:p w14:paraId="18885D9E">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对服务范围内的产品提供技术支持中心及实验室的技术支持力量。</w:t>
            </w:r>
          </w:p>
        </w:tc>
      </w:tr>
      <w:tr w14:paraId="1AECD5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664" w:type="dxa"/>
          </w:tcPr>
          <w:p w14:paraId="0785BF2B">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其它服务</w:t>
            </w:r>
          </w:p>
        </w:tc>
        <w:tc>
          <w:tcPr>
            <w:tcW w:w="7367" w:type="dxa"/>
          </w:tcPr>
          <w:p w14:paraId="6DD13701">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对用户提出的意见及建议进行反馈或执行；</w:t>
            </w:r>
          </w:p>
          <w:p w14:paraId="2E962342">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用户有权对工程师或服务提出口头或书面投诉；</w:t>
            </w:r>
          </w:p>
        </w:tc>
      </w:tr>
    </w:tbl>
    <w:p w14:paraId="04F210A4">
      <w:pPr>
        <w:pStyle w:val="6"/>
        <w:spacing w:line="360" w:lineRule="auto"/>
        <w:rPr>
          <w:rFonts w:asciiTheme="minorEastAsia" w:hAnsiTheme="minorEastAsia" w:eastAsiaTheme="minorEastAsia"/>
          <w:sz w:val="24"/>
          <w:szCs w:val="24"/>
        </w:rPr>
      </w:pPr>
      <w:bookmarkStart w:id="23" w:name="_Toc338575868"/>
      <w:bookmarkStart w:id="24" w:name="_Toc446841626"/>
      <w:bookmarkStart w:id="25" w:name="_Toc486143116"/>
      <w:bookmarkStart w:id="26" w:name="_Toc49344322"/>
      <w:r>
        <w:rPr>
          <w:rFonts w:hint="eastAsia" w:asciiTheme="minorEastAsia" w:hAnsiTheme="minorEastAsia" w:eastAsiaTheme="minorEastAsia"/>
          <w:sz w:val="24"/>
          <w:szCs w:val="24"/>
        </w:rPr>
        <w:t>运维安全</w:t>
      </w:r>
      <w:bookmarkEnd w:id="23"/>
      <w:bookmarkEnd w:id="24"/>
      <w:bookmarkEnd w:id="25"/>
      <w:r>
        <w:rPr>
          <w:rFonts w:hint="eastAsia" w:asciiTheme="minorEastAsia" w:hAnsiTheme="minorEastAsia" w:eastAsiaTheme="minorEastAsia"/>
          <w:sz w:val="24"/>
          <w:szCs w:val="24"/>
        </w:rPr>
        <w:t>保密方案</w:t>
      </w:r>
      <w:bookmarkEnd w:id="26"/>
    </w:p>
    <w:p w14:paraId="225EDA91">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运维管理及使用人员应严格遵守国家相关的计算机安全法规，国家安全法令和鄂尔多斯烟草有关管理的规章制度。严禁在网上泄露国家机密；严禁散布颠覆国家、有损国家利益的反动言论；严禁在网上传播、查阅淫秽书刊、资料、色情类媒体信息；严禁在网上造谣诽谤、中伤国家、民族及个人的行为。 </w:t>
      </w:r>
    </w:p>
    <w:p w14:paraId="534C1C1E">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（二）不得与无关人员谈鄂尔多斯烟草视频会议运维机密。包括设备情况、运营管理、近期规划、发展战略等事项。 </w:t>
      </w:r>
    </w:p>
    <w:p w14:paraId="40F400AE">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（三）未经上级或相关部门批准，无关人员不得进入机房；如已得到许可的，需由相关人员陪同。 </w:t>
      </w:r>
    </w:p>
    <w:p w14:paraId="7DF4F12D">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（四）未经许可，严禁在机房内拍照、录像。</w:t>
      </w:r>
    </w:p>
    <w:p w14:paraId="3143CD97">
      <w:pPr>
        <w:pStyle w:val="7"/>
        <w:spacing w:line="360" w:lineRule="auto"/>
        <w:rPr>
          <w:rFonts w:asciiTheme="minorEastAsia" w:hAnsiTheme="minorEastAsia" w:eastAsiaTheme="minorEastAsia"/>
        </w:rPr>
      </w:pPr>
      <w:bookmarkStart w:id="27" w:name="_Toc482193725"/>
      <w:bookmarkStart w:id="28" w:name="_Toc482192586"/>
      <w:bookmarkStart w:id="29" w:name="_Toc47521854"/>
      <w:bookmarkStart w:id="30" w:name="_Toc46668824"/>
      <w:bookmarkStart w:id="31" w:name="_Toc519843701"/>
      <w:bookmarkStart w:id="32" w:name="_Toc49344323"/>
      <w:r>
        <w:rPr>
          <w:rFonts w:hint="eastAsia" w:asciiTheme="minorEastAsia" w:hAnsiTheme="minorEastAsia" w:eastAsiaTheme="minorEastAsia"/>
        </w:rPr>
        <w:t>运维设备及应用安全</w:t>
      </w:r>
      <w:bookmarkEnd w:id="27"/>
      <w:bookmarkEnd w:id="28"/>
      <w:bookmarkEnd w:id="29"/>
      <w:bookmarkEnd w:id="30"/>
      <w:bookmarkEnd w:id="31"/>
      <w:bookmarkEnd w:id="32"/>
    </w:p>
    <w:p w14:paraId="2B2D41C8">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应用系统安全上，关闭一些没有经常用的协议及协议端口号。加强登录身份认证，确保用户使用的合法性。并严格限制登录者的操作权限，将其完成的操作限制在最小的范围内。充分利用操作系统和应用系统本身的日志功能，对用户所访问的信息做记录，为事后审查提供依据。</w:t>
      </w:r>
    </w:p>
    <w:p w14:paraId="456BF8BC">
      <w:pPr>
        <w:pStyle w:val="7"/>
        <w:spacing w:line="360" w:lineRule="auto"/>
        <w:rPr>
          <w:rFonts w:asciiTheme="minorEastAsia" w:hAnsiTheme="minorEastAsia" w:eastAsiaTheme="minorEastAsia"/>
        </w:rPr>
      </w:pPr>
      <w:bookmarkStart w:id="33" w:name="_Toc46668825"/>
      <w:bookmarkStart w:id="34" w:name="_Toc519843702"/>
      <w:bookmarkStart w:id="35" w:name="_Toc482193726"/>
      <w:bookmarkStart w:id="36" w:name="_Toc482192587"/>
      <w:bookmarkStart w:id="37" w:name="_Toc49344324"/>
      <w:bookmarkStart w:id="38" w:name="_Toc47521855"/>
      <w:r>
        <w:rPr>
          <w:rFonts w:hint="eastAsia" w:asciiTheme="minorEastAsia" w:hAnsiTheme="minorEastAsia" w:eastAsiaTheme="minorEastAsia"/>
        </w:rPr>
        <w:t>系统安全身份认证</w:t>
      </w:r>
      <w:bookmarkEnd w:id="33"/>
      <w:bookmarkEnd w:id="34"/>
      <w:bookmarkEnd w:id="35"/>
      <w:bookmarkEnd w:id="36"/>
      <w:bookmarkEnd w:id="37"/>
      <w:bookmarkEnd w:id="38"/>
    </w:p>
    <w:p w14:paraId="173B7BAE">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系统可提供多种认证方式，包括密码口令认证、短信认证、电子邮件认证等方式。普通口令认证采用MD5加密算法，128位密钥加密确保系统安全。短信认证</w:t>
      </w:r>
      <w:r>
        <w:rPr>
          <w:rFonts w:asciiTheme="minorEastAsia" w:hAnsiTheme="minorEastAsia" w:eastAsiaTheme="minorEastAsia"/>
          <w:sz w:val="24"/>
          <w:szCs w:val="24"/>
        </w:rPr>
        <w:t>以手机短信形式请求包含6位随机数的动态密码，系统以短信形式发送随机的6位密码到手机上。在登录或者认证时候输入此动态密码，从而确保系统身份认证的安全性</w:t>
      </w:r>
      <w:r>
        <w:rPr>
          <w:rFonts w:hint="eastAsia" w:asciiTheme="minorEastAsia" w:hAnsiTheme="minorEastAsia" w:eastAsiaTheme="minorEastAsia"/>
          <w:sz w:val="24"/>
          <w:szCs w:val="24"/>
        </w:rPr>
        <w:t>。电子邮件认证同样，系统将随机动态密码发送到电子邮箱中，在登陆或认证的时候输入动态密码。</w:t>
      </w:r>
    </w:p>
    <w:p w14:paraId="4EC282E5">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系统以密码认证为主，在特定环节例如修改密码、邮箱、手机号等关键信息时需要通过手机短信或电子邮箱认证。当密码连续输入错误或者可疑环境登陆时，系统启动短信或邮件动态密码作为二次认证。</w:t>
      </w:r>
    </w:p>
    <w:p w14:paraId="320D03ED">
      <w:pPr>
        <w:pStyle w:val="7"/>
        <w:spacing w:line="360" w:lineRule="auto"/>
        <w:rPr>
          <w:rFonts w:asciiTheme="minorEastAsia" w:hAnsiTheme="minorEastAsia" w:eastAsiaTheme="minorEastAsia"/>
        </w:rPr>
      </w:pPr>
      <w:bookmarkStart w:id="39" w:name="_Toc49344328"/>
      <w:bookmarkStart w:id="40" w:name="_Toc482192591"/>
      <w:bookmarkStart w:id="41" w:name="_Toc47521859"/>
      <w:bookmarkStart w:id="42" w:name="_Toc482193730"/>
      <w:bookmarkStart w:id="43" w:name="_Toc519843706"/>
      <w:bookmarkStart w:id="44" w:name="_Toc46668829"/>
      <w:r>
        <w:rPr>
          <w:rFonts w:hint="eastAsia" w:asciiTheme="minorEastAsia" w:hAnsiTheme="minorEastAsia" w:eastAsiaTheme="minorEastAsia"/>
        </w:rPr>
        <w:t>操作日志</w:t>
      </w:r>
      <w:bookmarkEnd w:id="39"/>
      <w:bookmarkEnd w:id="40"/>
      <w:bookmarkEnd w:id="41"/>
      <w:bookmarkEnd w:id="42"/>
      <w:bookmarkEnd w:id="43"/>
      <w:bookmarkEnd w:id="44"/>
    </w:p>
    <w:p w14:paraId="2A3D3D6A">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提供日志功能，将用户登录、退出系统，以及重要的模块所有的操作都记录在日志中，并且重要的数据系统采用回收站的方式保留，系统管理员能够恢复被删除的数据，有效追踪非法入侵和维护系统数据安全。</w:t>
      </w:r>
    </w:p>
    <w:p w14:paraId="6E777C76">
      <w:pPr>
        <w:pStyle w:val="7"/>
        <w:spacing w:line="360" w:lineRule="auto"/>
        <w:rPr>
          <w:rFonts w:asciiTheme="minorEastAsia" w:hAnsiTheme="minorEastAsia" w:eastAsiaTheme="minorEastAsia"/>
        </w:rPr>
      </w:pPr>
      <w:r>
        <w:rPr>
          <w:rFonts w:hint="eastAsia" w:asciiTheme="minorEastAsia" w:hAnsiTheme="minorEastAsia" w:eastAsiaTheme="minorEastAsia"/>
        </w:rPr>
        <w:t>保密承诺书</w:t>
      </w:r>
    </w:p>
    <w:p w14:paraId="77B0CFE1">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人员要严格遵守国家相关的法律法规，以及鄂尔多斯烟草和信息中心的有关规定。按国家有关规定不能从事信息系统运维工作的人员，不得从事鄂尔多斯烟草的信息系统运维工作。运维人员上岗前须签订保密承诺书。</w:t>
      </w:r>
    </w:p>
    <w:p w14:paraId="439C748F">
      <w:pPr>
        <w:pStyle w:val="7"/>
        <w:spacing w:line="360" w:lineRule="auto"/>
        <w:rPr>
          <w:rFonts w:asciiTheme="minorEastAsia" w:hAnsiTheme="minorEastAsia" w:eastAsiaTheme="minorEastAsia"/>
        </w:rPr>
      </w:pPr>
      <w:bookmarkStart w:id="45" w:name="_Toc49344331"/>
      <w:bookmarkStart w:id="46" w:name="_Toc399492502"/>
      <w:bookmarkStart w:id="47" w:name="_Toc399509069"/>
      <w:bookmarkStart w:id="48" w:name="_Toc399487239"/>
      <w:bookmarkStart w:id="49" w:name="_Toc399505947"/>
      <w:bookmarkStart w:id="50" w:name="_Toc398998202"/>
      <w:bookmarkStart w:id="51" w:name="_Toc399490536"/>
      <w:bookmarkStart w:id="52" w:name="_Toc276577336"/>
      <w:bookmarkStart w:id="53" w:name="_Toc486143136"/>
      <w:bookmarkStart w:id="54" w:name="_Toc456770910"/>
      <w:bookmarkStart w:id="55" w:name="_Toc400986992"/>
      <w:bookmarkStart w:id="56" w:name="_Toc424228314"/>
      <w:bookmarkStart w:id="57" w:name="_Toc399511394"/>
      <w:r>
        <w:rPr>
          <w:rFonts w:hint="eastAsia" w:asciiTheme="minorEastAsia" w:hAnsiTheme="minorEastAsia" w:eastAsiaTheme="minorEastAsia"/>
        </w:rPr>
        <w:t>服务方式</w:t>
      </w:r>
      <w:bookmarkEnd w:id="45"/>
      <w:bookmarkEnd w:id="46"/>
      <w:bookmarkEnd w:id="47"/>
      <w:bookmarkEnd w:id="48"/>
      <w:bookmarkEnd w:id="49"/>
      <w:bookmarkEnd w:id="50"/>
      <w:bookmarkEnd w:id="51"/>
      <w:bookmarkEnd w:id="52"/>
      <w:bookmarkEnd w:id="53"/>
      <w:bookmarkEnd w:id="54"/>
      <w:bookmarkEnd w:id="55"/>
      <w:bookmarkEnd w:id="56"/>
      <w:bookmarkEnd w:id="57"/>
    </w:p>
    <w:p w14:paraId="219E4535">
      <w:pPr>
        <w:pStyle w:val="8"/>
        <w:spacing w:line="360" w:lineRule="auto"/>
        <w:rPr>
          <w:rFonts w:asciiTheme="minorEastAsia" w:hAnsiTheme="minorEastAsia" w:eastAsiaTheme="minorEastAsia"/>
          <w:sz w:val="24"/>
          <w:szCs w:val="24"/>
        </w:rPr>
      </w:pPr>
      <w:bookmarkStart w:id="58" w:name="_Toc399511395"/>
      <w:bookmarkStart w:id="59" w:name="_Toc398998203"/>
      <w:bookmarkStart w:id="60" w:name="_Toc399505948"/>
      <w:bookmarkStart w:id="61" w:name="_Toc245373653"/>
      <w:bookmarkStart w:id="62" w:name="_Toc424228315"/>
      <w:bookmarkStart w:id="63" w:name="_Toc399492503"/>
      <w:bookmarkStart w:id="64" w:name="_Toc400986993"/>
      <w:bookmarkStart w:id="65" w:name="_Toc399490537"/>
      <w:bookmarkStart w:id="66" w:name="_Toc248907442"/>
      <w:bookmarkStart w:id="67" w:name="_Toc399509070"/>
      <w:bookmarkStart w:id="68" w:name="_Toc276577337"/>
      <w:bookmarkStart w:id="69" w:name="_Toc87955662"/>
      <w:bookmarkStart w:id="70" w:name="_Toc456770911"/>
      <w:r>
        <w:rPr>
          <w:rFonts w:hint="eastAsia" w:asciiTheme="minorEastAsia" w:hAnsiTheme="minorEastAsia" w:eastAsiaTheme="minorEastAsia"/>
          <w:sz w:val="24"/>
          <w:szCs w:val="24"/>
        </w:rPr>
        <w:t>电话热线服务</w:t>
      </w:r>
      <w:bookmarkEnd w:id="58"/>
      <w:bookmarkEnd w:id="59"/>
      <w:bookmarkEnd w:id="60"/>
      <w:bookmarkEnd w:id="61"/>
      <w:bookmarkEnd w:id="62"/>
      <w:bookmarkEnd w:id="63"/>
      <w:bookmarkEnd w:id="64"/>
      <w:bookmarkEnd w:id="65"/>
      <w:bookmarkEnd w:id="66"/>
      <w:bookmarkEnd w:id="67"/>
      <w:bookmarkEnd w:id="68"/>
      <w:bookmarkEnd w:id="69"/>
      <w:bookmarkEnd w:id="70"/>
    </w:p>
    <w:p w14:paraId="429C2F9B">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北京创联致信提供快捷、方便、多样的通讯手段，实现7×24小时电话热线服务支持，提供对应用软件系统的支持，保证系统的正常运行。</w:t>
      </w:r>
    </w:p>
    <w:p w14:paraId="7F725B8E">
      <w:pPr>
        <w:pStyle w:val="8"/>
        <w:spacing w:line="360" w:lineRule="auto"/>
        <w:rPr>
          <w:rFonts w:asciiTheme="minorEastAsia" w:hAnsiTheme="minorEastAsia" w:eastAsiaTheme="minorEastAsia"/>
          <w:sz w:val="24"/>
          <w:szCs w:val="24"/>
        </w:rPr>
      </w:pPr>
      <w:bookmarkStart w:id="71" w:name="_Toc456770912"/>
      <w:bookmarkStart w:id="72" w:name="_Toc245373654"/>
      <w:bookmarkStart w:id="73" w:name="_Toc399511396"/>
      <w:bookmarkStart w:id="74" w:name="_Toc399505949"/>
      <w:bookmarkStart w:id="75" w:name="_Toc399509071"/>
      <w:bookmarkStart w:id="76" w:name="_Toc424228316"/>
      <w:bookmarkStart w:id="77" w:name="_Toc398998204"/>
      <w:bookmarkStart w:id="78" w:name="_Toc399492504"/>
      <w:bookmarkStart w:id="79" w:name="_Toc276577338"/>
      <w:bookmarkStart w:id="80" w:name="_Toc399490538"/>
      <w:bookmarkStart w:id="81" w:name="_Toc400986994"/>
      <w:bookmarkStart w:id="82" w:name="_Toc87955663"/>
      <w:bookmarkStart w:id="83" w:name="_Toc248907443"/>
      <w:r>
        <w:rPr>
          <w:rFonts w:hint="eastAsia" w:asciiTheme="minorEastAsia" w:hAnsiTheme="minorEastAsia" w:eastAsiaTheme="minorEastAsia"/>
          <w:sz w:val="24"/>
          <w:szCs w:val="24"/>
        </w:rPr>
        <w:t>现场技术服务</w:t>
      </w:r>
      <w:bookmarkEnd w:id="71"/>
      <w:bookmarkEnd w:id="72"/>
      <w:bookmarkEnd w:id="73"/>
      <w:bookmarkEnd w:id="74"/>
      <w:bookmarkEnd w:id="75"/>
      <w:bookmarkEnd w:id="76"/>
      <w:bookmarkEnd w:id="77"/>
      <w:bookmarkEnd w:id="78"/>
      <w:bookmarkEnd w:id="79"/>
      <w:bookmarkEnd w:id="80"/>
      <w:bookmarkEnd w:id="81"/>
      <w:bookmarkEnd w:id="82"/>
      <w:bookmarkEnd w:id="83"/>
    </w:p>
    <w:p w14:paraId="57939C3C">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对于用户急需且通过其他方式无法完成的服务请求，北京创联致信将在第一时间派遣相关工程师到现场解决。</w:t>
      </w:r>
    </w:p>
    <w:p w14:paraId="0A497E2C">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对于严重故障导致系统不能正常运行，通过电话或网络远程无法解决, 必须到现场进行解决的情况，北京创联致信将派遣熟悉用户设备配置的技术人员需及时到达用户现场。影响关键业务运行的故障，若报修8小时后仍无法排除，则原厂商需督催并支持集成商提供必要的备用方案和设备，8小时内必须恢复用户业务；</w:t>
      </w:r>
    </w:p>
    <w:p w14:paraId="2D7A94C7">
      <w:pPr>
        <w:pStyle w:val="8"/>
        <w:spacing w:line="360" w:lineRule="auto"/>
        <w:rPr>
          <w:rFonts w:asciiTheme="minorEastAsia" w:hAnsiTheme="minorEastAsia" w:eastAsiaTheme="minorEastAsia"/>
          <w:sz w:val="24"/>
          <w:szCs w:val="24"/>
        </w:rPr>
      </w:pPr>
      <w:bookmarkStart w:id="84" w:name="_Toc248907444"/>
      <w:bookmarkStart w:id="85" w:name="_Toc399511397"/>
      <w:bookmarkStart w:id="86" w:name="_Toc456770913"/>
      <w:bookmarkStart w:id="87" w:name="_Toc245373655"/>
      <w:bookmarkStart w:id="88" w:name="_Toc276577339"/>
      <w:bookmarkStart w:id="89" w:name="_Toc400986995"/>
      <w:bookmarkStart w:id="90" w:name="_Toc399492505"/>
      <w:bookmarkStart w:id="91" w:name="_Toc399505950"/>
      <w:bookmarkStart w:id="92" w:name="_Toc398998205"/>
      <w:bookmarkStart w:id="93" w:name="_Toc399490539"/>
      <w:bookmarkStart w:id="94" w:name="_Toc87955664"/>
      <w:bookmarkStart w:id="95" w:name="_Toc399509072"/>
      <w:bookmarkStart w:id="96" w:name="_Toc424228317"/>
      <w:r>
        <w:rPr>
          <w:rFonts w:hint="eastAsia" w:asciiTheme="minorEastAsia" w:hAnsiTheme="minorEastAsia" w:eastAsiaTheme="minorEastAsia"/>
          <w:sz w:val="24"/>
          <w:szCs w:val="24"/>
        </w:rPr>
        <w:t>远程技术支持服务</w:t>
      </w:r>
      <w:bookmarkEnd w:id="84"/>
      <w:bookmarkEnd w:id="85"/>
      <w:bookmarkEnd w:id="86"/>
      <w:bookmarkEnd w:id="87"/>
      <w:bookmarkEnd w:id="88"/>
      <w:bookmarkEnd w:id="89"/>
      <w:bookmarkEnd w:id="90"/>
      <w:bookmarkEnd w:id="91"/>
      <w:bookmarkEnd w:id="92"/>
      <w:bookmarkEnd w:id="93"/>
      <w:bookmarkEnd w:id="94"/>
      <w:bookmarkEnd w:id="95"/>
      <w:bookmarkEnd w:id="96"/>
    </w:p>
    <w:p w14:paraId="3A89217F">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北京创联致信建立有与用户连网的技术支持与响应中心，设置专人进行7×24小时值班，可以远程登录系统，进行设备维护、系统检查、故障诊断、软件调整等。主动检查、发现、修复各种原因引起的软件故障。</w:t>
      </w:r>
    </w:p>
    <w:p w14:paraId="23FCF9FE">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在质保期内北京创联致信将免费提供技术咨询服务。</w:t>
      </w:r>
    </w:p>
    <w:p w14:paraId="0E6AC274">
      <w:pPr>
        <w:pStyle w:val="8"/>
        <w:spacing w:line="360" w:lineRule="auto"/>
        <w:rPr>
          <w:rFonts w:asciiTheme="minorEastAsia" w:hAnsiTheme="minorEastAsia" w:eastAsiaTheme="minorEastAsia"/>
          <w:sz w:val="24"/>
          <w:szCs w:val="24"/>
        </w:rPr>
      </w:pPr>
      <w:bookmarkStart w:id="97" w:name="_Toc400986997"/>
      <w:bookmarkStart w:id="98" w:name="_Toc398998207"/>
      <w:bookmarkStart w:id="99" w:name="_Toc87955666"/>
      <w:bookmarkStart w:id="100" w:name="_Toc399492507"/>
      <w:bookmarkStart w:id="101" w:name="_Toc248907446"/>
      <w:bookmarkStart w:id="102" w:name="_Toc399509074"/>
      <w:bookmarkStart w:id="103" w:name="_Toc276577341"/>
      <w:bookmarkStart w:id="104" w:name="_Toc399505952"/>
      <w:bookmarkStart w:id="105" w:name="_Toc245373657"/>
      <w:bookmarkStart w:id="106" w:name="_Toc399490541"/>
      <w:bookmarkStart w:id="107" w:name="_Toc424228319"/>
      <w:bookmarkStart w:id="108" w:name="_Toc456770915"/>
      <w:bookmarkStart w:id="109" w:name="_Toc399511399"/>
      <w:r>
        <w:rPr>
          <w:rFonts w:hint="eastAsia" w:asciiTheme="minorEastAsia" w:hAnsiTheme="minorEastAsia" w:eastAsiaTheme="minorEastAsia"/>
          <w:sz w:val="24"/>
          <w:szCs w:val="24"/>
        </w:rPr>
        <w:t>定期巡检服务</w:t>
      </w:r>
      <w:bookmarkEnd w:id="97"/>
      <w:bookmarkEnd w:id="98"/>
      <w:bookmarkEnd w:id="99"/>
      <w:bookmarkEnd w:id="100"/>
      <w:bookmarkEnd w:id="101"/>
      <w:bookmarkEnd w:id="102"/>
      <w:bookmarkEnd w:id="103"/>
      <w:bookmarkEnd w:id="104"/>
      <w:bookmarkEnd w:id="105"/>
      <w:bookmarkEnd w:id="106"/>
      <w:bookmarkEnd w:id="107"/>
      <w:bookmarkEnd w:id="108"/>
      <w:bookmarkEnd w:id="109"/>
    </w:p>
    <w:p w14:paraId="2DD26228">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北京创联致信将为用户提供每月至少一次的现场巡检服务，检查系统软硬件的运行情况、用户日常维护问题，提供巡检报告并对维护中出现的问题提出改进办法。</w:t>
      </w:r>
    </w:p>
    <w:p w14:paraId="7C83353A">
      <w:pPr>
        <w:pStyle w:val="8"/>
        <w:spacing w:line="360" w:lineRule="auto"/>
        <w:rPr>
          <w:rFonts w:asciiTheme="minorEastAsia" w:hAnsiTheme="minorEastAsia" w:eastAsiaTheme="minorEastAsia"/>
          <w:sz w:val="24"/>
          <w:szCs w:val="24"/>
        </w:rPr>
      </w:pPr>
      <w:bookmarkStart w:id="110" w:name="_Toc245373661"/>
      <w:bookmarkStart w:id="111" w:name="_Toc399492511"/>
      <w:bookmarkStart w:id="112" w:name="_Toc399509078"/>
      <w:bookmarkStart w:id="113" w:name="_Toc248907450"/>
      <w:bookmarkStart w:id="114" w:name="_Toc399505956"/>
      <w:bookmarkStart w:id="115" w:name="_Toc276577345"/>
      <w:bookmarkStart w:id="116" w:name="_Toc399511403"/>
      <w:bookmarkStart w:id="117" w:name="_Toc398998211"/>
      <w:bookmarkStart w:id="118" w:name="_Toc47409781"/>
      <w:bookmarkStart w:id="119" w:name="_Toc424228323"/>
      <w:bookmarkStart w:id="120" w:name="_Toc399490545"/>
      <w:bookmarkStart w:id="121" w:name="_Toc400987001"/>
      <w:bookmarkStart w:id="122" w:name="_Toc47410101"/>
      <w:bookmarkStart w:id="123" w:name="_Toc456770919"/>
      <w:r>
        <w:rPr>
          <w:rFonts w:hint="eastAsia" w:asciiTheme="minorEastAsia" w:hAnsiTheme="minorEastAsia" w:eastAsiaTheme="minorEastAsia"/>
          <w:sz w:val="24"/>
          <w:szCs w:val="24"/>
        </w:rPr>
        <w:t>系统故障分类</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76"/>
        <w:gridCol w:w="1895"/>
        <w:gridCol w:w="5651"/>
      </w:tblGrid>
      <w:tr w14:paraId="77B1E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shd w:val="clear" w:color="auto" w:fill="C0C0C0"/>
          </w:tcPr>
          <w:p w14:paraId="0DB2D71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编号</w:t>
            </w:r>
          </w:p>
        </w:tc>
        <w:tc>
          <w:tcPr>
            <w:tcW w:w="1895" w:type="dxa"/>
            <w:shd w:val="clear" w:color="auto" w:fill="C0C0C0"/>
          </w:tcPr>
          <w:p w14:paraId="6A56DB05">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故障级别</w:t>
            </w:r>
          </w:p>
        </w:tc>
        <w:tc>
          <w:tcPr>
            <w:tcW w:w="5651" w:type="dxa"/>
            <w:shd w:val="clear" w:color="auto" w:fill="C0C0C0"/>
          </w:tcPr>
          <w:p w14:paraId="2C04F6E9">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故障现象</w:t>
            </w:r>
          </w:p>
        </w:tc>
      </w:tr>
      <w:tr w14:paraId="11FBE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14:paraId="61077EF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P1</w:t>
            </w:r>
          </w:p>
        </w:tc>
        <w:tc>
          <w:tcPr>
            <w:tcW w:w="1895" w:type="dxa"/>
            <w:vAlign w:val="center"/>
          </w:tcPr>
          <w:p w14:paraId="0740FFF3">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一级故障</w:t>
            </w:r>
          </w:p>
        </w:tc>
        <w:tc>
          <w:tcPr>
            <w:tcW w:w="5651" w:type="dxa"/>
            <w:vAlign w:val="center"/>
          </w:tcPr>
          <w:p w14:paraId="736F4B62">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系统不能运行，或对用户的业务运作有严重影响</w:t>
            </w:r>
          </w:p>
        </w:tc>
      </w:tr>
      <w:tr w14:paraId="310B0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14:paraId="333C9BE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P2</w:t>
            </w:r>
          </w:p>
        </w:tc>
        <w:tc>
          <w:tcPr>
            <w:tcW w:w="1895" w:type="dxa"/>
            <w:vAlign w:val="center"/>
          </w:tcPr>
          <w:p w14:paraId="46E9BC24">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二级故障</w:t>
            </w:r>
          </w:p>
        </w:tc>
        <w:tc>
          <w:tcPr>
            <w:tcW w:w="5651" w:type="dxa"/>
            <w:vAlign w:val="center"/>
          </w:tcPr>
          <w:p w14:paraId="38179048">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系统的操作性能严重下降或出现局部重要问题，或由于性能明显下降，对最终用户的业务运作重要影响</w:t>
            </w:r>
          </w:p>
        </w:tc>
      </w:tr>
      <w:tr w14:paraId="34D745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14:paraId="3CFD62E8">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P3</w:t>
            </w:r>
          </w:p>
        </w:tc>
        <w:tc>
          <w:tcPr>
            <w:tcW w:w="1895" w:type="dxa"/>
            <w:vAlign w:val="center"/>
          </w:tcPr>
          <w:p w14:paraId="528D348C">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三级故障</w:t>
            </w:r>
          </w:p>
        </w:tc>
        <w:tc>
          <w:tcPr>
            <w:tcW w:w="5651" w:type="dxa"/>
            <w:vAlign w:val="center"/>
          </w:tcPr>
          <w:p w14:paraId="1D21240D">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系统的操作性能受损，但最终用户大部分业务运作仍可正常工作。</w:t>
            </w:r>
          </w:p>
        </w:tc>
      </w:tr>
      <w:tr w14:paraId="1CCE6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14:paraId="22F99BFC">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P4</w:t>
            </w:r>
          </w:p>
        </w:tc>
        <w:tc>
          <w:tcPr>
            <w:tcW w:w="1895" w:type="dxa"/>
            <w:vAlign w:val="center"/>
          </w:tcPr>
          <w:p w14:paraId="26946E3D">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四级故障</w:t>
            </w:r>
          </w:p>
        </w:tc>
        <w:tc>
          <w:tcPr>
            <w:tcW w:w="5651" w:type="dxa"/>
            <w:vAlign w:val="center"/>
          </w:tcPr>
          <w:p w14:paraId="31A76657">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在产品功能、安装或配置方面需要信息或支援，但对用户的业务影响很小，或根本没有影响。</w:t>
            </w:r>
          </w:p>
        </w:tc>
      </w:tr>
    </w:tbl>
    <w:p w14:paraId="326FD071">
      <w:pPr>
        <w:spacing w:line="360" w:lineRule="auto"/>
        <w:ind w:firstLine="480"/>
        <w:rPr>
          <w:rFonts w:asciiTheme="minorEastAsia" w:hAnsiTheme="minorEastAsia" w:eastAsiaTheme="minorEastAsia"/>
          <w:sz w:val="24"/>
          <w:szCs w:val="24"/>
        </w:rPr>
      </w:pPr>
      <w:bookmarkStart w:id="124" w:name="_Toc47410102"/>
      <w:bookmarkStart w:id="125" w:name="_Toc245373662"/>
      <w:bookmarkStart w:id="126" w:name="_Toc47409782"/>
    </w:p>
    <w:p w14:paraId="0A16DFCB">
      <w:pPr>
        <w:pStyle w:val="8"/>
        <w:spacing w:line="360" w:lineRule="auto"/>
        <w:rPr>
          <w:rFonts w:asciiTheme="minorEastAsia" w:hAnsiTheme="minorEastAsia" w:eastAsiaTheme="minorEastAsia"/>
          <w:sz w:val="24"/>
          <w:szCs w:val="24"/>
        </w:rPr>
      </w:pPr>
      <w:bookmarkStart w:id="127" w:name="_Toc399492512"/>
      <w:bookmarkStart w:id="128" w:name="_Toc424228324"/>
      <w:bookmarkStart w:id="129" w:name="_Toc399505957"/>
      <w:bookmarkStart w:id="130" w:name="_Toc400987002"/>
      <w:bookmarkStart w:id="131" w:name="_Toc399490546"/>
      <w:bookmarkStart w:id="132" w:name="_Toc399511404"/>
      <w:bookmarkStart w:id="133" w:name="_Toc276577346"/>
      <w:bookmarkStart w:id="134" w:name="_Toc399509079"/>
      <w:bookmarkStart w:id="135" w:name="_Toc398998212"/>
      <w:bookmarkStart w:id="136" w:name="_Toc248907451"/>
      <w:bookmarkStart w:id="137" w:name="_Toc456770920"/>
      <w:r>
        <w:rPr>
          <w:rFonts w:hint="eastAsia" w:asciiTheme="minorEastAsia" w:hAnsiTheme="minorEastAsia" w:eastAsiaTheme="minorEastAsia"/>
          <w:sz w:val="24"/>
          <w:szCs w:val="24"/>
        </w:rPr>
        <w:t>不同类型故障的服务策略</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62C7D47D">
      <w:pPr>
        <w:spacing w:before="156" w:beforeLines="50" w:after="156" w:afterLines="50" w:line="360" w:lineRule="auto"/>
        <w:ind w:firstLine="480"/>
        <w:rPr>
          <w:rFonts w:cs="Arial" w:asciiTheme="minorEastAsia" w:hAnsiTheme="minorEastAsia" w:eastAsiaTheme="minorEastAsia"/>
          <w:sz w:val="24"/>
          <w:szCs w:val="24"/>
        </w:rPr>
      </w:pPr>
      <w:r>
        <w:rPr>
          <w:rFonts w:hint="eastAsia" w:asciiTheme="minorEastAsia" w:hAnsiTheme="minorEastAsia" w:eastAsiaTheme="minorEastAsia"/>
          <w:sz w:val="24"/>
          <w:szCs w:val="24"/>
        </w:rPr>
        <w:t>故障确诊时限和超时上报程序如下表：</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18"/>
        <w:gridCol w:w="1773"/>
        <w:gridCol w:w="1643"/>
        <w:gridCol w:w="1644"/>
        <w:gridCol w:w="1644"/>
      </w:tblGrid>
      <w:tr w14:paraId="15678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65" w:type="dxa"/>
            <w:vMerge w:val="restart"/>
            <w:shd w:val="clear" w:color="auto" w:fill="C0C0C0"/>
            <w:vAlign w:val="center"/>
          </w:tcPr>
          <w:p w14:paraId="0E710F63">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确诊时限</w:t>
            </w:r>
          </w:p>
        </w:tc>
        <w:tc>
          <w:tcPr>
            <w:tcW w:w="6888" w:type="dxa"/>
            <w:gridSpan w:val="4"/>
            <w:shd w:val="clear" w:color="auto" w:fill="C0C0C0"/>
            <w:vAlign w:val="center"/>
          </w:tcPr>
          <w:p w14:paraId="05FB0266">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故障级别</w:t>
            </w:r>
          </w:p>
        </w:tc>
      </w:tr>
      <w:tr w14:paraId="754CC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65" w:type="dxa"/>
            <w:vMerge w:val="continue"/>
            <w:shd w:val="clear" w:color="auto" w:fill="C0C0C0"/>
          </w:tcPr>
          <w:p w14:paraId="78520509">
            <w:pPr>
              <w:spacing w:before="62" w:beforeLines="20" w:after="62" w:afterLines="20" w:line="360" w:lineRule="auto"/>
              <w:ind w:firstLine="482"/>
              <w:rPr>
                <w:rFonts w:asciiTheme="minorEastAsia" w:hAnsiTheme="minorEastAsia" w:eastAsiaTheme="minorEastAsia"/>
                <w:b/>
                <w:sz w:val="24"/>
                <w:szCs w:val="24"/>
              </w:rPr>
            </w:pPr>
          </w:p>
        </w:tc>
        <w:tc>
          <w:tcPr>
            <w:tcW w:w="1825" w:type="dxa"/>
            <w:shd w:val="clear" w:color="auto" w:fill="C0C0C0"/>
            <w:vAlign w:val="center"/>
          </w:tcPr>
          <w:p w14:paraId="4F1FAE47">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一级故障</w:t>
            </w:r>
          </w:p>
        </w:tc>
        <w:tc>
          <w:tcPr>
            <w:tcW w:w="1687" w:type="dxa"/>
            <w:shd w:val="clear" w:color="auto" w:fill="C0C0C0"/>
            <w:vAlign w:val="center"/>
          </w:tcPr>
          <w:p w14:paraId="01E2F46B">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二级故障</w:t>
            </w:r>
          </w:p>
        </w:tc>
        <w:tc>
          <w:tcPr>
            <w:tcW w:w="1688" w:type="dxa"/>
            <w:shd w:val="clear" w:color="auto" w:fill="C0C0C0"/>
            <w:vAlign w:val="center"/>
          </w:tcPr>
          <w:p w14:paraId="6E54B231">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三级故障</w:t>
            </w:r>
          </w:p>
        </w:tc>
        <w:tc>
          <w:tcPr>
            <w:tcW w:w="1688" w:type="dxa"/>
            <w:shd w:val="clear" w:color="auto" w:fill="C0C0C0"/>
            <w:vAlign w:val="center"/>
          </w:tcPr>
          <w:p w14:paraId="1BE9F445">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四级故障</w:t>
            </w:r>
          </w:p>
        </w:tc>
      </w:tr>
      <w:tr w14:paraId="3B0D5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5A1F8BF7">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1个小时</w:t>
            </w:r>
          </w:p>
        </w:tc>
        <w:tc>
          <w:tcPr>
            <w:tcW w:w="1825" w:type="dxa"/>
            <w:vAlign w:val="center"/>
          </w:tcPr>
          <w:p w14:paraId="5CE7A7A5">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14:paraId="65CE91E8">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副总工程师</w:t>
            </w:r>
          </w:p>
        </w:tc>
        <w:tc>
          <w:tcPr>
            <w:tcW w:w="1687" w:type="dxa"/>
            <w:vAlign w:val="center"/>
          </w:tcPr>
          <w:p w14:paraId="480E6094">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高级工程师</w:t>
            </w:r>
          </w:p>
        </w:tc>
        <w:tc>
          <w:tcPr>
            <w:tcW w:w="1688" w:type="dxa"/>
            <w:vAlign w:val="center"/>
          </w:tcPr>
          <w:p w14:paraId="0F629C95">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7ECD2E22">
            <w:pPr>
              <w:spacing w:before="62" w:beforeLines="20" w:after="62" w:afterLines="20" w:line="360" w:lineRule="auto"/>
              <w:ind w:firstLine="480"/>
              <w:rPr>
                <w:rFonts w:asciiTheme="minorEastAsia" w:hAnsiTheme="minorEastAsia" w:eastAsiaTheme="minorEastAsia"/>
                <w:sz w:val="24"/>
                <w:szCs w:val="24"/>
              </w:rPr>
            </w:pPr>
          </w:p>
        </w:tc>
      </w:tr>
      <w:tr w14:paraId="14CE8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687B6D50">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4个小时</w:t>
            </w:r>
          </w:p>
        </w:tc>
        <w:tc>
          <w:tcPr>
            <w:tcW w:w="1825" w:type="dxa"/>
            <w:vAlign w:val="center"/>
          </w:tcPr>
          <w:p w14:paraId="0F1C89A4">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总工程师</w:t>
            </w:r>
          </w:p>
        </w:tc>
        <w:tc>
          <w:tcPr>
            <w:tcW w:w="1687" w:type="dxa"/>
            <w:vAlign w:val="center"/>
          </w:tcPr>
          <w:p w14:paraId="635D4FE4">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14:paraId="59F7BDD5">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c>
          <w:tcPr>
            <w:tcW w:w="1688" w:type="dxa"/>
            <w:vAlign w:val="center"/>
          </w:tcPr>
          <w:p w14:paraId="3E0973EF">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08F68868">
            <w:pPr>
              <w:spacing w:before="62" w:beforeLines="20" w:after="62" w:afterLines="20" w:line="360" w:lineRule="auto"/>
              <w:ind w:firstLine="480"/>
              <w:rPr>
                <w:rFonts w:asciiTheme="minorEastAsia" w:hAnsiTheme="minorEastAsia" w:eastAsiaTheme="minorEastAsia"/>
                <w:sz w:val="24"/>
                <w:szCs w:val="24"/>
              </w:rPr>
            </w:pPr>
          </w:p>
        </w:tc>
      </w:tr>
      <w:tr w14:paraId="4F733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5ED96B54">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24个小时</w:t>
            </w:r>
          </w:p>
        </w:tc>
        <w:tc>
          <w:tcPr>
            <w:tcW w:w="1825" w:type="dxa"/>
            <w:vAlign w:val="center"/>
          </w:tcPr>
          <w:p w14:paraId="7970F875">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公司总裁</w:t>
            </w:r>
          </w:p>
        </w:tc>
        <w:tc>
          <w:tcPr>
            <w:tcW w:w="1687" w:type="dxa"/>
            <w:vAlign w:val="center"/>
          </w:tcPr>
          <w:p w14:paraId="376807C8">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kern w:val="28"/>
                <w:sz w:val="24"/>
                <w:szCs w:val="24"/>
              </w:rPr>
              <w:t>总工程师</w:t>
            </w:r>
          </w:p>
        </w:tc>
        <w:tc>
          <w:tcPr>
            <w:tcW w:w="1688" w:type="dxa"/>
            <w:vAlign w:val="center"/>
          </w:tcPr>
          <w:p w14:paraId="3BE55641">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25C55FA5">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高级工程师</w:t>
            </w:r>
          </w:p>
        </w:tc>
      </w:tr>
      <w:tr w14:paraId="35F62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1070C39C">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48个小时</w:t>
            </w:r>
          </w:p>
        </w:tc>
        <w:tc>
          <w:tcPr>
            <w:tcW w:w="1825" w:type="dxa"/>
            <w:vAlign w:val="center"/>
          </w:tcPr>
          <w:p w14:paraId="2645B65D">
            <w:pPr>
              <w:spacing w:before="62" w:beforeLines="20" w:after="62" w:afterLines="20" w:line="360" w:lineRule="auto"/>
              <w:ind w:firstLine="480"/>
              <w:rPr>
                <w:rFonts w:asciiTheme="minorEastAsia" w:hAnsiTheme="minorEastAsia" w:eastAsiaTheme="minorEastAsia"/>
                <w:sz w:val="24"/>
                <w:szCs w:val="24"/>
              </w:rPr>
            </w:pPr>
          </w:p>
        </w:tc>
        <w:tc>
          <w:tcPr>
            <w:tcW w:w="1687" w:type="dxa"/>
            <w:vAlign w:val="center"/>
          </w:tcPr>
          <w:p w14:paraId="245CE721">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公司总裁</w:t>
            </w:r>
          </w:p>
        </w:tc>
        <w:tc>
          <w:tcPr>
            <w:tcW w:w="1688" w:type="dxa"/>
            <w:vAlign w:val="center"/>
          </w:tcPr>
          <w:p w14:paraId="3936F795">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14:paraId="523F7CE4">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c>
          <w:tcPr>
            <w:tcW w:w="1688" w:type="dxa"/>
            <w:vAlign w:val="center"/>
          </w:tcPr>
          <w:p w14:paraId="663ED610">
            <w:pPr>
              <w:spacing w:before="62" w:beforeLines="20" w:after="62" w:afterLines="20" w:line="360" w:lineRule="auto"/>
              <w:ind w:firstLine="480"/>
              <w:rPr>
                <w:rFonts w:asciiTheme="minorEastAsia" w:hAnsiTheme="minorEastAsia" w:eastAsiaTheme="minorEastAsia"/>
                <w:sz w:val="24"/>
                <w:szCs w:val="24"/>
              </w:rPr>
            </w:pPr>
          </w:p>
        </w:tc>
      </w:tr>
      <w:tr w14:paraId="64433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20EE9325">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72个小时</w:t>
            </w:r>
          </w:p>
        </w:tc>
        <w:tc>
          <w:tcPr>
            <w:tcW w:w="1825" w:type="dxa"/>
            <w:vAlign w:val="center"/>
          </w:tcPr>
          <w:p w14:paraId="4D0959BA">
            <w:pPr>
              <w:spacing w:before="62" w:beforeLines="20" w:after="62" w:afterLines="20" w:line="360" w:lineRule="auto"/>
              <w:ind w:firstLine="480"/>
              <w:rPr>
                <w:rFonts w:asciiTheme="minorEastAsia" w:hAnsiTheme="minorEastAsia" w:eastAsiaTheme="minorEastAsia"/>
                <w:sz w:val="24"/>
                <w:szCs w:val="24"/>
              </w:rPr>
            </w:pPr>
          </w:p>
        </w:tc>
        <w:tc>
          <w:tcPr>
            <w:tcW w:w="1687" w:type="dxa"/>
            <w:vAlign w:val="center"/>
          </w:tcPr>
          <w:p w14:paraId="42BA1068">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537951A6">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kern w:val="28"/>
                <w:sz w:val="24"/>
                <w:szCs w:val="24"/>
              </w:rPr>
              <w:t>总工程师</w:t>
            </w:r>
          </w:p>
        </w:tc>
        <w:tc>
          <w:tcPr>
            <w:tcW w:w="1688" w:type="dxa"/>
            <w:vAlign w:val="center"/>
          </w:tcPr>
          <w:p w14:paraId="4283647B">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14:paraId="40902891">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r>
      <w:tr w14:paraId="4EA58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14:paraId="5ACD87CB">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120个小时</w:t>
            </w:r>
          </w:p>
        </w:tc>
        <w:tc>
          <w:tcPr>
            <w:tcW w:w="1825" w:type="dxa"/>
            <w:vAlign w:val="center"/>
          </w:tcPr>
          <w:p w14:paraId="7010D084">
            <w:pPr>
              <w:spacing w:before="62" w:beforeLines="20" w:after="62" w:afterLines="20" w:line="360" w:lineRule="auto"/>
              <w:ind w:firstLine="480"/>
              <w:rPr>
                <w:rFonts w:asciiTheme="minorEastAsia" w:hAnsiTheme="minorEastAsia" w:eastAsiaTheme="minorEastAsia"/>
                <w:sz w:val="24"/>
                <w:szCs w:val="24"/>
              </w:rPr>
            </w:pPr>
          </w:p>
        </w:tc>
        <w:tc>
          <w:tcPr>
            <w:tcW w:w="1687" w:type="dxa"/>
            <w:vAlign w:val="center"/>
          </w:tcPr>
          <w:p w14:paraId="20B9A942">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14:paraId="447028BB">
            <w:pPr>
              <w:spacing w:before="62" w:beforeLines="20" w:after="62" w:afterLines="20" w:line="360" w:lineRule="auto"/>
              <w:ind w:firstLine="480"/>
              <w:rPr>
                <w:rFonts w:asciiTheme="minorEastAsia" w:hAnsiTheme="minorEastAsia" w:eastAsiaTheme="minorEastAsia"/>
                <w:kern w:val="28"/>
                <w:sz w:val="24"/>
                <w:szCs w:val="24"/>
              </w:rPr>
            </w:pPr>
            <w:r>
              <w:rPr>
                <w:rFonts w:hint="eastAsia" w:asciiTheme="minorEastAsia" w:hAnsiTheme="minorEastAsia" w:eastAsiaTheme="minorEastAsia"/>
                <w:sz w:val="24"/>
                <w:szCs w:val="24"/>
              </w:rPr>
              <w:t>公司总裁</w:t>
            </w:r>
          </w:p>
        </w:tc>
        <w:tc>
          <w:tcPr>
            <w:tcW w:w="1688" w:type="dxa"/>
            <w:vAlign w:val="center"/>
          </w:tcPr>
          <w:p w14:paraId="050BF7E0">
            <w:pPr>
              <w:spacing w:before="62" w:beforeLines="20" w:after="62" w:afterLines="20" w:line="360" w:lineRule="auto"/>
              <w:ind w:firstLine="480"/>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总工程师</w:t>
            </w:r>
          </w:p>
        </w:tc>
      </w:tr>
    </w:tbl>
    <w:p w14:paraId="12984ADC">
      <w:pPr>
        <w:spacing w:before="312" w:beforeLines="10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说明：一级、二级故障的上报时限是7×</w:t>
      </w:r>
      <w:r>
        <w:rPr>
          <w:rFonts w:asciiTheme="minorEastAsia" w:hAnsiTheme="minorEastAsia" w:eastAsiaTheme="minorEastAsia"/>
          <w:sz w:val="24"/>
          <w:szCs w:val="24"/>
        </w:rPr>
        <w:t>2</w:t>
      </w:r>
      <w:r>
        <w:rPr>
          <w:rFonts w:hint="eastAsia" w:asciiTheme="minorEastAsia" w:hAnsiTheme="minorEastAsia" w:eastAsiaTheme="minorEastAsia"/>
          <w:sz w:val="24"/>
          <w:szCs w:val="24"/>
        </w:rPr>
        <w:t>4小时计算，三级和四级故障的上报时限是按标准的工作时间计算。</w:t>
      </w:r>
    </w:p>
    <w:p w14:paraId="35A2E961">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一般而言，公司的现场工程师在严重故障无法通过远程确诊并超时限的情况下，可以在2小时内到达，外地12小时之内抵达现场。</w:t>
      </w:r>
      <w:bookmarkStart w:id="138" w:name="_Toc248907452"/>
      <w:bookmarkStart w:id="139" w:name="_Toc245373663"/>
      <w:bookmarkStart w:id="140" w:name="_Toc87955670"/>
      <w:bookmarkStart w:id="141" w:name="_Toc398998213"/>
      <w:bookmarkStart w:id="142" w:name="_Toc276577347"/>
    </w:p>
    <w:bookmarkEnd w:id="138"/>
    <w:bookmarkEnd w:id="139"/>
    <w:bookmarkEnd w:id="140"/>
    <w:bookmarkEnd w:id="141"/>
    <w:bookmarkEnd w:id="142"/>
    <w:p w14:paraId="1C181755">
      <w:pPr>
        <w:pStyle w:val="7"/>
        <w:spacing w:line="360" w:lineRule="auto"/>
        <w:rPr>
          <w:rFonts w:asciiTheme="minorEastAsia" w:hAnsiTheme="minorEastAsia" w:eastAsiaTheme="minorEastAsia"/>
        </w:rPr>
      </w:pPr>
      <w:bookmarkStart w:id="143" w:name="_Toc329371011"/>
      <w:bookmarkStart w:id="144" w:name="_Toc399511409"/>
      <w:bookmarkStart w:id="145" w:name="_Toc386477554"/>
      <w:bookmarkStart w:id="146" w:name="_Toc183768286"/>
      <w:bookmarkStart w:id="147" w:name="_Toc399487243"/>
      <w:bookmarkStart w:id="148" w:name="_Toc399313159"/>
      <w:bookmarkStart w:id="149" w:name="_Toc150158203"/>
      <w:bookmarkStart w:id="150" w:name="_Toc158706520"/>
      <w:bookmarkStart w:id="151" w:name="_Toc400987007"/>
      <w:bookmarkStart w:id="152" w:name="_Toc263667119"/>
      <w:bookmarkStart w:id="153" w:name="_Toc456770925"/>
      <w:bookmarkStart w:id="154" w:name="_Toc272704145"/>
      <w:bookmarkStart w:id="155" w:name="_Toc399505962"/>
      <w:bookmarkStart w:id="156" w:name="_Toc399492517"/>
      <w:bookmarkStart w:id="157" w:name="_Toc486143139"/>
      <w:bookmarkStart w:id="158" w:name="_Toc424228329"/>
      <w:bookmarkStart w:id="159" w:name="_Toc399490551"/>
      <w:bookmarkStart w:id="160" w:name="_Toc49344333"/>
      <w:bookmarkStart w:id="161" w:name="_Toc399509084"/>
      <w:r>
        <w:rPr>
          <w:rFonts w:asciiTheme="minorEastAsia" w:hAnsiTheme="minorEastAsia" w:eastAsiaTheme="minorEastAsia"/>
        </w:rPr>
        <w:t>技术服务的文档</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101CAC4">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按照ISO9001的管理规范，每次技术服务完成后，</w:t>
      </w:r>
      <w:r>
        <w:rPr>
          <w:rFonts w:hint="eastAsia" w:cs="宋体" w:asciiTheme="minorEastAsia" w:hAnsiTheme="minorEastAsia" w:eastAsiaTheme="minorEastAsia"/>
          <w:sz w:val="24"/>
          <w:szCs w:val="24"/>
          <w:lang w:bidi="he-IL"/>
        </w:rPr>
        <w:t>北京创联致信</w:t>
      </w:r>
      <w:r>
        <w:rPr>
          <w:rFonts w:cs="Arial" w:asciiTheme="minorEastAsia" w:hAnsiTheme="minorEastAsia" w:eastAsiaTheme="minorEastAsia"/>
          <w:sz w:val="24"/>
          <w:szCs w:val="24"/>
          <w:lang w:bidi="he-IL"/>
        </w:rPr>
        <w:t>的技术服务人员都将向用户提交技术服务报告，用户签字认可后，</w:t>
      </w:r>
      <w:r>
        <w:rPr>
          <w:rFonts w:hint="eastAsia" w:cs="宋体" w:asciiTheme="minorEastAsia" w:hAnsiTheme="minorEastAsia" w:eastAsiaTheme="minorEastAsia"/>
          <w:sz w:val="24"/>
          <w:szCs w:val="24"/>
          <w:lang w:bidi="he-IL"/>
        </w:rPr>
        <w:t>北京创联致信</w:t>
      </w:r>
      <w:r>
        <w:rPr>
          <w:rFonts w:cs="Arial" w:asciiTheme="minorEastAsia" w:hAnsiTheme="minorEastAsia" w:eastAsiaTheme="minorEastAsia"/>
          <w:sz w:val="24"/>
          <w:szCs w:val="24"/>
          <w:lang w:bidi="he-IL"/>
        </w:rPr>
        <w:t>将其存档备案，以便今后更好地为用户提供技术服务。技术服务的文档中的主要包括如下内容：</w:t>
      </w:r>
    </w:p>
    <w:p w14:paraId="59A96354">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技术服务的详细内容，所涉及的产品厂家、型号、数量、系列号S/N等；产品修复或更换的详细记录；</w:t>
      </w:r>
    </w:p>
    <w:p w14:paraId="49846B2A">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与用户及生产厂家之间往来的重要传真、电话及书面资料的备忘录。</w:t>
      </w:r>
    </w:p>
    <w:p w14:paraId="0DD458A7">
      <w:pPr>
        <w:pStyle w:val="7"/>
        <w:spacing w:line="360" w:lineRule="auto"/>
        <w:rPr>
          <w:rFonts w:asciiTheme="minorEastAsia" w:hAnsiTheme="minorEastAsia" w:eastAsiaTheme="minorEastAsia"/>
        </w:rPr>
      </w:pPr>
      <w:bookmarkStart w:id="162" w:name="_Toc400987008"/>
      <w:bookmarkStart w:id="163" w:name="_Toc486143140"/>
      <w:bookmarkStart w:id="164" w:name="_Toc399492518"/>
      <w:bookmarkStart w:id="165" w:name="_Toc183768287"/>
      <w:bookmarkStart w:id="166" w:name="_Toc49344334"/>
      <w:bookmarkStart w:id="167" w:name="_Toc272704146"/>
      <w:bookmarkStart w:id="168" w:name="_Toc399511410"/>
      <w:bookmarkStart w:id="169" w:name="_Toc158706521"/>
      <w:bookmarkStart w:id="170" w:name="_Toc456770926"/>
      <w:bookmarkStart w:id="171" w:name="_Toc399487244"/>
      <w:bookmarkStart w:id="172" w:name="_Toc424228330"/>
      <w:bookmarkStart w:id="173" w:name="_Toc399505963"/>
      <w:bookmarkStart w:id="174" w:name="_Toc386477555"/>
      <w:bookmarkStart w:id="175" w:name="_Toc399490552"/>
      <w:bookmarkStart w:id="176" w:name="_Toc329371012"/>
      <w:bookmarkStart w:id="177" w:name="_Toc263667120"/>
      <w:bookmarkStart w:id="178" w:name="_Toc399313160"/>
      <w:bookmarkStart w:id="179" w:name="_Toc399509085"/>
      <w:bookmarkStart w:id="180" w:name="_Toc150158204"/>
      <w:r>
        <w:rPr>
          <w:rFonts w:asciiTheme="minorEastAsia" w:hAnsiTheme="minorEastAsia" w:eastAsiaTheme="minorEastAsia"/>
        </w:rPr>
        <w:t>备品备件的具体方案</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F5E9430">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根据我们对以往行业项目的系统售后维护经验，备品备件的更替对于用户业务系统的正常运行是非常关键的问题。我们公司作为本次项目主要设备的授权经销商，将保证系统关键备品备件的及时更换，避免因为硬件及系统的故障影响用于业务系统的正常应用。对由于硬件质量问题造成的损坏，我们公司将到现场免费维修更换损坏的硬件。</w:t>
      </w: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Segoe UI Emoji">
    <w:panose1 w:val="020B0502040204020203"/>
    <w:charset w:val="00"/>
    <w:family w:val="auto"/>
    <w:pitch w:val="default"/>
    <w:sig w:usb0="00000001" w:usb1="02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9D6C4"/>
    <w:multiLevelType w:val="multilevel"/>
    <w:tmpl w:val="B539D6C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A3FBAB4"/>
    <w:multiLevelType w:val="multilevel"/>
    <w:tmpl w:val="FA3FBAB4"/>
    <w:lvl w:ilvl="0" w:tentative="0">
      <w:start w:val="1"/>
      <w:numFmt w:val="decimal"/>
      <w:pStyle w:val="4"/>
      <w:lvlText w:val="%1、"/>
      <w:lvlJc w:val="left"/>
      <w:pPr>
        <w:ind w:left="420" w:hanging="420"/>
      </w:pPr>
      <w:rPr>
        <w:rFonts w:hint="default"/>
        <w:lang w:val="en-US"/>
      </w:rPr>
    </w:lvl>
    <w:lvl w:ilvl="1" w:tentative="0">
      <w:start w:val="1"/>
      <w:numFmt w:val="decimal"/>
      <w:isLgl/>
      <w:suff w:val="space"/>
      <w:lvlText w:val="%1.%2."/>
      <w:lvlJc w:val="left"/>
      <w:pPr>
        <w:ind w:left="576" w:hanging="576"/>
      </w:pPr>
      <w:rPr>
        <w:rFonts w:hint="eastAsia"/>
      </w:rPr>
    </w:lvl>
    <w:lvl w:ilvl="2" w:tentative="0">
      <w:start w:val="1"/>
      <w:numFmt w:val="decimal"/>
      <w:isLgl/>
      <w:suff w:val="space"/>
      <w:lvlText w:val="%1.%2.%3."/>
      <w:lvlJc w:val="left"/>
      <w:pPr>
        <w:ind w:left="720" w:hanging="720"/>
      </w:pPr>
      <w:rPr>
        <w:rFonts w:hint="eastAsia"/>
      </w:rPr>
    </w:lvl>
    <w:lvl w:ilvl="3" w:tentative="0">
      <w:start w:val="1"/>
      <w:numFmt w:val="decimal"/>
      <w:isLgl/>
      <w:suff w:val="space"/>
      <w:lvlText w:val="%1.%2.%3.%4."/>
      <w:lvlJc w:val="left"/>
      <w:pPr>
        <w:tabs>
          <w:tab w:val="left" w:pos="420"/>
        </w:tabs>
        <w:ind w:left="864" w:hanging="864"/>
      </w:pPr>
      <w:rPr>
        <w:rFonts w:hint="default" w:ascii="宋体" w:hAnsi="宋体" w:eastAsia="宋体" w:cs="宋体"/>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FFFFFF82"/>
    <w:multiLevelType w:val="singleLevel"/>
    <w:tmpl w:val="FFFFFF82"/>
    <w:lvl w:ilvl="0" w:tentative="0">
      <w:start w:val="1"/>
      <w:numFmt w:val="bullet"/>
      <w:pStyle w:val="12"/>
      <w:lvlText w:val=""/>
      <w:lvlJc w:val="left"/>
      <w:pPr>
        <w:tabs>
          <w:tab w:val="left" w:pos="1200"/>
        </w:tabs>
        <w:ind w:left="1200" w:leftChars="400" w:hanging="360" w:hangingChars="200"/>
      </w:pPr>
      <w:rPr>
        <w:rFonts w:hint="default" w:ascii="Wingdings" w:hAnsi="Wingdings"/>
      </w:rPr>
    </w:lvl>
  </w:abstractNum>
  <w:abstractNum w:abstractNumId="3">
    <w:nsid w:val="FFFFFF83"/>
    <w:multiLevelType w:val="singleLevel"/>
    <w:tmpl w:val="FFFFFF83"/>
    <w:lvl w:ilvl="0" w:tentative="0">
      <w:start w:val="1"/>
      <w:numFmt w:val="bullet"/>
      <w:pStyle w:val="14"/>
      <w:lvlText w:val=""/>
      <w:lvlJc w:val="left"/>
      <w:pPr>
        <w:tabs>
          <w:tab w:val="left" w:pos="560"/>
        </w:tabs>
        <w:ind w:left="560" w:hanging="360"/>
      </w:pPr>
      <w:rPr>
        <w:rFonts w:hint="default" w:ascii="Wingdings" w:hAnsi="Wingdings"/>
      </w:rPr>
    </w:lvl>
  </w:abstractNum>
  <w:abstractNum w:abstractNumId="4">
    <w:nsid w:val="FFFFFF89"/>
    <w:multiLevelType w:val="singleLevel"/>
    <w:tmpl w:val="FFFFFF89"/>
    <w:lvl w:ilvl="0" w:tentative="0">
      <w:start w:val="1"/>
      <w:numFmt w:val="bullet"/>
      <w:pStyle w:val="10"/>
      <w:lvlText w:val=""/>
      <w:lvlJc w:val="left"/>
      <w:pPr>
        <w:tabs>
          <w:tab w:val="left" w:pos="0"/>
        </w:tabs>
        <w:ind w:left="0" w:firstLine="0"/>
      </w:pPr>
      <w:rPr>
        <w:rFonts w:hint="default" w:ascii="Wingdings" w:hAnsi="Wingdings"/>
      </w:rPr>
    </w:lvl>
  </w:abstractNum>
  <w:abstractNum w:abstractNumId="5">
    <w:nsid w:val="30241DCA"/>
    <w:multiLevelType w:val="multilevel"/>
    <w:tmpl w:val="30241DC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1B9AC3"/>
    <w:multiLevelType w:val="multilevel"/>
    <w:tmpl w:val="441B9AC3"/>
    <w:lvl w:ilvl="0" w:tentative="0">
      <w:start w:val="1"/>
      <w:numFmt w:val="decimal"/>
      <w:lvlText w:val="%1、"/>
      <w:lvlJc w:val="left"/>
      <w:pPr>
        <w:ind w:left="420" w:hanging="420"/>
      </w:pPr>
      <w:rPr>
        <w:rFonts w:hint="default"/>
        <w:lang w:val="en-US"/>
      </w:rPr>
    </w:lvl>
    <w:lvl w:ilvl="1" w:tentative="0">
      <w:start w:val="1"/>
      <w:numFmt w:val="decimal"/>
      <w:isLgl/>
      <w:suff w:val="space"/>
      <w:lvlText w:val="%1.%2."/>
      <w:lvlJc w:val="left"/>
      <w:pPr>
        <w:ind w:left="576" w:hanging="576"/>
      </w:pPr>
      <w:rPr>
        <w:rFonts w:hint="eastAsia"/>
      </w:rPr>
    </w:lvl>
    <w:lvl w:ilvl="2" w:tentative="0">
      <w:start w:val="1"/>
      <w:numFmt w:val="decimal"/>
      <w:isLgl/>
      <w:suff w:val="space"/>
      <w:lvlText w:val="%1.%2.%3."/>
      <w:lvlJc w:val="left"/>
      <w:pPr>
        <w:ind w:left="720" w:hanging="720"/>
      </w:pPr>
      <w:rPr>
        <w:rFonts w:hint="eastAsia"/>
      </w:rPr>
    </w:lvl>
    <w:lvl w:ilvl="3" w:tentative="0">
      <w:start w:val="1"/>
      <w:numFmt w:val="decimal"/>
      <w:pStyle w:val="7"/>
      <w:isLgl/>
      <w:suff w:val="space"/>
      <w:lvlText w:val="%1.%2.%3.%4."/>
      <w:lvlJc w:val="left"/>
      <w:pPr>
        <w:tabs>
          <w:tab w:val="left" w:pos="420"/>
        </w:tabs>
        <w:ind w:left="864" w:hanging="864"/>
      </w:pPr>
      <w:rPr>
        <w:rFonts w:hint="default" w:ascii="宋体" w:hAnsi="宋体" w:eastAsia="宋体" w:cs="宋体"/>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F742216"/>
    <w:multiLevelType w:val="multilevel"/>
    <w:tmpl w:val="5F74221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TA0ZGUzYzljMDhlZTMyOWEwNWJiY2NjNDNiYTkifQ=="/>
  </w:docVars>
  <w:rsids>
    <w:rsidRoot w:val="005E2E4E"/>
    <w:rsid w:val="000047BE"/>
    <w:rsid w:val="00047592"/>
    <w:rsid w:val="00087A62"/>
    <w:rsid w:val="00093439"/>
    <w:rsid w:val="000A3348"/>
    <w:rsid w:val="000B3861"/>
    <w:rsid w:val="000F3F33"/>
    <w:rsid w:val="00100CCF"/>
    <w:rsid w:val="00111D82"/>
    <w:rsid w:val="001832C6"/>
    <w:rsid w:val="001C7A2E"/>
    <w:rsid w:val="001D116B"/>
    <w:rsid w:val="001F5E0A"/>
    <w:rsid w:val="0022257C"/>
    <w:rsid w:val="00224622"/>
    <w:rsid w:val="00235E25"/>
    <w:rsid w:val="002D2A7A"/>
    <w:rsid w:val="002D5ABC"/>
    <w:rsid w:val="002E493E"/>
    <w:rsid w:val="002E5155"/>
    <w:rsid w:val="003129A2"/>
    <w:rsid w:val="00336D74"/>
    <w:rsid w:val="003724DA"/>
    <w:rsid w:val="0038410D"/>
    <w:rsid w:val="00394919"/>
    <w:rsid w:val="003C40D3"/>
    <w:rsid w:val="00405CF9"/>
    <w:rsid w:val="004D4E8A"/>
    <w:rsid w:val="005646CB"/>
    <w:rsid w:val="005656F9"/>
    <w:rsid w:val="0059555C"/>
    <w:rsid w:val="005A500B"/>
    <w:rsid w:val="005C19B4"/>
    <w:rsid w:val="005C5BE5"/>
    <w:rsid w:val="005E2E4E"/>
    <w:rsid w:val="00612603"/>
    <w:rsid w:val="00614A6C"/>
    <w:rsid w:val="00670B15"/>
    <w:rsid w:val="00672B35"/>
    <w:rsid w:val="00695665"/>
    <w:rsid w:val="006F272A"/>
    <w:rsid w:val="006F340F"/>
    <w:rsid w:val="00725878"/>
    <w:rsid w:val="007632E7"/>
    <w:rsid w:val="007D54E4"/>
    <w:rsid w:val="007E7A9B"/>
    <w:rsid w:val="007F4595"/>
    <w:rsid w:val="008004F9"/>
    <w:rsid w:val="008357D7"/>
    <w:rsid w:val="0084621A"/>
    <w:rsid w:val="00854992"/>
    <w:rsid w:val="00861500"/>
    <w:rsid w:val="008951F6"/>
    <w:rsid w:val="008A5B1E"/>
    <w:rsid w:val="008D1EA1"/>
    <w:rsid w:val="008D7655"/>
    <w:rsid w:val="00914D30"/>
    <w:rsid w:val="009204A0"/>
    <w:rsid w:val="0092165D"/>
    <w:rsid w:val="00934614"/>
    <w:rsid w:val="00935523"/>
    <w:rsid w:val="00935AFD"/>
    <w:rsid w:val="0095502A"/>
    <w:rsid w:val="009554E3"/>
    <w:rsid w:val="00985CC9"/>
    <w:rsid w:val="009940B1"/>
    <w:rsid w:val="009D608D"/>
    <w:rsid w:val="009F3EB5"/>
    <w:rsid w:val="00A012D6"/>
    <w:rsid w:val="00A203DA"/>
    <w:rsid w:val="00A21DB4"/>
    <w:rsid w:val="00A65564"/>
    <w:rsid w:val="00A7528F"/>
    <w:rsid w:val="00AA25A5"/>
    <w:rsid w:val="00AB473E"/>
    <w:rsid w:val="00AC2A3C"/>
    <w:rsid w:val="00AC68FE"/>
    <w:rsid w:val="00AD68C1"/>
    <w:rsid w:val="00B6774B"/>
    <w:rsid w:val="00BC1661"/>
    <w:rsid w:val="00BC715D"/>
    <w:rsid w:val="00BD0EF6"/>
    <w:rsid w:val="00BE53A6"/>
    <w:rsid w:val="00C36957"/>
    <w:rsid w:val="00C63977"/>
    <w:rsid w:val="00C658F7"/>
    <w:rsid w:val="00C71C23"/>
    <w:rsid w:val="00C77747"/>
    <w:rsid w:val="00C871E7"/>
    <w:rsid w:val="00CB3211"/>
    <w:rsid w:val="00D06EC5"/>
    <w:rsid w:val="00D135BE"/>
    <w:rsid w:val="00D6563F"/>
    <w:rsid w:val="00D7685E"/>
    <w:rsid w:val="00D940C7"/>
    <w:rsid w:val="00DA0BED"/>
    <w:rsid w:val="00DA191B"/>
    <w:rsid w:val="00E06DC3"/>
    <w:rsid w:val="00EA1ECB"/>
    <w:rsid w:val="00F23AA6"/>
    <w:rsid w:val="00F409F0"/>
    <w:rsid w:val="00F7612F"/>
    <w:rsid w:val="00FB07F5"/>
    <w:rsid w:val="00FB1100"/>
    <w:rsid w:val="00FB33D5"/>
    <w:rsid w:val="16845941"/>
    <w:rsid w:val="17713E54"/>
    <w:rsid w:val="1AFD10BA"/>
    <w:rsid w:val="2535379F"/>
    <w:rsid w:val="2A8737F0"/>
    <w:rsid w:val="31F36118"/>
    <w:rsid w:val="32566674"/>
    <w:rsid w:val="332D293A"/>
    <w:rsid w:val="37435DEF"/>
    <w:rsid w:val="3A45482B"/>
    <w:rsid w:val="42155BD7"/>
    <w:rsid w:val="42BF2427"/>
    <w:rsid w:val="4D1C4F5B"/>
    <w:rsid w:val="51FB0234"/>
    <w:rsid w:val="54EE532A"/>
    <w:rsid w:val="56EB260E"/>
    <w:rsid w:val="5CE93BC3"/>
    <w:rsid w:val="5DB05A48"/>
    <w:rsid w:val="5F120C46"/>
    <w:rsid w:val="5F6D7533"/>
    <w:rsid w:val="63D26367"/>
    <w:rsid w:val="6C53193D"/>
    <w:rsid w:val="6DD74778"/>
    <w:rsid w:val="7121405D"/>
    <w:rsid w:val="732472B3"/>
    <w:rsid w:val="78EF1305"/>
    <w:rsid w:val="7B0C5DA1"/>
    <w:rsid w:val="7E12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iPriority="99"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link w:val="40"/>
    <w:qFormat/>
    <w:uiPriority w:val="0"/>
    <w:pPr>
      <w:keepNext/>
      <w:keepLines/>
      <w:spacing w:before="260" w:after="260" w:line="412" w:lineRule="auto"/>
      <w:outlineLvl w:val="1"/>
    </w:pPr>
    <w:rPr>
      <w:rFonts w:ascii="Cambria" w:hAnsi="Cambria"/>
      <w:b/>
      <w:bCs/>
      <w:kern w:val="0"/>
      <w:sz w:val="32"/>
      <w:szCs w:val="32"/>
    </w:rPr>
  </w:style>
  <w:style w:type="paragraph" w:styleId="6">
    <w:name w:val="heading 3"/>
    <w:basedOn w:val="1"/>
    <w:next w:val="1"/>
    <w:link w:val="22"/>
    <w:unhideWhenUsed/>
    <w:qFormat/>
    <w:uiPriority w:val="0"/>
    <w:pPr>
      <w:keepNext/>
      <w:keepLines/>
      <w:numPr>
        <w:ilvl w:val="2"/>
        <w:numId w:val="2"/>
      </w:numPr>
      <w:tabs>
        <w:tab w:val="left" w:pos="1440"/>
      </w:tabs>
      <w:spacing w:before="380" w:after="380" w:line="416" w:lineRule="auto"/>
      <w:jc w:val="left"/>
      <w:outlineLvl w:val="2"/>
    </w:pPr>
    <w:rPr>
      <w:rFonts w:eastAsia="新宋体"/>
      <w:b/>
      <w:bCs/>
      <w:szCs w:val="32"/>
    </w:rPr>
  </w:style>
  <w:style w:type="paragraph" w:styleId="7">
    <w:name w:val="heading 4"/>
    <w:basedOn w:val="1"/>
    <w:next w:val="1"/>
    <w:link w:val="41"/>
    <w:unhideWhenUsed/>
    <w:qFormat/>
    <w:uiPriority w:val="9"/>
    <w:pPr>
      <w:keepNext/>
      <w:keepLines/>
      <w:numPr>
        <w:ilvl w:val="3"/>
        <w:numId w:val="3"/>
      </w:numPr>
      <w:spacing w:before="280" w:after="290" w:line="372" w:lineRule="auto"/>
      <w:outlineLvl w:val="3"/>
    </w:pPr>
    <w:rPr>
      <w:rFonts w:ascii="Arial" w:hAnsi="Arial" w:eastAsia="黑体"/>
      <w:b/>
      <w:sz w:val="24"/>
    </w:rPr>
  </w:style>
  <w:style w:type="paragraph" w:styleId="8">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tabs>
        <w:tab w:val="left" w:pos="0"/>
      </w:tabs>
      <w:overflowPunct w:val="0"/>
      <w:topLinePunct/>
      <w:autoSpaceDE w:val="0"/>
      <w:autoSpaceDN w:val="0"/>
      <w:adjustRightInd w:val="0"/>
      <w:spacing w:before="40" w:after="40" w:line="440" w:lineRule="exact"/>
      <w:ind w:left="360" w:right="62"/>
      <w:textAlignment w:val="baseline"/>
    </w:pPr>
    <w:rPr>
      <w:rFonts w:ascii="Garamond" w:hAnsi="Garamond" w:eastAsia="仿宋_GB2312"/>
      <w:bCs/>
      <w:color w:val="000000"/>
      <w:kern w:val="18"/>
      <w:sz w:val="28"/>
      <w:szCs w:val="24"/>
      <w:lang w:val="zh-CN"/>
    </w:rPr>
  </w:style>
  <w:style w:type="paragraph" w:styleId="3">
    <w:name w:val="Body Text Indent"/>
    <w:basedOn w:val="1"/>
    <w:unhideWhenUsed/>
    <w:qFormat/>
    <w:uiPriority w:val="99"/>
    <w:pPr>
      <w:spacing w:after="120"/>
      <w:ind w:left="420" w:leftChars="200"/>
    </w:pPr>
  </w:style>
  <w:style w:type="paragraph" w:styleId="9">
    <w:name w:val="Normal Indent"/>
    <w:basedOn w:val="1"/>
    <w:unhideWhenUsed/>
    <w:qFormat/>
    <w:uiPriority w:val="0"/>
    <w:pPr>
      <w:ind w:firstLine="420" w:firstLineChars="200"/>
    </w:pPr>
  </w:style>
  <w:style w:type="paragraph" w:styleId="10">
    <w:name w:val="List Bullet"/>
    <w:basedOn w:val="1"/>
    <w:link w:val="35"/>
    <w:qFormat/>
    <w:uiPriority w:val="0"/>
    <w:pPr>
      <w:numPr>
        <w:ilvl w:val="0"/>
        <w:numId w:val="4"/>
      </w:numPr>
      <w:tabs>
        <w:tab w:val="left" w:pos="288"/>
      </w:tabs>
      <w:spacing w:line="360" w:lineRule="auto"/>
      <w:jc w:val="left"/>
    </w:pPr>
    <w:rPr>
      <w:rFonts w:ascii="Times New Roman" w:hAnsi="Times New Roman"/>
      <w:kern w:val="0"/>
      <w:sz w:val="20"/>
      <w:szCs w:val="24"/>
    </w:rPr>
  </w:style>
  <w:style w:type="paragraph" w:styleId="11">
    <w:name w:val="annotation text"/>
    <w:basedOn w:val="1"/>
    <w:qFormat/>
    <w:uiPriority w:val="0"/>
    <w:pPr>
      <w:jc w:val="left"/>
    </w:pPr>
  </w:style>
  <w:style w:type="paragraph" w:styleId="12">
    <w:name w:val="List Bullet 3"/>
    <w:basedOn w:val="1"/>
    <w:unhideWhenUsed/>
    <w:qFormat/>
    <w:uiPriority w:val="99"/>
    <w:pPr>
      <w:numPr>
        <w:ilvl w:val="0"/>
        <w:numId w:val="5"/>
      </w:numPr>
      <w:contextualSpacing/>
    </w:pPr>
  </w:style>
  <w:style w:type="paragraph" w:styleId="13">
    <w:name w:val="Body Text"/>
    <w:basedOn w:val="1"/>
    <w:link w:val="29"/>
    <w:qFormat/>
    <w:uiPriority w:val="0"/>
    <w:pPr>
      <w:spacing w:after="120"/>
      <w:ind w:firstLine="420" w:firstLineChars="200"/>
    </w:pPr>
  </w:style>
  <w:style w:type="paragraph" w:styleId="14">
    <w:name w:val="List Bullet 2"/>
    <w:basedOn w:val="1"/>
    <w:link w:val="34"/>
    <w:qFormat/>
    <w:uiPriority w:val="0"/>
    <w:pPr>
      <w:numPr>
        <w:ilvl w:val="0"/>
        <w:numId w:val="6"/>
      </w:numPr>
      <w:spacing w:line="360" w:lineRule="auto"/>
      <w:ind w:firstLine="0"/>
      <w:jc w:val="left"/>
    </w:pPr>
    <w:rPr>
      <w:rFonts w:ascii="Times New Roman" w:hAnsi="Times New Roman"/>
      <w:kern w:val="0"/>
      <w:sz w:val="20"/>
      <w:szCs w:val="24"/>
    </w:rPr>
  </w:style>
  <w:style w:type="paragraph" w:styleId="15">
    <w:name w:val="Balloon Text"/>
    <w:basedOn w:val="1"/>
    <w:link w:val="28"/>
    <w:qFormat/>
    <w:uiPriority w:val="99"/>
    <w:rPr>
      <w:sz w:val="18"/>
      <w:szCs w:val="18"/>
    </w:rPr>
  </w:style>
  <w:style w:type="paragraph" w:styleId="16">
    <w:name w:val="footer"/>
    <w:basedOn w:val="1"/>
    <w:link w:val="24"/>
    <w:qFormat/>
    <w:uiPriority w:val="99"/>
    <w:pPr>
      <w:tabs>
        <w:tab w:val="center" w:pos="4153"/>
        <w:tab w:val="right" w:pos="8306"/>
      </w:tabs>
      <w:snapToGrid w:val="0"/>
      <w:jc w:val="left"/>
    </w:pPr>
    <w:rPr>
      <w:sz w:val="18"/>
      <w:szCs w:val="18"/>
    </w:rPr>
  </w:style>
  <w:style w:type="paragraph" w:styleId="1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0"/>
    <w:pPr>
      <w:widowControl/>
      <w:spacing w:before="100" w:beforeAutospacing="1" w:after="100" w:afterAutospacing="1"/>
      <w:ind w:firstLine="420" w:firstLineChars="200"/>
    </w:pPr>
    <w:rPr>
      <w:rFonts w:ascii="宋体" w:hAnsi="宋体" w:cs="宋体"/>
      <w:kern w:val="0"/>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标题 3 Char"/>
    <w:basedOn w:val="21"/>
    <w:link w:val="6"/>
    <w:qFormat/>
    <w:uiPriority w:val="0"/>
    <w:rPr>
      <w:rFonts w:ascii="Calibri" w:hAnsi="Calibri" w:eastAsia="新宋体"/>
      <w:b/>
      <w:bCs/>
      <w:kern w:val="2"/>
      <w:sz w:val="21"/>
      <w:szCs w:val="32"/>
    </w:rPr>
  </w:style>
  <w:style w:type="character" w:customStyle="1" w:styleId="23">
    <w:name w:val="页眉 Char"/>
    <w:basedOn w:val="21"/>
    <w:link w:val="17"/>
    <w:qFormat/>
    <w:uiPriority w:val="99"/>
    <w:rPr>
      <w:rFonts w:ascii="Calibri" w:hAnsi="Calibri"/>
      <w:kern w:val="2"/>
      <w:sz w:val="18"/>
      <w:szCs w:val="18"/>
    </w:rPr>
  </w:style>
  <w:style w:type="character" w:customStyle="1" w:styleId="24">
    <w:name w:val="页脚 Char"/>
    <w:basedOn w:val="21"/>
    <w:link w:val="16"/>
    <w:qFormat/>
    <w:uiPriority w:val="99"/>
    <w:rPr>
      <w:rFonts w:ascii="Calibri" w:hAnsi="Calibri"/>
      <w:kern w:val="2"/>
      <w:sz w:val="18"/>
      <w:szCs w:val="18"/>
    </w:rPr>
  </w:style>
  <w:style w:type="paragraph" w:customStyle="1" w:styleId="25">
    <w:name w:val="表格文字"/>
    <w:basedOn w:val="1"/>
    <w:qFormat/>
    <w:uiPriority w:val="0"/>
    <w:pPr>
      <w:spacing w:before="25" w:after="25"/>
      <w:jc w:val="left"/>
    </w:pPr>
    <w:rPr>
      <w:rFonts w:ascii="Times New Roman" w:hAnsi="Times New Roman"/>
      <w:bCs/>
      <w:spacing w:val="10"/>
      <w:kern w:val="0"/>
      <w:sz w:val="24"/>
      <w:szCs w:val="20"/>
    </w:rPr>
  </w:style>
  <w:style w:type="paragraph" w:styleId="26">
    <w:name w:val="List Paragraph"/>
    <w:basedOn w:val="1"/>
    <w:qFormat/>
    <w:uiPriority w:val="99"/>
    <w:pPr>
      <w:ind w:firstLine="420" w:firstLineChars="200"/>
    </w:pPr>
  </w:style>
  <w:style w:type="paragraph" w:customStyle="1" w:styleId="27">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character" w:customStyle="1" w:styleId="28">
    <w:name w:val="批注框文本 Char"/>
    <w:basedOn w:val="21"/>
    <w:link w:val="15"/>
    <w:qFormat/>
    <w:uiPriority w:val="99"/>
    <w:rPr>
      <w:rFonts w:ascii="Calibri" w:hAnsi="Calibri"/>
      <w:kern w:val="2"/>
      <w:sz w:val="18"/>
      <w:szCs w:val="18"/>
    </w:rPr>
  </w:style>
  <w:style w:type="character" w:customStyle="1" w:styleId="29">
    <w:name w:val="正文文本 Char"/>
    <w:basedOn w:val="21"/>
    <w:link w:val="13"/>
    <w:qFormat/>
    <w:uiPriority w:val="0"/>
    <w:rPr>
      <w:rFonts w:ascii="Calibri" w:hAnsi="Calibri"/>
      <w:kern w:val="2"/>
      <w:sz w:val="21"/>
      <w:szCs w:val="22"/>
    </w:rPr>
  </w:style>
  <w:style w:type="paragraph" w:customStyle="1" w:styleId="30">
    <w:name w:val="第一段落（1）"/>
    <w:basedOn w:val="1"/>
    <w:qFormat/>
    <w:uiPriority w:val="0"/>
    <w:pPr>
      <w:tabs>
        <w:tab w:val="left" w:pos="420"/>
        <w:tab w:val="left" w:pos="1620"/>
      </w:tabs>
      <w:autoSpaceDE w:val="0"/>
      <w:autoSpaceDN w:val="0"/>
      <w:adjustRightInd w:val="0"/>
      <w:ind w:right="240" w:rightChars="100" w:firstLine="283" w:firstLineChars="118"/>
    </w:pPr>
    <w:rPr>
      <w:bCs/>
      <w:kern w:val="0"/>
    </w:rPr>
  </w:style>
  <w:style w:type="paragraph" w:customStyle="1" w:styleId="31">
    <w:name w:val="真正正文首行缩进2字符 + 左侧:  0 厘米1"/>
    <w:basedOn w:val="1"/>
    <w:qFormat/>
    <w:uiPriority w:val="0"/>
    <w:pPr>
      <w:ind w:left="851"/>
    </w:pPr>
    <w:rPr>
      <w:rFonts w:ascii="宋体" w:hAnsi="宋体" w:cs="宋体"/>
      <w:kern w:val="0"/>
    </w:rPr>
  </w:style>
  <w:style w:type="paragraph" w:customStyle="1" w:styleId="32">
    <w:name w:val="1下面的第一级符号"/>
    <w:basedOn w:val="1"/>
    <w:qFormat/>
    <w:uiPriority w:val="0"/>
    <w:pPr>
      <w:tabs>
        <w:tab w:val="left" w:pos="360"/>
        <w:tab w:val="left" w:pos="420"/>
        <w:tab w:val="left" w:pos="993"/>
      </w:tabs>
      <w:ind w:left="-2" w:leftChars="-1" w:firstLine="569" w:firstLineChars="237"/>
    </w:pPr>
    <w:rPr>
      <w:kern w:val="0"/>
    </w:rPr>
  </w:style>
  <w:style w:type="paragraph" w:customStyle="1" w:styleId="33">
    <w:name w:val="表头文本"/>
    <w:qFormat/>
    <w:uiPriority w:val="0"/>
    <w:pPr>
      <w:jc w:val="center"/>
    </w:pPr>
    <w:rPr>
      <w:rFonts w:ascii="Arial" w:hAnsi="Arial" w:eastAsia="宋体" w:cs="Times New Roman"/>
      <w:b/>
      <w:sz w:val="21"/>
      <w:szCs w:val="21"/>
      <w:lang w:val="en-US" w:eastAsia="zh-CN" w:bidi="ar-SA"/>
    </w:rPr>
  </w:style>
  <w:style w:type="character" w:customStyle="1" w:styleId="34">
    <w:name w:val="列表项目符号 2 Char"/>
    <w:link w:val="14"/>
    <w:qFormat/>
    <w:uiPriority w:val="0"/>
    <w:rPr>
      <w:szCs w:val="24"/>
    </w:rPr>
  </w:style>
  <w:style w:type="character" w:customStyle="1" w:styleId="35">
    <w:name w:val="列表项目符号 Char"/>
    <w:link w:val="10"/>
    <w:qFormat/>
    <w:uiPriority w:val="0"/>
    <w:rPr>
      <w:szCs w:val="24"/>
    </w:rPr>
  </w:style>
  <w:style w:type="paragraph" w:customStyle="1" w:styleId="36">
    <w:name w:val="样式 首行缩进:  2 字符3"/>
    <w:basedOn w:val="1"/>
    <w:qFormat/>
    <w:uiPriority w:val="0"/>
    <w:pPr>
      <w:spacing w:line="360" w:lineRule="auto"/>
      <w:ind w:firstLine="200" w:firstLineChars="200"/>
      <w:jc w:val="left"/>
    </w:pPr>
    <w:rPr>
      <w:rFonts w:cs="宋体"/>
      <w:szCs w:val="20"/>
    </w:rPr>
  </w:style>
  <w:style w:type="character" w:customStyle="1" w:styleId="37">
    <w:name w:val="标题 5 Char"/>
    <w:basedOn w:val="21"/>
    <w:link w:val="8"/>
    <w:qFormat/>
    <w:uiPriority w:val="9"/>
    <w:rPr>
      <w:rFonts w:ascii="Calibri" w:hAnsi="Calibri"/>
      <w:b/>
      <w:bCs/>
      <w:kern w:val="2"/>
      <w:sz w:val="28"/>
      <w:szCs w:val="28"/>
    </w:rPr>
  </w:style>
  <w:style w:type="paragraph" w:customStyle="1" w:styleId="38">
    <w:name w:val="正文首行缩进2字符"/>
    <w:basedOn w:val="1"/>
    <w:qFormat/>
    <w:uiPriority w:val="0"/>
    <w:pPr>
      <w:ind w:firstLine="480" w:firstLineChars="200"/>
    </w:pPr>
    <w:rPr>
      <w:rFonts w:cs="宋体"/>
      <w:szCs w:val="20"/>
    </w:rPr>
  </w:style>
  <w:style w:type="paragraph" w:customStyle="1" w:styleId="39">
    <w:name w:val="Z-正文 Char Char"/>
    <w:basedOn w:val="1"/>
    <w:qFormat/>
    <w:uiPriority w:val="0"/>
    <w:pPr>
      <w:tabs>
        <w:tab w:val="left" w:pos="360"/>
      </w:tabs>
      <w:ind w:firstLine="420" w:firstLineChars="200"/>
    </w:pPr>
    <w:rPr>
      <w:rFonts w:cs="宋体"/>
      <w:spacing w:val="10"/>
    </w:rPr>
  </w:style>
  <w:style w:type="character" w:customStyle="1" w:styleId="40">
    <w:name w:val="标题 2 Char"/>
    <w:basedOn w:val="21"/>
    <w:link w:val="5"/>
    <w:qFormat/>
    <w:uiPriority w:val="0"/>
    <w:rPr>
      <w:rFonts w:ascii="Cambria" w:hAnsi="Cambria"/>
      <w:b/>
      <w:bCs/>
      <w:sz w:val="32"/>
      <w:szCs w:val="32"/>
    </w:rPr>
  </w:style>
  <w:style w:type="character" w:customStyle="1" w:styleId="41">
    <w:name w:val="标题 4 Char"/>
    <w:basedOn w:val="21"/>
    <w:link w:val="7"/>
    <w:qFormat/>
    <w:uiPriority w:val="9"/>
    <w:rPr>
      <w:rFonts w:ascii="Arial" w:hAnsi="Arial" w:eastAsia="黑体"/>
      <w:b/>
      <w:kern w:val="2"/>
      <w:sz w:val="24"/>
      <w:szCs w:val="22"/>
    </w:rPr>
  </w:style>
  <w:style w:type="paragraph" w:customStyle="1" w:styleId="42">
    <w:name w:val="GW-标题3"/>
    <w:basedOn w:val="1"/>
    <w:next w:val="1"/>
    <w:qFormat/>
    <w:uiPriority w:val="0"/>
    <w:pPr>
      <w:keepNext/>
      <w:keepLines/>
      <w:tabs>
        <w:tab w:val="left" w:pos="1843"/>
        <w:tab w:val="left" w:pos="2111"/>
      </w:tabs>
      <w:spacing w:before="312" w:beforeLines="50" w:after="312" w:afterLines="50" w:line="576" w:lineRule="auto"/>
      <w:ind w:left="2111"/>
      <w:outlineLvl w:val="2"/>
    </w:pPr>
    <w:rPr>
      <w:rFonts w:ascii="仿宋_GB2312"/>
      <w:b/>
      <w:bCs/>
      <w:kern w:val="4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4508</Words>
  <Characters>4778</Characters>
  <Lines>86</Lines>
  <Paragraphs>24</Paragraphs>
  <TotalTime>3</TotalTime>
  <ScaleCrop>false</ScaleCrop>
  <LinksUpToDate>false</LinksUpToDate>
  <CharactersWithSpaces>4892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2021-06-11T10:26:00Z</dcterms:created>
  <dc:creator>weiyd</dc:creator>
  <cp:lastModifiedBy>能吃瘦</cp:lastModifiedBy>
  <dcterms:modified xsi:type="dcterms:W3CDTF">2024-12-04T05:17:37Z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533FE14545224D4D9016F1A4083447EA_13</vt:lpwstr>
  </property>
</Properties>
</file>