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E689">
      <w:pPr>
        <w:ind w:firstLine="720"/>
        <w:jc w:val="center"/>
        <w:rPr>
          <w:rFonts w:hint="eastAsia"/>
        </w:rPr>
      </w:pPr>
      <w:bookmarkStart w:id="1" w:name="_GoBack"/>
      <w:bookmarkEnd w:id="1"/>
      <w:r>
        <w:rPr>
          <w:rFonts w:hint="eastAsia"/>
          <w:sz w:val="36"/>
        </w:rPr>
        <w:t>委托开发合同</w:t>
      </w:r>
    </w:p>
    <w:p w14:paraId="09BFC7E2">
      <w:pPr>
        <w:ind w:firstLine="482"/>
        <w:jc w:val="center"/>
        <w:rPr>
          <w:rFonts w:hint="eastAsia"/>
          <w:kern w:val="36"/>
        </w:rPr>
      </w:pPr>
      <w:r>
        <w:rPr>
          <w:rFonts w:hint="eastAsia"/>
          <w:b/>
        </w:rPr>
        <w:t>合同编号</w:t>
      </w:r>
      <w:r>
        <w:rPr>
          <w:rFonts w:hint="eastAsia"/>
        </w:rPr>
        <w:t>：</w:t>
      </w:r>
    </w:p>
    <w:p w14:paraId="0881B6CE">
      <w:pPr>
        <w:rPr>
          <w:rFonts w:hint="eastAsia"/>
        </w:rPr>
      </w:pPr>
    </w:p>
    <w:p w14:paraId="589F4135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甲方：北京创联致信科技有限公司</w:t>
      </w:r>
    </w:p>
    <w:p w14:paraId="7FF8A971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法定地址：北京市朝阳区小营北路19号二层206室</w:t>
      </w:r>
    </w:p>
    <w:p w14:paraId="783DDD7D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法定代表人：蔡建  </w:t>
      </w:r>
    </w:p>
    <w:p w14:paraId="44C6A5CC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联系电话：010-82746952</w:t>
      </w:r>
    </w:p>
    <w:p w14:paraId="46A3635F">
      <w:pPr>
        <w:ind w:left="0" w:leftChars="0" w:firstLine="0" w:firstLineChars="0"/>
        <w:rPr>
          <w:rFonts w:hint="eastAsia"/>
        </w:rPr>
      </w:pPr>
    </w:p>
    <w:p w14:paraId="0EDC9044">
      <w:pPr>
        <w:spacing w:line="360" w:lineRule="auto"/>
        <w:ind w:left="0" w:leftChars="0" w:firstLine="0" w:firstLineChars="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乙方：</w:t>
      </w:r>
      <w:r>
        <w:rPr>
          <w:rFonts w:hint="eastAsia"/>
          <w:color w:val="FF0000"/>
          <w:lang w:val="en-US" w:eastAsia="zh-CN"/>
        </w:rPr>
        <w:t>戴晶</w:t>
      </w:r>
    </w:p>
    <w:p w14:paraId="4FDC272F">
      <w:pPr>
        <w:ind w:left="0" w:leftChars="0" w:firstLine="0" w:firstLineChars="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地址：</w:t>
      </w:r>
      <w:r>
        <w:rPr>
          <w:rFonts w:hint="eastAsia"/>
          <w:color w:val="FF0000"/>
          <w:lang w:val="en-US" w:eastAsia="zh-CN"/>
        </w:rPr>
        <w:t>长沙市天心区书院路777号</w:t>
      </w:r>
    </w:p>
    <w:p w14:paraId="02F51CCB">
      <w:pPr>
        <w:ind w:left="0" w:leftChars="0" w:firstLine="0" w:firstLineChars="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联系电话：</w:t>
      </w:r>
      <w:r>
        <w:rPr>
          <w:rFonts w:hint="eastAsia"/>
          <w:color w:val="FF0000"/>
          <w:lang w:val="en-US" w:eastAsia="zh-CN"/>
        </w:rPr>
        <w:t>18613950399</w:t>
      </w:r>
    </w:p>
    <w:p w14:paraId="77149894">
      <w:pPr>
        <w:pStyle w:val="2"/>
        <w:ind w:firstLine="301"/>
        <w:rPr>
          <w:rFonts w:hint="eastAsia"/>
        </w:rPr>
      </w:pPr>
    </w:p>
    <w:p w14:paraId="2001CAF9">
      <w:pPr>
        <w:rPr>
          <w:rFonts w:hint="eastAsia"/>
          <w:b/>
          <w:color w:val="000000"/>
        </w:rPr>
      </w:pPr>
      <w:r>
        <w:rPr>
          <w:rFonts w:hint="eastAsia"/>
        </w:rPr>
        <w:t>甲方在此委托乙方进行四平卷烟厂2022年信息系统建设-2022年中数采增补项目外包，为明确双方责任，经友好协商，双方达成以下协议：</w:t>
      </w:r>
      <w:r>
        <w:rPr>
          <w:rFonts w:hint="eastAsia"/>
        </w:rPr>
        <w:br w:type="textWrapping"/>
      </w:r>
      <w:r>
        <w:rPr>
          <w:rFonts w:hint="eastAsia"/>
          <w:b/>
        </w:rPr>
        <w:t>第一条：甲方的权利和义务</w:t>
      </w:r>
      <w:r>
        <w:rPr>
          <w:rFonts w:hint="eastAsia"/>
        </w:rPr>
        <w:br w:type="textWrapping"/>
      </w:r>
      <w:r>
        <w:rPr>
          <w:rFonts w:hint="eastAsia"/>
        </w:rPr>
        <w:t>1.确定开发需求并提供所需要的资料给乙方。</w:t>
      </w:r>
      <w:r>
        <w:rPr>
          <w:rFonts w:hint="eastAsia"/>
        </w:rPr>
        <w:br w:type="textWrapping"/>
      </w:r>
      <w:r>
        <w:rPr>
          <w:rFonts w:hint="eastAsia"/>
        </w:rPr>
        <w:t>2.按合同约定及时支付对应阶段的费用。</w:t>
      </w:r>
      <w:r>
        <w:rPr>
          <w:rFonts w:hint="eastAsia"/>
        </w:rPr>
        <w:br w:type="textWrapping"/>
      </w:r>
      <w:r>
        <w:rPr>
          <w:rFonts w:hint="eastAsia"/>
          <w:b/>
        </w:rPr>
        <w:t>第二条：乙方的权利和义务</w:t>
      </w:r>
      <w:r>
        <w:rPr>
          <w:rFonts w:hint="eastAsia"/>
        </w:rPr>
        <w:br w:type="textWrapping"/>
      </w:r>
      <w:r>
        <w:rPr>
          <w:rFonts w:hint="eastAsia"/>
          <w:b/>
          <w:color w:val="000000"/>
        </w:rPr>
        <w:t>一、开发内容及约定</w:t>
      </w:r>
    </w:p>
    <w:p w14:paraId="3F1FBDB9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.乙方根据建设要求完成约定工作（具体见附件一），为约定设备开发数据采集模块，并进行数据采集，同时完善因以上列表中的设备的数采导致的现场管理与MES的调整（注：不包括硬件采购、现场施工）。网络架构、服务器配置等将沿用四平卷烟厂原数采系统的技术架构，不做增加与更改。</w:t>
      </w:r>
    </w:p>
    <w:p w14:paraId="0343BD07">
      <w:pPr>
        <w:rPr>
          <w:rFonts w:hint="eastAsia"/>
        </w:rPr>
      </w:pPr>
      <w:r>
        <w:rPr>
          <w:rFonts w:hint="eastAsia"/>
        </w:rPr>
        <w:t>2.不得将甲方开发内容和开发结果泄露给第三方。</w:t>
      </w:r>
    </w:p>
    <w:p w14:paraId="694FB0C6">
      <w:pPr>
        <w:rPr>
          <w:rFonts w:hint="eastAsia"/>
        </w:rPr>
      </w:pPr>
      <w:r>
        <w:rPr>
          <w:rFonts w:hint="eastAsia"/>
        </w:rPr>
        <w:t>3.合同周期为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个月，自合同签订生效后2个月内完成开发工作。并在完成开发工作后执行3个月的维保工作。（注：工作完成根据硬件实施进度安排）。</w:t>
      </w:r>
      <w:r>
        <w:rPr>
          <w:rFonts w:hint="eastAsia"/>
        </w:rPr>
        <w:br w:type="textWrapping"/>
      </w:r>
      <w:r>
        <w:rPr>
          <w:rFonts w:hint="eastAsia"/>
          <w:b/>
        </w:rPr>
        <w:t>第三条：验收标准</w:t>
      </w:r>
    </w:p>
    <w:p w14:paraId="46535B27">
      <w:r>
        <w:rPr>
          <w:rFonts w:hint="eastAsia"/>
        </w:rPr>
        <w:t>四平卷烟厂2022年数采增补项目开发需按照甲方提供的需求文档要求完成开发，公司测试通过，并远程支持获得客户对各需求功能点的验收报告，完成项目验收。</w:t>
      </w:r>
    </w:p>
    <w:p w14:paraId="01C90EBE">
      <w:pPr>
        <w:ind w:firstLine="0" w:firstLineChars="0"/>
        <w:rPr>
          <w:b/>
        </w:rPr>
      </w:pPr>
      <w:r>
        <w:rPr>
          <w:rFonts w:hint="eastAsia"/>
          <w:b/>
        </w:rPr>
        <w:t>第四条：付款方式</w:t>
      </w:r>
    </w:p>
    <w:p w14:paraId="5C005B71">
      <w:pPr>
        <w:numPr>
          <w:ilvl w:val="0"/>
          <w:numId w:val="1"/>
        </w:numPr>
        <w:spacing w:line="360" w:lineRule="auto"/>
        <w:ind w:firstLineChars="0"/>
        <w:rPr>
          <w:highlight w:val="none"/>
        </w:rPr>
      </w:pPr>
      <w:r>
        <w:rPr>
          <w:rFonts w:hint="eastAsia"/>
          <w:highlight w:val="none"/>
        </w:rPr>
        <w:t>合同总价</w:t>
      </w:r>
    </w:p>
    <w:p w14:paraId="5554154E">
      <w:pPr>
        <w:spacing w:line="360" w:lineRule="auto"/>
        <w:rPr>
          <w:highlight w:val="none"/>
        </w:rPr>
      </w:pPr>
      <w:r>
        <w:rPr>
          <w:rFonts w:hint="eastAsia"/>
          <w:highlight w:val="none"/>
        </w:rPr>
        <w:t>合同总金额(</w:t>
      </w:r>
      <w:r>
        <w:rPr>
          <w:highlight w:val="none"/>
        </w:rPr>
        <w:t>金额含税</w:t>
      </w:r>
      <w:r>
        <w:rPr>
          <w:rFonts w:hint="eastAsia"/>
          <w:highlight w:val="none"/>
        </w:rPr>
        <w:t>)为人民币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eastAsia="zh-CN"/>
        </w:rPr>
        <w:t>壹万玖仟陆佰壹拾</w:t>
      </w:r>
      <w:r>
        <w:rPr>
          <w:rFonts w:hint="eastAsia"/>
          <w:highlight w:val="none"/>
        </w:rPr>
        <w:t xml:space="preserve"> 元整（</w:t>
      </w:r>
      <w:r>
        <w:rPr>
          <w:rFonts w:hint="eastAsia"/>
          <w:highlight w:val="none"/>
          <w:u w:val="single"/>
        </w:rPr>
        <w:t>￥19,610</w:t>
      </w:r>
      <w:r>
        <w:rPr>
          <w:rFonts w:hint="eastAsia"/>
          <w:highlight w:val="none"/>
        </w:rPr>
        <w:t>）</w:t>
      </w:r>
    </w:p>
    <w:p w14:paraId="0B70092C">
      <w:pPr>
        <w:numPr>
          <w:ilvl w:val="0"/>
          <w:numId w:val="1"/>
        </w:numPr>
        <w:spacing w:line="360" w:lineRule="auto"/>
        <w:ind w:firstLineChars="0"/>
        <w:rPr>
          <w:highlight w:val="none"/>
        </w:rPr>
      </w:pPr>
      <w:r>
        <w:rPr>
          <w:highlight w:val="none"/>
        </w:rPr>
        <w:t>付款方式</w:t>
      </w:r>
    </w:p>
    <w:p w14:paraId="4E93E1F4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项目完成四平卷烟厂</w:t>
      </w:r>
      <w:r>
        <w:rPr>
          <w:rFonts w:hint="eastAsia"/>
          <w:highlight w:val="none"/>
          <w:lang w:eastAsia="zh-CN"/>
        </w:rPr>
        <w:t>验收</w:t>
      </w:r>
      <w:r>
        <w:rPr>
          <w:rFonts w:hint="eastAsia"/>
          <w:highlight w:val="none"/>
        </w:rPr>
        <w:t>后，在</w:t>
      </w:r>
      <w:r>
        <w:rPr>
          <w:rFonts w:hint="eastAsia"/>
          <w:b w:val="0"/>
          <w:bCs/>
          <w:highlight w:val="none"/>
          <w:lang w:val="en-US" w:eastAsia="zh-CN"/>
        </w:rPr>
        <w:t>20</w:t>
      </w:r>
      <w:r>
        <w:rPr>
          <w:rFonts w:hint="eastAsia"/>
          <w:b w:val="0"/>
          <w:bCs/>
          <w:highlight w:val="none"/>
        </w:rPr>
        <w:t>个工作日</w:t>
      </w:r>
      <w:r>
        <w:rPr>
          <w:rFonts w:hint="eastAsia"/>
          <w:highlight w:val="none"/>
        </w:rPr>
        <w:t>内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甲方支付乙方(</w:t>
      </w:r>
      <w:r>
        <w:rPr>
          <w:highlight w:val="none"/>
        </w:rPr>
        <w:t>金额含税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eastAsia="zh-CN"/>
        </w:rPr>
        <w:t>壹万玖仟陆佰壹拾元整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u w:val="single"/>
        </w:rPr>
        <w:t>￥19,610</w:t>
      </w:r>
      <w:r>
        <w:rPr>
          <w:rFonts w:hint="eastAsia"/>
          <w:highlight w:val="none"/>
        </w:rPr>
        <w:t>）</w:t>
      </w:r>
    </w:p>
    <w:p w14:paraId="517E29C1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其中，乙方个人所得税由甲方代扣代缴、其他税费由乙方自理(如有)。</w:t>
      </w:r>
    </w:p>
    <w:p w14:paraId="7192AC97">
      <w:pPr>
        <w:numPr>
          <w:ilvl w:val="0"/>
          <w:numId w:val="1"/>
        </w:numPr>
        <w:spacing w:line="360" w:lineRule="auto"/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收款信息</w:t>
      </w:r>
    </w:p>
    <w:p w14:paraId="0D2BAC06">
      <w:pPr>
        <w:spacing w:line="360" w:lineRule="auto"/>
        <w:rPr>
          <w:highlight w:val="none"/>
        </w:rPr>
      </w:pPr>
      <w:r>
        <w:rPr>
          <w:highlight w:val="none"/>
        </w:rPr>
        <w:t>乙方收款账户信息</w:t>
      </w:r>
    </w:p>
    <w:p w14:paraId="01D29D2D"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乙方：</w:t>
      </w:r>
      <w:r>
        <w:rPr>
          <w:rFonts w:hint="eastAsia"/>
          <w:color w:val="FF0000"/>
          <w:lang w:val="en-US" w:eastAsia="zh-CN"/>
        </w:rPr>
        <w:t>戴晶</w:t>
      </w:r>
    </w:p>
    <w:p w14:paraId="24B79BAA"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户名：</w:t>
      </w:r>
      <w:r>
        <w:rPr>
          <w:rFonts w:hint="eastAsia"/>
          <w:color w:val="FF0000"/>
          <w:lang w:val="en-US" w:eastAsia="zh-CN"/>
        </w:rPr>
        <w:t>戴晶</w:t>
      </w:r>
    </w:p>
    <w:p w14:paraId="3539EC9A"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开户行：</w:t>
      </w:r>
      <w:r>
        <w:rPr>
          <w:rFonts w:hint="eastAsia"/>
          <w:color w:val="FF0000"/>
          <w:lang w:val="en-US" w:eastAsia="zh-CN"/>
        </w:rPr>
        <w:t>中国建设银行书院路支行</w:t>
      </w:r>
    </w:p>
    <w:p w14:paraId="141E3E8B">
      <w:pPr>
        <w:spacing w:line="360" w:lineRule="auto"/>
        <w:ind w:left="0" w:leftChars="0" w:firstLine="480" w:firstLine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帐号：</w:t>
      </w:r>
      <w:r>
        <w:rPr>
          <w:rFonts w:hint="eastAsia"/>
          <w:color w:val="FF0000"/>
          <w:lang w:val="en-US" w:eastAsia="zh-CN"/>
        </w:rPr>
        <w:t>6217002920149327372</w:t>
      </w:r>
    </w:p>
    <w:p w14:paraId="0FF9C540">
      <w:pPr>
        <w:pStyle w:val="2"/>
        <w:ind w:left="0" w:leftChars="0" w:firstLine="0" w:firstLineChars="0"/>
        <w:rPr>
          <w:rFonts w:hint="eastAsia"/>
        </w:rPr>
      </w:pPr>
    </w:p>
    <w:p w14:paraId="5C5B4040">
      <w:pPr>
        <w:ind w:firstLine="0" w:firstLineChars="0"/>
        <w:rPr>
          <w:rFonts w:hint="eastAsia"/>
        </w:rPr>
      </w:pPr>
      <w:r>
        <w:rPr>
          <w:rFonts w:hint="eastAsia"/>
          <w:b/>
        </w:rPr>
        <w:t>第五条：维护</w:t>
      </w:r>
      <w:r>
        <w:rPr>
          <w:rFonts w:hint="eastAsia"/>
        </w:rPr>
        <w:br w:type="textWrapping"/>
      </w:r>
      <w:r>
        <w:rPr>
          <w:rFonts w:hint="eastAsia"/>
        </w:rPr>
        <w:t>1. 乙方应协助甲方对合同中的开发内容进行维护，乙方有义务及时响应和认真服务，努力确保甲方所委托开发功能的正常使用；</w:t>
      </w:r>
    </w:p>
    <w:p w14:paraId="3C8CA40E">
      <w:pPr>
        <w:ind w:firstLine="0" w:firstLineChars="0"/>
        <w:rPr>
          <w:rFonts w:hint="eastAsia"/>
        </w:rPr>
      </w:pPr>
      <w:r>
        <w:rPr>
          <w:rFonts w:hint="eastAsia"/>
        </w:rPr>
        <w:t xml:space="preserve">2. </w:t>
      </w:r>
      <w:bookmarkStart w:id="0" w:name="OLE_LINK1"/>
      <w:r>
        <w:rPr>
          <w:rFonts w:hint="eastAsia"/>
        </w:rPr>
        <w:t>乙方免费维护时间周期</w:t>
      </w:r>
      <w:bookmarkEnd w:id="0"/>
      <w:r>
        <w:rPr>
          <w:rFonts w:hint="eastAsia"/>
        </w:rPr>
        <w:t>为3个月，自验收通过之日起；</w:t>
      </w:r>
    </w:p>
    <w:p w14:paraId="5230C32B">
      <w:pPr>
        <w:ind w:firstLine="0" w:firstLineChars="0"/>
      </w:pPr>
      <w:r>
        <w:rPr>
          <w:rFonts w:hint="eastAsia"/>
          <w:b/>
        </w:rPr>
        <w:t>第六条 违约责任</w:t>
      </w:r>
      <w:r>
        <w:rPr>
          <w:rFonts w:hint="eastAsia"/>
        </w:rPr>
        <w:br w:type="textWrapping"/>
      </w:r>
      <w:r>
        <w:rPr>
          <w:rFonts w:hint="eastAsia"/>
        </w:rPr>
        <w:t>1. 任何一方有证据表明对方已经、正在或将要违约，可以中止履行本合同，但应及时通知对方。若对方继续不履行、履行不当或者违反本合同，该方可以解除本合同并要求对方赔偿损失。</w:t>
      </w:r>
      <w:r>
        <w:rPr>
          <w:rFonts w:hint="eastAsia"/>
        </w:rPr>
        <w:br w:type="textWrapping"/>
      </w:r>
      <w:r>
        <w:rPr>
          <w:rFonts w:hint="eastAsia"/>
        </w:rPr>
        <w:t>2. 因不可抗力而无法承担责任的一方，应在不可抗力发生的3 天内，及时通知另一方。</w:t>
      </w:r>
      <w:r>
        <w:rPr>
          <w:rFonts w:hint="eastAsia"/>
        </w:rPr>
        <w:br w:type="textWrapping"/>
      </w:r>
      <w:r>
        <w:rPr>
          <w:rFonts w:hint="eastAsia"/>
        </w:rPr>
        <w:t>3. 一方因不可抗力确实无法承担责任，而造成损失的，不付赔偿责任。本合同所称不可抗力是指不能预见、不能克服并且不能避免的客观事件，包括但不限于自然灾害如洪水、地震、火灾和风暴等以及社会事件如战争、动乱、政府行为等。</w:t>
      </w:r>
      <w:r>
        <w:rPr>
          <w:rFonts w:hint="eastAsia"/>
        </w:rPr>
        <w:br w:type="textWrapping"/>
      </w:r>
      <w:r>
        <w:rPr>
          <w:rFonts w:hint="eastAsia"/>
          <w:b/>
        </w:rPr>
        <w:t>第七条 其它</w:t>
      </w:r>
      <w:r>
        <w:rPr>
          <w:rFonts w:hint="eastAsia"/>
        </w:rPr>
        <w:br w:type="textWrapping"/>
      </w:r>
      <w:r>
        <w:rPr>
          <w:rFonts w:hint="eastAsia"/>
        </w:rPr>
        <w:t>1. 本合同经双方授权代表签字并盖章，自签订日起生效。</w:t>
      </w:r>
    </w:p>
    <w:p w14:paraId="480703A0">
      <w:pPr>
        <w:ind w:firstLine="0" w:firstLineChars="0"/>
        <w:rPr>
          <w:rFonts w:hint="eastAsia"/>
        </w:rPr>
      </w:pPr>
      <w:r>
        <w:rPr>
          <w:rFonts w:hint="eastAsia"/>
        </w:rPr>
        <w:t>2</w:t>
      </w:r>
      <w:r>
        <w:t xml:space="preserve">  合同如有未尽事宜，经双方同意后可以备忘或合同附件形式增加。</w:t>
      </w:r>
      <w:r>
        <w:rPr>
          <w:rFonts w:hint="eastAsia"/>
        </w:rPr>
        <w:br w:type="textWrapping"/>
      </w:r>
      <w:r>
        <w:rPr>
          <w:rFonts w:hint="eastAsia"/>
        </w:rPr>
        <w:t>2. 本合同一式两份，双方当事人各执一份，具有同等法律效力。</w:t>
      </w:r>
      <w:r>
        <w:rPr>
          <w:rFonts w:hint="eastAsia"/>
        </w:rPr>
        <w:br w:type="textWrapping"/>
      </w:r>
    </w:p>
    <w:p w14:paraId="173CADF9">
      <w:pPr>
        <w:pStyle w:val="2"/>
        <w:rPr>
          <w:rFonts w:hint="eastAsia"/>
        </w:rPr>
      </w:pPr>
    </w:p>
    <w:p w14:paraId="7B2B62E2">
      <w:pPr>
        <w:pStyle w:val="2"/>
        <w:rPr>
          <w:rFonts w:hint="eastAsia"/>
        </w:rPr>
      </w:pPr>
    </w:p>
    <w:p w14:paraId="33C37981">
      <w:pPr>
        <w:pStyle w:val="2"/>
        <w:rPr>
          <w:rFonts w:hint="eastAsia"/>
        </w:rPr>
      </w:pPr>
    </w:p>
    <w:p w14:paraId="42992AAA">
      <w:pPr>
        <w:rPr>
          <w:rFonts w:hint="eastAsia"/>
        </w:rPr>
      </w:pPr>
      <w:r>
        <w:rPr>
          <w:rFonts w:hint="eastAsia"/>
        </w:rPr>
        <w:t xml:space="preserve">甲  方 </w:t>
      </w:r>
      <w:r>
        <w:rPr>
          <w:rFonts w:hint="eastAsia"/>
          <w:lang w:eastAsia="zh-CN"/>
        </w:rPr>
        <w:t>：</w:t>
      </w:r>
      <w:r>
        <w:rPr>
          <w:rFonts w:hint="eastAsia"/>
        </w:rPr>
        <w:t>北京创联致信科技有限公司</w:t>
      </w:r>
      <w:r>
        <w:rPr>
          <w:rFonts w:hint="eastAsia"/>
          <w:lang w:val="en-US" w:eastAsia="zh-CN"/>
        </w:rPr>
        <w:t xml:space="preserve"> </w:t>
      </w:r>
      <w:r>
        <w:t xml:space="preserve">         </w:t>
      </w:r>
      <w:r>
        <w:rPr>
          <w:rFonts w:hint="eastAsia"/>
        </w:rPr>
        <w:t>乙   方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</w:t>
      </w:r>
    </w:p>
    <w:p w14:paraId="19BF2C1F">
      <w:pPr>
        <w:rPr>
          <w:rFonts w:hint="eastAsia"/>
        </w:rPr>
      </w:pPr>
      <w:r>
        <w:rPr>
          <w:rFonts w:hint="eastAsia"/>
        </w:rPr>
        <w:t xml:space="preserve">（盖章）             </w:t>
      </w:r>
      <w:r>
        <w:t xml:space="preserve">                </w:t>
      </w:r>
      <w:r>
        <w:rPr>
          <w:rFonts w:hint="eastAsia"/>
        </w:rPr>
        <w:t xml:space="preserve">  </w:t>
      </w:r>
      <w:r>
        <w:t xml:space="preserve">   </w:t>
      </w:r>
    </w:p>
    <w:p w14:paraId="2A294F7D">
      <w:pPr>
        <w:rPr>
          <w:rFonts w:hint="eastAsia" w:eastAsia="宋体"/>
          <w:lang w:eastAsia="zh-CN"/>
        </w:rPr>
      </w:pPr>
      <w:r>
        <w:rPr>
          <w:rFonts w:hint="eastAsia"/>
        </w:rPr>
        <w:t>授权代理人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（签字） </w:t>
      </w:r>
      <w:r>
        <w:t xml:space="preserve">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代表人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（签字）</w:t>
      </w:r>
    </w:p>
    <w:p w14:paraId="1EFD8C30">
      <w:pPr>
        <w:rPr>
          <w:rFonts w:hint="eastAsia"/>
        </w:rPr>
      </w:pPr>
      <w:r>
        <w:rPr>
          <w:rFonts w:hint="eastAsia"/>
        </w:rPr>
        <w:t xml:space="preserve">日期： </w:t>
      </w:r>
      <w:r>
        <w:t xml:space="preserve">                                    </w:t>
      </w:r>
      <w:r>
        <w:rPr>
          <w:rFonts w:hint="eastAsia"/>
        </w:rPr>
        <w:t>日期：</w:t>
      </w:r>
    </w:p>
    <w:p w14:paraId="30BB0906">
      <w:pPr>
        <w:ind w:firstLine="0" w:firstLineChars="0"/>
      </w:pPr>
      <w:r>
        <w:br w:type="page"/>
      </w:r>
      <w:r>
        <w:rPr>
          <w:color w:val="auto"/>
          <w:highlight w:val="none"/>
        </w:rPr>
        <w:t>附件一</w:t>
      </w:r>
    </w:p>
    <w:tbl>
      <w:tblPr>
        <w:tblStyle w:val="9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3"/>
        <w:gridCol w:w="868"/>
        <w:gridCol w:w="5010"/>
      </w:tblGrid>
      <w:tr w14:paraId="6264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8E56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序号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5C2D">
            <w:pPr>
              <w:ind w:firstLine="36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设备名称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03AA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数量</w:t>
            </w: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541D">
            <w:pPr>
              <w:ind w:firstLine="36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工作内容</w:t>
            </w:r>
          </w:p>
        </w:tc>
      </w:tr>
      <w:tr w14:paraId="3B11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8460">
            <w:pPr>
              <w:ind w:firstLine="0" w:firstLineChars="0"/>
              <w:rPr>
                <w:rFonts w:hint="default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1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ECF0">
            <w:pPr>
              <w:ind w:firstLine="0" w:firstLineChars="0"/>
              <w:rPr>
                <w:rFonts w:hint="eastAsia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卷接机ZJ118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E1B6">
            <w:pPr>
              <w:ind w:firstLine="0" w:firstLineChars="0"/>
              <w:rPr>
                <w:rFonts w:hint="eastAsia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046B">
            <w:pPr>
              <w:ind w:firstLine="0" w:firstLineChars="0"/>
              <w:rPr>
                <w:rFonts w:hint="eastAsia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数据采集</w:t>
            </w:r>
          </w:p>
        </w:tc>
      </w:tr>
      <w:tr w14:paraId="15DF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4D4A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 w:cs="宋体"/>
                <w:color w:val="FF0000"/>
                <w:sz w:val="18"/>
                <w:szCs w:val="24"/>
                <w:lang w:val="en-US" w:eastAsia="zh-CN" w:bidi="ar-SA"/>
              </w:rPr>
              <w:t>2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3409">
            <w:pPr>
              <w:ind w:firstLine="0" w:firstLineChars="0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连接机YF17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2E71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8536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数据采集</w:t>
            </w:r>
          </w:p>
        </w:tc>
      </w:tr>
      <w:tr w14:paraId="31B7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6460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FB21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B470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DC6F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</w:tr>
      <w:tr w14:paraId="5C83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9EF7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750E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7212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C796">
            <w:pPr>
              <w:ind w:firstLine="0" w:firstLineChars="0"/>
              <w:rPr>
                <w:color w:val="FF0000"/>
                <w:sz w:val="18"/>
              </w:rPr>
            </w:pPr>
          </w:p>
        </w:tc>
      </w:tr>
      <w:tr w14:paraId="4697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1A60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3606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6590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C61A">
            <w:pPr>
              <w:ind w:firstLine="0" w:firstLineChars="0"/>
              <w:rPr>
                <w:color w:val="FF0000"/>
                <w:sz w:val="18"/>
              </w:rPr>
            </w:pPr>
          </w:p>
        </w:tc>
      </w:tr>
      <w:tr w14:paraId="3800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65B0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FD38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18C7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B0CF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</w:tr>
    </w:tbl>
    <w:p w14:paraId="219791A7">
      <w:pPr>
        <w:pStyle w:val="2"/>
        <w:ind w:firstLine="301"/>
        <w:rPr>
          <w:rFonts w:hint="eastAsia"/>
        </w:rPr>
      </w:pPr>
    </w:p>
    <w:p w14:paraId="0FD3E668">
      <w:pPr>
        <w:pStyle w:val="2"/>
        <w:ind w:firstLine="301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104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7039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7039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117E0"/>
    <w:multiLevelType w:val="multilevel"/>
    <w:tmpl w:val="087117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E6055"/>
    <w:rsid w:val="00001CE6"/>
    <w:rsid w:val="00001DDB"/>
    <w:rsid w:val="000324A6"/>
    <w:rsid w:val="00047E07"/>
    <w:rsid w:val="0007722A"/>
    <w:rsid w:val="00077C75"/>
    <w:rsid w:val="000A522D"/>
    <w:rsid w:val="000D7D7C"/>
    <w:rsid w:val="000E30F7"/>
    <w:rsid w:val="000E77F0"/>
    <w:rsid w:val="000F06BC"/>
    <w:rsid w:val="000F21A1"/>
    <w:rsid w:val="001007E0"/>
    <w:rsid w:val="00101911"/>
    <w:rsid w:val="0011713E"/>
    <w:rsid w:val="001455DD"/>
    <w:rsid w:val="00157084"/>
    <w:rsid w:val="001627C2"/>
    <w:rsid w:val="00164B32"/>
    <w:rsid w:val="00171085"/>
    <w:rsid w:val="00175C04"/>
    <w:rsid w:val="001C74F6"/>
    <w:rsid w:val="001E4A07"/>
    <w:rsid w:val="001E6055"/>
    <w:rsid w:val="00201788"/>
    <w:rsid w:val="00230C4F"/>
    <w:rsid w:val="00265661"/>
    <w:rsid w:val="002840BA"/>
    <w:rsid w:val="002933D0"/>
    <w:rsid w:val="002A67EE"/>
    <w:rsid w:val="002D5CB8"/>
    <w:rsid w:val="002E2271"/>
    <w:rsid w:val="0031792B"/>
    <w:rsid w:val="00321605"/>
    <w:rsid w:val="00352C7B"/>
    <w:rsid w:val="0038035E"/>
    <w:rsid w:val="003B4F9A"/>
    <w:rsid w:val="003D0B1B"/>
    <w:rsid w:val="003E2FCF"/>
    <w:rsid w:val="004325D2"/>
    <w:rsid w:val="00456B35"/>
    <w:rsid w:val="004600D5"/>
    <w:rsid w:val="00483608"/>
    <w:rsid w:val="00487859"/>
    <w:rsid w:val="00493F1B"/>
    <w:rsid w:val="004956DD"/>
    <w:rsid w:val="004A0934"/>
    <w:rsid w:val="004B53CB"/>
    <w:rsid w:val="004C3B7B"/>
    <w:rsid w:val="004D6C54"/>
    <w:rsid w:val="004E6887"/>
    <w:rsid w:val="004F29AC"/>
    <w:rsid w:val="004F4B5F"/>
    <w:rsid w:val="005751AD"/>
    <w:rsid w:val="005A6FED"/>
    <w:rsid w:val="005A7E44"/>
    <w:rsid w:val="005D37E7"/>
    <w:rsid w:val="005D46EB"/>
    <w:rsid w:val="005E1046"/>
    <w:rsid w:val="005F5B5C"/>
    <w:rsid w:val="006016B4"/>
    <w:rsid w:val="0060610A"/>
    <w:rsid w:val="006224E3"/>
    <w:rsid w:val="0064321C"/>
    <w:rsid w:val="00655290"/>
    <w:rsid w:val="006632EF"/>
    <w:rsid w:val="00664338"/>
    <w:rsid w:val="00670023"/>
    <w:rsid w:val="00696225"/>
    <w:rsid w:val="006A60D1"/>
    <w:rsid w:val="006B0255"/>
    <w:rsid w:val="006D0266"/>
    <w:rsid w:val="006F7BB6"/>
    <w:rsid w:val="00702556"/>
    <w:rsid w:val="007113E6"/>
    <w:rsid w:val="00712ECA"/>
    <w:rsid w:val="00740F58"/>
    <w:rsid w:val="007456D1"/>
    <w:rsid w:val="007700E6"/>
    <w:rsid w:val="007A7DC3"/>
    <w:rsid w:val="00802708"/>
    <w:rsid w:val="00827D47"/>
    <w:rsid w:val="00860D21"/>
    <w:rsid w:val="00860D26"/>
    <w:rsid w:val="008873C7"/>
    <w:rsid w:val="008A05AB"/>
    <w:rsid w:val="008A2571"/>
    <w:rsid w:val="008B52E2"/>
    <w:rsid w:val="00935A08"/>
    <w:rsid w:val="00935C29"/>
    <w:rsid w:val="009552AC"/>
    <w:rsid w:val="00957548"/>
    <w:rsid w:val="00963BD7"/>
    <w:rsid w:val="00983FBE"/>
    <w:rsid w:val="00994F78"/>
    <w:rsid w:val="009D47EC"/>
    <w:rsid w:val="009E4889"/>
    <w:rsid w:val="009F1215"/>
    <w:rsid w:val="009F1EA2"/>
    <w:rsid w:val="009F322B"/>
    <w:rsid w:val="00A1514E"/>
    <w:rsid w:val="00A16BDD"/>
    <w:rsid w:val="00A369DD"/>
    <w:rsid w:val="00A43909"/>
    <w:rsid w:val="00A4437D"/>
    <w:rsid w:val="00A57073"/>
    <w:rsid w:val="00A67649"/>
    <w:rsid w:val="00A84572"/>
    <w:rsid w:val="00A936BF"/>
    <w:rsid w:val="00AC0548"/>
    <w:rsid w:val="00AC29F3"/>
    <w:rsid w:val="00AD5FFB"/>
    <w:rsid w:val="00B14EDD"/>
    <w:rsid w:val="00B22697"/>
    <w:rsid w:val="00B255E2"/>
    <w:rsid w:val="00B25F9F"/>
    <w:rsid w:val="00B353CB"/>
    <w:rsid w:val="00B46080"/>
    <w:rsid w:val="00B500A0"/>
    <w:rsid w:val="00B7759C"/>
    <w:rsid w:val="00B978ED"/>
    <w:rsid w:val="00BA3E72"/>
    <w:rsid w:val="00BD16CB"/>
    <w:rsid w:val="00BE44B3"/>
    <w:rsid w:val="00C23677"/>
    <w:rsid w:val="00C32FDF"/>
    <w:rsid w:val="00C33D04"/>
    <w:rsid w:val="00C45F4D"/>
    <w:rsid w:val="00C540B5"/>
    <w:rsid w:val="00C8506D"/>
    <w:rsid w:val="00CF7249"/>
    <w:rsid w:val="00D0450F"/>
    <w:rsid w:val="00D0522B"/>
    <w:rsid w:val="00D122B5"/>
    <w:rsid w:val="00D20369"/>
    <w:rsid w:val="00D636BA"/>
    <w:rsid w:val="00D84ECA"/>
    <w:rsid w:val="00D92593"/>
    <w:rsid w:val="00D93F55"/>
    <w:rsid w:val="00D97E08"/>
    <w:rsid w:val="00DB31FA"/>
    <w:rsid w:val="00E067BD"/>
    <w:rsid w:val="00E15DD3"/>
    <w:rsid w:val="00E265FD"/>
    <w:rsid w:val="00E3182E"/>
    <w:rsid w:val="00E52C07"/>
    <w:rsid w:val="00E53AB3"/>
    <w:rsid w:val="00E93F26"/>
    <w:rsid w:val="00EA7BDC"/>
    <w:rsid w:val="00EC0229"/>
    <w:rsid w:val="00EC6D7D"/>
    <w:rsid w:val="00EC78B5"/>
    <w:rsid w:val="00ED09E1"/>
    <w:rsid w:val="00EE33D5"/>
    <w:rsid w:val="00EF4A7B"/>
    <w:rsid w:val="00EF7657"/>
    <w:rsid w:val="00F51AC9"/>
    <w:rsid w:val="00F770F5"/>
    <w:rsid w:val="00F77EFD"/>
    <w:rsid w:val="00FA2ADC"/>
    <w:rsid w:val="00FA7A6B"/>
    <w:rsid w:val="00FC013A"/>
    <w:rsid w:val="00FC7F9B"/>
    <w:rsid w:val="00FE11E2"/>
    <w:rsid w:val="00FE2E8F"/>
    <w:rsid w:val="011A52DC"/>
    <w:rsid w:val="0409568E"/>
    <w:rsid w:val="07583E9D"/>
    <w:rsid w:val="13E6161A"/>
    <w:rsid w:val="188E32EF"/>
    <w:rsid w:val="19B1768D"/>
    <w:rsid w:val="1AC1362E"/>
    <w:rsid w:val="1E0429D4"/>
    <w:rsid w:val="2BEF7559"/>
    <w:rsid w:val="2E536629"/>
    <w:rsid w:val="2EC70CFC"/>
    <w:rsid w:val="2EE563EE"/>
    <w:rsid w:val="367E09D4"/>
    <w:rsid w:val="369B0E52"/>
    <w:rsid w:val="3F4CC272"/>
    <w:rsid w:val="44FE302C"/>
    <w:rsid w:val="48017D01"/>
    <w:rsid w:val="480E2481"/>
    <w:rsid w:val="4EBF45B1"/>
    <w:rsid w:val="4EC25C0B"/>
    <w:rsid w:val="534D53DE"/>
    <w:rsid w:val="57174139"/>
    <w:rsid w:val="62C62F93"/>
    <w:rsid w:val="647D04EA"/>
    <w:rsid w:val="64FD43A1"/>
    <w:rsid w:val="676F7422"/>
    <w:rsid w:val="68B72FF3"/>
    <w:rsid w:val="69996B30"/>
    <w:rsid w:val="6F353BDF"/>
    <w:rsid w:val="6F920FE6"/>
    <w:rsid w:val="72FE5D85"/>
    <w:rsid w:val="76EE3292"/>
    <w:rsid w:val="7D942DC4"/>
    <w:rsid w:val="7FAFEDC9"/>
    <w:rsid w:val="7FFF5295"/>
    <w:rsid w:val="977746C5"/>
    <w:rsid w:val="EBAF3FE7"/>
    <w:rsid w:val="ED3EB220"/>
    <w:rsid w:val="F7577F4F"/>
    <w:rsid w:val="FEFE6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40" w:lineRule="exact"/>
      <w:ind w:firstLine="480" w:firstLineChars="200"/>
    </w:pPr>
    <w:rPr>
      <w:rFonts w:ascii="宋体" w:hAnsi="宋体" w:cs="宋体"/>
      <w:sz w:val="24"/>
      <w:szCs w:val="24"/>
      <w:lang w:val="en-US" w:eastAsia="zh-CN" w:bidi="ar-SA"/>
    </w:rPr>
  </w:style>
  <w:style w:type="paragraph" w:styleId="4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Times New Roman" w:hAnsi="Times New Roman" w:eastAsia="宋体" w:cs="Times New Roman"/>
      <w:b/>
      <w:sz w:val="30"/>
      <w:szCs w:val="20"/>
    </w:rPr>
  </w:style>
  <w:style w:type="paragraph" w:styleId="5">
    <w:name w:val="Document Map"/>
    <w:basedOn w:val="1"/>
    <w:link w:val="14"/>
    <w:unhideWhenUsed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标题 1 Char"/>
    <w:link w:val="4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文档结构图 Char"/>
    <w:link w:val="5"/>
    <w:semiHidden/>
    <w:uiPriority w:val="99"/>
    <w:rPr>
      <w:rFonts w:ascii="宋体"/>
      <w:kern w:val="2"/>
      <w:sz w:val="18"/>
      <w:szCs w:val="18"/>
    </w:rPr>
  </w:style>
  <w:style w:type="character" w:customStyle="1" w:styleId="15">
    <w:name w:val="页脚 Char"/>
    <w:link w:val="6"/>
    <w:uiPriority w:val="99"/>
    <w:rPr>
      <w:sz w:val="18"/>
      <w:szCs w:val="18"/>
    </w:rPr>
  </w:style>
  <w:style w:type="character" w:customStyle="1" w:styleId="16">
    <w:name w:val="页眉 Char"/>
    <w:link w:val="7"/>
    <w:uiPriority w:val="99"/>
    <w:rPr>
      <w:sz w:val="18"/>
      <w:szCs w:val="18"/>
    </w:rPr>
  </w:style>
  <w:style w:type="character" w:customStyle="1" w:styleId="17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1251</Characters>
  <Lines>14</Lines>
  <Paragraphs>3</Paragraphs>
  <TotalTime>0</TotalTime>
  <ScaleCrop>false</ScaleCrop>
  <LinksUpToDate>false</LinksUpToDate>
  <CharactersWithSpaces>1388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2024-03-13T16:37:00Z</dcterms:created>
  <dc:creator>1</dc:creator>
  <cp:lastModifiedBy>榆木头</cp:lastModifiedBy>
  <dcterms:modified xsi:type="dcterms:W3CDTF">2024-10-25T02:54:05Z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1D319384913D4FEDB0FA0FDCF9D71115_13</vt:lpwstr>
  </property>
</Properties>
</file>