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sz w:val="28"/>
          <w:szCs w:val="28"/>
        </w:rPr>
      </w:pPr>
      <w:r>
        <w:rPr>
          <w:rFonts w:hint="eastAsia" w:cs="宋体"/>
          <w:sz w:val="28"/>
          <w:szCs w:val="28"/>
          <w:lang w:eastAsia="zh-CN"/>
        </w:rPr>
        <w:t>宁波工程学院校园</w:t>
      </w:r>
      <w:r>
        <w:rPr>
          <w:rFonts w:hint="eastAsia" w:cs="宋体"/>
          <w:sz w:val="28"/>
          <w:szCs w:val="28"/>
        </w:rPr>
        <w:t>宽带维护服务考核表（</w:t>
      </w:r>
      <w:r>
        <w:rPr>
          <w:rFonts w:hint="eastAsia" w:cs="宋体"/>
          <w:sz w:val="28"/>
          <w:szCs w:val="28"/>
          <w:lang w:val="en-US" w:eastAsia="zh-CN"/>
        </w:rPr>
        <w:t>2023年2</w:t>
      </w:r>
      <w:r>
        <w:rPr>
          <w:rFonts w:hint="eastAsia" w:cs="宋体"/>
          <w:sz w:val="28"/>
          <w:szCs w:val="28"/>
        </w:rPr>
        <w:t>月）</w:t>
      </w:r>
    </w:p>
    <w:tbl>
      <w:tblPr>
        <w:tblStyle w:val="4"/>
        <w:tblpPr w:leftFromText="180" w:rightFromText="180" w:vertAnchor="text" w:horzAnchor="page" w:tblpX="1278" w:tblpY="126"/>
        <w:tblOverlap w:val="never"/>
        <w:tblW w:w="10260" w:type="dxa"/>
        <w:tblInd w:w="0" w:type="dxa"/>
        <w:tblLayout w:type="fixed"/>
        <w:tblCellMar>
          <w:top w:w="0" w:type="dxa"/>
          <w:left w:w="108" w:type="dxa"/>
          <w:bottom w:w="0" w:type="dxa"/>
          <w:right w:w="108" w:type="dxa"/>
        </w:tblCellMar>
      </w:tblPr>
      <w:tblGrid>
        <w:gridCol w:w="900"/>
        <w:gridCol w:w="1440"/>
        <w:gridCol w:w="5220"/>
        <w:gridCol w:w="900"/>
        <w:gridCol w:w="900"/>
        <w:gridCol w:w="900"/>
      </w:tblGrid>
      <w:tr>
        <w:tblPrEx>
          <w:tblCellMar>
            <w:top w:w="0" w:type="dxa"/>
            <w:left w:w="108" w:type="dxa"/>
            <w:bottom w:w="0" w:type="dxa"/>
            <w:right w:w="108" w:type="dxa"/>
          </w:tblCellMar>
        </w:tblPrEx>
        <w:trPr>
          <w:trHeight w:val="915" w:hRule="atLeast"/>
        </w:trPr>
        <w:tc>
          <w:tcPr>
            <w:tcW w:w="900" w:type="dxa"/>
            <w:tcBorders>
              <w:top w:val="single" w:color="auto" w:sz="8" w:space="0"/>
              <w:left w:val="single" w:color="auto" w:sz="8" w:space="0"/>
              <w:bottom w:val="single" w:color="auto" w:sz="4" w:space="0"/>
              <w:right w:val="single" w:color="auto" w:sz="4" w:space="0"/>
            </w:tcBorders>
            <w:vAlign w:val="center"/>
          </w:tcPr>
          <w:p>
            <w:pPr>
              <w:widowControl/>
              <w:jc w:val="center"/>
              <w:rPr>
                <w:rFonts w:ascii="宋体"/>
                <w:b/>
                <w:bCs/>
                <w:kern w:val="0"/>
                <w:sz w:val="28"/>
                <w:szCs w:val="28"/>
              </w:rPr>
            </w:pPr>
            <w:r>
              <w:rPr>
                <w:rFonts w:hint="eastAsia" w:ascii="宋体" w:hAnsi="宋体" w:cs="宋体"/>
                <w:b/>
                <w:bCs/>
                <w:kern w:val="0"/>
                <w:sz w:val="28"/>
                <w:szCs w:val="28"/>
              </w:rPr>
              <w:t>项目</w:t>
            </w:r>
          </w:p>
        </w:tc>
        <w:tc>
          <w:tcPr>
            <w:tcW w:w="1440" w:type="dxa"/>
            <w:tcBorders>
              <w:top w:val="single" w:color="auto" w:sz="8" w:space="0"/>
              <w:left w:val="nil"/>
              <w:bottom w:val="single" w:color="auto" w:sz="4" w:space="0"/>
              <w:right w:val="single" w:color="auto" w:sz="4" w:space="0"/>
            </w:tcBorders>
            <w:vAlign w:val="center"/>
          </w:tcPr>
          <w:p>
            <w:pPr>
              <w:widowControl/>
              <w:jc w:val="center"/>
              <w:rPr>
                <w:rFonts w:ascii="宋体"/>
                <w:b/>
                <w:bCs/>
                <w:kern w:val="0"/>
                <w:sz w:val="28"/>
                <w:szCs w:val="28"/>
              </w:rPr>
            </w:pPr>
            <w:r>
              <w:rPr>
                <w:rFonts w:hint="eastAsia" w:ascii="宋体" w:hAnsi="宋体" w:cs="宋体"/>
                <w:b/>
                <w:bCs/>
                <w:kern w:val="0"/>
                <w:sz w:val="28"/>
                <w:szCs w:val="28"/>
              </w:rPr>
              <w:t>子项</w:t>
            </w:r>
          </w:p>
        </w:tc>
        <w:tc>
          <w:tcPr>
            <w:tcW w:w="5220" w:type="dxa"/>
            <w:tcBorders>
              <w:top w:val="single" w:color="auto" w:sz="8" w:space="0"/>
              <w:left w:val="nil"/>
              <w:bottom w:val="single" w:color="auto" w:sz="4" w:space="0"/>
              <w:right w:val="single" w:color="auto" w:sz="4" w:space="0"/>
            </w:tcBorders>
            <w:vAlign w:val="center"/>
          </w:tcPr>
          <w:p>
            <w:pPr>
              <w:widowControl/>
              <w:jc w:val="center"/>
              <w:rPr>
                <w:rFonts w:ascii="宋体"/>
                <w:b/>
                <w:bCs/>
                <w:kern w:val="0"/>
                <w:sz w:val="28"/>
                <w:szCs w:val="28"/>
              </w:rPr>
            </w:pPr>
            <w:r>
              <w:rPr>
                <w:rFonts w:hint="eastAsia" w:ascii="宋体" w:hAnsi="宋体" w:cs="宋体"/>
                <w:b/>
                <w:bCs/>
                <w:kern w:val="0"/>
                <w:sz w:val="28"/>
                <w:szCs w:val="28"/>
              </w:rPr>
              <w:t>考核办法</w:t>
            </w:r>
          </w:p>
        </w:tc>
        <w:tc>
          <w:tcPr>
            <w:tcW w:w="900" w:type="dxa"/>
            <w:tcBorders>
              <w:top w:val="single" w:color="auto" w:sz="8" w:space="0"/>
              <w:left w:val="nil"/>
              <w:bottom w:val="single" w:color="auto" w:sz="4" w:space="0"/>
              <w:right w:val="single" w:color="auto" w:sz="4" w:space="0"/>
            </w:tcBorders>
            <w:vAlign w:val="center"/>
          </w:tcPr>
          <w:p>
            <w:pPr>
              <w:widowControl/>
              <w:jc w:val="center"/>
              <w:rPr>
                <w:rFonts w:ascii="宋体"/>
                <w:b/>
                <w:bCs/>
                <w:kern w:val="0"/>
                <w:sz w:val="28"/>
                <w:szCs w:val="28"/>
              </w:rPr>
            </w:pPr>
            <w:r>
              <w:rPr>
                <w:rFonts w:hint="eastAsia" w:ascii="宋体" w:hAnsi="宋体" w:cs="宋体"/>
                <w:b/>
                <w:bCs/>
                <w:kern w:val="0"/>
                <w:sz w:val="28"/>
                <w:szCs w:val="28"/>
              </w:rPr>
              <w:t>分值</w:t>
            </w:r>
          </w:p>
        </w:tc>
        <w:tc>
          <w:tcPr>
            <w:tcW w:w="900" w:type="dxa"/>
            <w:tcBorders>
              <w:top w:val="single" w:color="auto" w:sz="8" w:space="0"/>
              <w:left w:val="nil"/>
              <w:bottom w:val="single" w:color="auto" w:sz="4" w:space="0"/>
              <w:right w:val="single" w:color="auto" w:sz="4" w:space="0"/>
            </w:tcBorders>
            <w:vAlign w:val="center"/>
          </w:tcPr>
          <w:p>
            <w:pPr>
              <w:widowControl/>
              <w:jc w:val="center"/>
              <w:rPr>
                <w:rFonts w:ascii="宋体" w:hAnsi="宋体" w:cs="宋体"/>
                <w:b/>
                <w:bCs/>
                <w:kern w:val="0"/>
                <w:sz w:val="28"/>
                <w:szCs w:val="28"/>
              </w:rPr>
            </w:pPr>
            <w:r>
              <w:rPr>
                <w:rFonts w:hint="eastAsia" w:ascii="宋体" w:hAnsi="宋体" w:cs="宋体"/>
                <w:b/>
                <w:bCs/>
                <w:kern w:val="0"/>
                <w:sz w:val="28"/>
                <w:szCs w:val="28"/>
              </w:rPr>
              <w:t>得分</w:t>
            </w:r>
          </w:p>
        </w:tc>
        <w:tc>
          <w:tcPr>
            <w:tcW w:w="900"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b/>
                <w:bCs/>
                <w:kern w:val="0"/>
                <w:sz w:val="28"/>
                <w:szCs w:val="28"/>
                <w:lang w:eastAsia="zh-CN"/>
              </w:rPr>
            </w:pPr>
            <w:r>
              <w:rPr>
                <w:rFonts w:hint="eastAsia" w:ascii="宋体" w:hAnsi="宋体" w:cs="宋体"/>
                <w:b/>
                <w:bCs/>
                <w:kern w:val="0"/>
                <w:sz w:val="28"/>
                <w:szCs w:val="28"/>
                <w:lang w:eastAsia="zh-CN"/>
              </w:rPr>
              <w:t>扣罚金额</w:t>
            </w:r>
          </w:p>
        </w:tc>
      </w:tr>
      <w:tr>
        <w:tblPrEx>
          <w:tblCellMar>
            <w:top w:w="0" w:type="dxa"/>
            <w:left w:w="108" w:type="dxa"/>
            <w:bottom w:w="0" w:type="dxa"/>
            <w:right w:w="108" w:type="dxa"/>
          </w:tblCellMar>
        </w:tblPrEx>
        <w:trPr>
          <w:trHeight w:val="1215" w:hRule="atLeast"/>
        </w:trPr>
        <w:tc>
          <w:tcPr>
            <w:tcW w:w="900" w:type="dxa"/>
            <w:vMerge w:val="restart"/>
            <w:tcBorders>
              <w:top w:val="nil"/>
              <w:left w:val="single" w:color="auto" w:sz="8" w:space="0"/>
              <w:bottom w:val="single" w:color="auto" w:sz="4" w:space="0"/>
              <w:right w:val="single" w:color="auto" w:sz="4" w:space="0"/>
            </w:tcBorders>
            <w:vAlign w:val="center"/>
          </w:tcPr>
          <w:p>
            <w:pPr>
              <w:widowControl/>
              <w:jc w:val="center"/>
              <w:rPr>
                <w:rFonts w:ascii="宋体"/>
                <w:b/>
                <w:bCs/>
                <w:kern w:val="0"/>
                <w:sz w:val="22"/>
              </w:rPr>
            </w:pPr>
            <w:r>
              <w:rPr>
                <w:rFonts w:hint="eastAsia" w:ascii="宋体" w:hAnsi="宋体" w:cs="宋体"/>
                <w:b/>
                <w:bCs/>
                <w:kern w:val="0"/>
                <w:sz w:val="22"/>
                <w:szCs w:val="22"/>
              </w:rPr>
              <w:t>服务类考核指标</w:t>
            </w:r>
          </w:p>
        </w:tc>
        <w:tc>
          <w:tcPr>
            <w:tcW w:w="1440" w:type="dxa"/>
            <w:tcBorders>
              <w:top w:val="nil"/>
              <w:left w:val="nil"/>
              <w:bottom w:val="single" w:color="auto" w:sz="4" w:space="0"/>
              <w:right w:val="single" w:color="auto" w:sz="4" w:space="0"/>
            </w:tcBorders>
            <w:vAlign w:val="center"/>
          </w:tcPr>
          <w:p>
            <w:pPr>
              <w:widowControl/>
              <w:jc w:val="center"/>
              <w:rPr>
                <w:rFonts w:ascii="宋体"/>
                <w:kern w:val="0"/>
                <w:sz w:val="22"/>
              </w:rPr>
            </w:pPr>
            <w:r>
              <w:rPr>
                <w:rFonts w:hint="eastAsia" w:ascii="宋体" w:hAnsi="宋体" w:cs="宋体"/>
                <w:kern w:val="0"/>
                <w:sz w:val="22"/>
                <w:szCs w:val="22"/>
              </w:rPr>
              <w:t>宽带装移机</w:t>
            </w:r>
          </w:p>
        </w:tc>
        <w:tc>
          <w:tcPr>
            <w:tcW w:w="5220" w:type="dxa"/>
            <w:tcBorders>
              <w:top w:val="nil"/>
              <w:left w:val="nil"/>
              <w:bottom w:val="nil"/>
              <w:right w:val="single" w:color="auto" w:sz="4" w:space="0"/>
            </w:tcBorders>
            <w:vAlign w:val="center"/>
          </w:tcPr>
          <w:p>
            <w:pPr>
              <w:widowControl/>
              <w:jc w:val="left"/>
              <w:rPr>
                <w:rFonts w:ascii="宋体"/>
                <w:kern w:val="0"/>
                <w:sz w:val="22"/>
              </w:rPr>
            </w:pPr>
            <w:r>
              <w:rPr>
                <w:rFonts w:hint="eastAsia" w:ascii="宋体" w:hAnsi="宋体" w:cs="宋体"/>
                <w:kern w:val="0"/>
                <w:sz w:val="22"/>
                <w:szCs w:val="22"/>
              </w:rPr>
              <w:t>在资源具备情况下，装、移机正常时限</w:t>
            </w:r>
            <w:r>
              <w:rPr>
                <w:rFonts w:ascii="宋体" w:hAnsi="宋体" w:cs="宋体"/>
                <w:kern w:val="0"/>
                <w:sz w:val="22"/>
                <w:szCs w:val="22"/>
              </w:rPr>
              <w:t>2</w:t>
            </w:r>
            <w:r>
              <w:rPr>
                <w:rFonts w:hint="eastAsia" w:ascii="宋体" w:hAnsi="宋体" w:cs="宋体"/>
                <w:kern w:val="0"/>
                <w:sz w:val="22"/>
                <w:szCs w:val="22"/>
              </w:rPr>
              <w:t>天，除不可抗拒原因外，每件每超一天，扣</w:t>
            </w:r>
            <w:r>
              <w:rPr>
                <w:rFonts w:ascii="宋体" w:hAnsi="宋体" w:cs="宋体"/>
                <w:kern w:val="0"/>
                <w:sz w:val="22"/>
                <w:szCs w:val="22"/>
              </w:rPr>
              <w:t>1</w:t>
            </w:r>
            <w:r>
              <w:rPr>
                <w:rFonts w:hint="eastAsia" w:ascii="宋体" w:hAnsi="宋体" w:cs="宋体"/>
                <w:kern w:val="0"/>
                <w:sz w:val="22"/>
                <w:szCs w:val="22"/>
              </w:rPr>
              <w:t>分，扣维护费</w:t>
            </w:r>
            <w:r>
              <w:rPr>
                <w:rFonts w:ascii="宋体" w:hAnsi="宋体" w:cs="宋体"/>
                <w:kern w:val="0"/>
                <w:sz w:val="22"/>
                <w:szCs w:val="22"/>
              </w:rPr>
              <w:t>200</w:t>
            </w:r>
            <w:r>
              <w:rPr>
                <w:rFonts w:hint="eastAsia" w:ascii="宋体" w:hAnsi="宋体" w:cs="宋体"/>
                <w:kern w:val="0"/>
                <w:sz w:val="22"/>
                <w:szCs w:val="22"/>
              </w:rPr>
              <w:t>元。超过正常时限，不到</w:t>
            </w:r>
            <w:r>
              <w:rPr>
                <w:rFonts w:ascii="宋体" w:hAnsi="宋体" w:cs="宋体"/>
                <w:kern w:val="0"/>
                <w:sz w:val="22"/>
                <w:szCs w:val="22"/>
              </w:rPr>
              <w:t>24</w:t>
            </w:r>
            <w:r>
              <w:rPr>
                <w:rFonts w:hint="eastAsia" w:ascii="宋体" w:hAnsi="宋体" w:cs="宋体"/>
                <w:kern w:val="0"/>
                <w:sz w:val="22"/>
                <w:szCs w:val="22"/>
              </w:rPr>
              <w:t>小时，按一天计，扣完为止。代维单位必须及时主动提供网线，若发生此类投诉，每单扣</w:t>
            </w:r>
            <w:r>
              <w:rPr>
                <w:rFonts w:ascii="宋体" w:hAnsi="宋体" w:cs="宋体"/>
                <w:kern w:val="0"/>
                <w:sz w:val="22"/>
                <w:szCs w:val="22"/>
              </w:rPr>
              <w:t>200</w:t>
            </w:r>
            <w:r>
              <w:rPr>
                <w:rFonts w:hint="eastAsia" w:ascii="宋体" w:hAnsi="宋体" w:cs="宋体"/>
                <w:kern w:val="0"/>
                <w:sz w:val="22"/>
                <w:szCs w:val="22"/>
              </w:rPr>
              <w:t>元。</w:t>
            </w:r>
          </w:p>
        </w:tc>
        <w:tc>
          <w:tcPr>
            <w:tcW w:w="900" w:type="dxa"/>
            <w:vMerge w:val="restart"/>
            <w:tcBorders>
              <w:top w:val="nil"/>
              <w:left w:val="single" w:color="auto" w:sz="4" w:space="0"/>
              <w:bottom w:val="single" w:color="000000" w:sz="4" w:space="0"/>
              <w:right w:val="single" w:color="auto" w:sz="4" w:space="0"/>
            </w:tcBorders>
            <w:vAlign w:val="center"/>
          </w:tcPr>
          <w:p>
            <w:pPr>
              <w:widowControl/>
              <w:jc w:val="center"/>
              <w:rPr>
                <w:rFonts w:ascii="宋体"/>
                <w:kern w:val="0"/>
                <w:sz w:val="22"/>
              </w:rPr>
            </w:pPr>
            <w:r>
              <w:rPr>
                <w:rFonts w:ascii="宋体" w:hAnsi="宋体" w:cs="宋体"/>
                <w:kern w:val="0"/>
                <w:sz w:val="22"/>
                <w:szCs w:val="22"/>
              </w:rPr>
              <w:t>40</w:t>
            </w:r>
          </w:p>
        </w:tc>
        <w:tc>
          <w:tcPr>
            <w:tcW w:w="900" w:type="dxa"/>
            <w:vMerge w:val="restart"/>
            <w:tcBorders>
              <w:top w:val="nil"/>
              <w:left w:val="single" w:color="auto" w:sz="4" w:space="0"/>
              <w:right w:val="single" w:color="auto" w:sz="4" w:space="0"/>
            </w:tcBorders>
            <w:vAlign w:val="center"/>
          </w:tcPr>
          <w:p>
            <w:pPr>
              <w:widowControl/>
              <w:jc w:val="center"/>
              <w:rPr>
                <w:rFonts w:ascii="宋体" w:hAnsi="宋体" w:cs="宋体"/>
                <w:kern w:val="0"/>
                <w:sz w:val="22"/>
              </w:rPr>
            </w:pPr>
            <w:r>
              <w:rPr>
                <w:rFonts w:hint="eastAsia" w:ascii="宋体" w:hAnsi="宋体" w:cs="宋体"/>
                <w:kern w:val="0"/>
                <w:sz w:val="22"/>
                <w:szCs w:val="22"/>
              </w:rPr>
              <w:t>40</w:t>
            </w:r>
          </w:p>
        </w:tc>
        <w:tc>
          <w:tcPr>
            <w:tcW w:w="900"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cs="宋体"/>
                <w:kern w:val="0"/>
                <w:sz w:val="22"/>
                <w:szCs w:val="22"/>
              </w:rPr>
            </w:pPr>
          </w:p>
        </w:tc>
      </w:tr>
      <w:tr>
        <w:tblPrEx>
          <w:tblCellMar>
            <w:top w:w="0" w:type="dxa"/>
            <w:left w:w="108" w:type="dxa"/>
            <w:bottom w:w="0" w:type="dxa"/>
            <w:right w:w="108" w:type="dxa"/>
          </w:tblCellMar>
        </w:tblPrEx>
        <w:trPr>
          <w:trHeight w:val="540" w:hRule="atLeast"/>
        </w:trPr>
        <w:tc>
          <w:tcPr>
            <w:tcW w:w="900" w:type="dxa"/>
            <w:vMerge w:val="continue"/>
            <w:tcBorders>
              <w:top w:val="nil"/>
              <w:left w:val="single" w:color="auto" w:sz="8" w:space="0"/>
              <w:bottom w:val="single" w:color="auto" w:sz="4" w:space="0"/>
              <w:right w:val="single" w:color="auto" w:sz="4" w:space="0"/>
            </w:tcBorders>
            <w:vAlign w:val="center"/>
          </w:tcPr>
          <w:p>
            <w:pPr>
              <w:widowControl/>
              <w:jc w:val="left"/>
              <w:rPr>
                <w:rFonts w:ascii="宋体"/>
                <w:b/>
                <w:bCs/>
                <w:kern w:val="0"/>
                <w:sz w:val="22"/>
              </w:rPr>
            </w:pPr>
          </w:p>
        </w:tc>
        <w:tc>
          <w:tcPr>
            <w:tcW w:w="1440" w:type="dxa"/>
            <w:tcBorders>
              <w:top w:val="nil"/>
              <w:left w:val="nil"/>
              <w:bottom w:val="single" w:color="auto" w:sz="4" w:space="0"/>
              <w:right w:val="single" w:color="auto" w:sz="4" w:space="0"/>
            </w:tcBorders>
            <w:vAlign w:val="center"/>
          </w:tcPr>
          <w:p>
            <w:pPr>
              <w:widowControl/>
              <w:jc w:val="center"/>
              <w:rPr>
                <w:rFonts w:ascii="宋体"/>
                <w:kern w:val="0"/>
                <w:sz w:val="22"/>
              </w:rPr>
            </w:pPr>
            <w:r>
              <w:rPr>
                <w:rFonts w:hint="eastAsia" w:ascii="宋体" w:hAnsi="宋体" w:cs="宋体"/>
                <w:kern w:val="0"/>
                <w:sz w:val="22"/>
                <w:szCs w:val="22"/>
              </w:rPr>
              <w:t>宽带拆机</w:t>
            </w:r>
          </w:p>
        </w:tc>
        <w:tc>
          <w:tcPr>
            <w:tcW w:w="5220" w:type="dxa"/>
            <w:tcBorders>
              <w:top w:val="single" w:color="auto" w:sz="4" w:space="0"/>
              <w:left w:val="nil"/>
              <w:bottom w:val="single" w:color="auto" w:sz="4" w:space="0"/>
              <w:right w:val="single" w:color="auto" w:sz="4" w:space="0"/>
            </w:tcBorders>
            <w:vAlign w:val="center"/>
          </w:tcPr>
          <w:p>
            <w:pPr>
              <w:widowControl/>
              <w:jc w:val="left"/>
              <w:rPr>
                <w:rFonts w:ascii="宋体"/>
                <w:kern w:val="0"/>
                <w:sz w:val="22"/>
              </w:rPr>
            </w:pPr>
            <w:r>
              <w:rPr>
                <w:rFonts w:hint="eastAsia" w:ascii="宋体" w:hAnsi="宋体" w:cs="宋体"/>
                <w:kern w:val="0"/>
                <w:sz w:val="22"/>
                <w:szCs w:val="22"/>
              </w:rPr>
              <w:t>正常时限</w:t>
            </w:r>
            <w:r>
              <w:rPr>
                <w:rFonts w:ascii="宋体" w:hAnsi="宋体" w:cs="宋体"/>
                <w:kern w:val="0"/>
                <w:sz w:val="22"/>
                <w:szCs w:val="22"/>
              </w:rPr>
              <w:t>3</w:t>
            </w:r>
            <w:r>
              <w:rPr>
                <w:rFonts w:hint="eastAsia" w:ascii="宋体" w:hAnsi="宋体" w:cs="宋体"/>
                <w:kern w:val="0"/>
                <w:sz w:val="22"/>
                <w:szCs w:val="22"/>
              </w:rPr>
              <w:t>天，除不可抗拒原因外，每单超时，扣</w:t>
            </w:r>
            <w:r>
              <w:rPr>
                <w:rFonts w:ascii="宋体" w:hAnsi="宋体" w:cs="宋体"/>
                <w:kern w:val="0"/>
                <w:sz w:val="22"/>
                <w:szCs w:val="22"/>
              </w:rPr>
              <w:t>1</w:t>
            </w:r>
            <w:r>
              <w:rPr>
                <w:rFonts w:hint="eastAsia" w:ascii="宋体" w:hAnsi="宋体" w:cs="宋体"/>
                <w:kern w:val="0"/>
                <w:sz w:val="22"/>
                <w:szCs w:val="22"/>
              </w:rPr>
              <w:t>分，扣</w:t>
            </w:r>
            <w:r>
              <w:rPr>
                <w:rFonts w:ascii="宋体" w:hAnsi="宋体" w:cs="宋体"/>
                <w:kern w:val="0"/>
                <w:sz w:val="22"/>
                <w:szCs w:val="22"/>
              </w:rPr>
              <w:t>50</w:t>
            </w:r>
            <w:r>
              <w:rPr>
                <w:rFonts w:hint="eastAsia" w:ascii="宋体" w:hAnsi="宋体" w:cs="宋体"/>
                <w:kern w:val="0"/>
                <w:sz w:val="22"/>
                <w:szCs w:val="22"/>
              </w:rPr>
              <w:t>元</w:t>
            </w:r>
          </w:p>
        </w:tc>
        <w:tc>
          <w:tcPr>
            <w:tcW w:w="90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kern w:val="0"/>
                <w:sz w:val="22"/>
              </w:rPr>
            </w:pPr>
          </w:p>
        </w:tc>
        <w:tc>
          <w:tcPr>
            <w:tcW w:w="900" w:type="dxa"/>
            <w:vMerge w:val="continue"/>
            <w:tcBorders>
              <w:left w:val="single" w:color="auto" w:sz="4" w:space="0"/>
              <w:right w:val="single" w:color="auto" w:sz="4" w:space="0"/>
            </w:tcBorders>
          </w:tcPr>
          <w:p>
            <w:pPr>
              <w:widowControl/>
              <w:jc w:val="left"/>
              <w:rPr>
                <w:rFonts w:ascii="宋体"/>
                <w:kern w:val="0"/>
                <w:sz w:val="22"/>
              </w:rPr>
            </w:pPr>
          </w:p>
        </w:tc>
        <w:tc>
          <w:tcPr>
            <w:tcW w:w="900" w:type="dxa"/>
            <w:tcBorders>
              <w:top w:val="single" w:color="auto" w:sz="4" w:space="0"/>
              <w:left w:val="single" w:color="auto" w:sz="4" w:space="0"/>
              <w:bottom w:val="single" w:color="auto" w:sz="4" w:space="0"/>
              <w:right w:val="single" w:color="auto" w:sz="4" w:space="0"/>
            </w:tcBorders>
          </w:tcPr>
          <w:p>
            <w:pPr>
              <w:widowControl/>
              <w:jc w:val="left"/>
              <w:rPr>
                <w:rFonts w:ascii="宋体"/>
                <w:kern w:val="0"/>
                <w:sz w:val="22"/>
              </w:rPr>
            </w:pPr>
          </w:p>
        </w:tc>
      </w:tr>
      <w:tr>
        <w:tblPrEx>
          <w:tblCellMar>
            <w:top w:w="0" w:type="dxa"/>
            <w:left w:w="108" w:type="dxa"/>
            <w:bottom w:w="0" w:type="dxa"/>
            <w:right w:w="108" w:type="dxa"/>
          </w:tblCellMar>
        </w:tblPrEx>
        <w:trPr>
          <w:trHeight w:val="1350" w:hRule="atLeast"/>
        </w:trPr>
        <w:tc>
          <w:tcPr>
            <w:tcW w:w="900" w:type="dxa"/>
            <w:vMerge w:val="continue"/>
            <w:tcBorders>
              <w:top w:val="nil"/>
              <w:left w:val="single" w:color="auto" w:sz="8" w:space="0"/>
              <w:bottom w:val="single" w:color="auto" w:sz="4" w:space="0"/>
              <w:right w:val="single" w:color="auto" w:sz="4" w:space="0"/>
            </w:tcBorders>
            <w:vAlign w:val="center"/>
          </w:tcPr>
          <w:p>
            <w:pPr>
              <w:widowControl/>
              <w:jc w:val="left"/>
              <w:rPr>
                <w:rFonts w:ascii="宋体"/>
                <w:b/>
                <w:bCs/>
                <w:kern w:val="0"/>
                <w:sz w:val="22"/>
              </w:rPr>
            </w:pPr>
          </w:p>
        </w:tc>
        <w:tc>
          <w:tcPr>
            <w:tcW w:w="1440" w:type="dxa"/>
            <w:tcBorders>
              <w:top w:val="nil"/>
              <w:left w:val="nil"/>
              <w:bottom w:val="single" w:color="auto" w:sz="4" w:space="0"/>
              <w:right w:val="single" w:color="auto" w:sz="4" w:space="0"/>
            </w:tcBorders>
            <w:vAlign w:val="center"/>
          </w:tcPr>
          <w:p>
            <w:pPr>
              <w:widowControl/>
              <w:jc w:val="center"/>
              <w:rPr>
                <w:rFonts w:ascii="宋体"/>
                <w:kern w:val="0"/>
                <w:sz w:val="22"/>
              </w:rPr>
            </w:pPr>
            <w:r>
              <w:rPr>
                <w:rFonts w:hint="eastAsia" w:ascii="宋体" w:hAnsi="宋体" w:cs="宋体"/>
                <w:kern w:val="0"/>
                <w:sz w:val="22"/>
                <w:szCs w:val="22"/>
              </w:rPr>
              <w:t>宽带故障</w:t>
            </w:r>
          </w:p>
        </w:tc>
        <w:tc>
          <w:tcPr>
            <w:tcW w:w="5220" w:type="dxa"/>
            <w:tcBorders>
              <w:top w:val="nil"/>
              <w:left w:val="nil"/>
              <w:bottom w:val="single" w:color="auto" w:sz="4" w:space="0"/>
              <w:right w:val="single" w:color="auto" w:sz="4" w:space="0"/>
            </w:tcBorders>
            <w:vAlign w:val="center"/>
          </w:tcPr>
          <w:p>
            <w:pPr>
              <w:widowControl/>
              <w:jc w:val="left"/>
              <w:rPr>
                <w:rFonts w:ascii="宋体"/>
                <w:kern w:val="0"/>
                <w:sz w:val="22"/>
              </w:rPr>
            </w:pPr>
            <w:r>
              <w:rPr>
                <w:rFonts w:hint="eastAsia" w:ascii="宋体" w:hAnsi="宋体" w:cs="宋体"/>
                <w:kern w:val="0"/>
                <w:sz w:val="22"/>
                <w:szCs w:val="22"/>
              </w:rPr>
              <w:t>校园宽带业务障碍修复时限为</w:t>
            </w:r>
            <w:r>
              <w:rPr>
                <w:rFonts w:ascii="宋体" w:hAnsi="宋体" w:cs="宋体"/>
                <w:kern w:val="0"/>
                <w:sz w:val="22"/>
                <w:szCs w:val="22"/>
              </w:rPr>
              <w:t>4</w:t>
            </w:r>
            <w:r>
              <w:rPr>
                <w:rFonts w:hint="eastAsia" w:ascii="宋体" w:hAnsi="宋体" w:cs="宋体"/>
                <w:kern w:val="0"/>
                <w:sz w:val="22"/>
                <w:szCs w:val="22"/>
              </w:rPr>
              <w:t>小时，其中</w:t>
            </w:r>
            <w:r>
              <w:rPr>
                <w:rFonts w:ascii="宋体" w:hAnsi="宋体" w:cs="宋体"/>
                <w:kern w:val="0"/>
                <w:sz w:val="22"/>
                <w:szCs w:val="22"/>
              </w:rPr>
              <w:t>8</w:t>
            </w:r>
            <w:r>
              <w:rPr>
                <w:rFonts w:hint="eastAsia" w:ascii="宋体" w:hAnsi="宋体" w:cs="宋体"/>
                <w:kern w:val="0"/>
                <w:sz w:val="22"/>
                <w:szCs w:val="22"/>
              </w:rPr>
              <w:t>：</w:t>
            </w:r>
            <w:r>
              <w:rPr>
                <w:rFonts w:ascii="宋体" w:hAnsi="宋体" w:cs="宋体"/>
                <w:kern w:val="0"/>
                <w:sz w:val="22"/>
                <w:szCs w:val="22"/>
              </w:rPr>
              <w:t>00-20:00</w:t>
            </w:r>
            <w:r>
              <w:rPr>
                <w:rFonts w:hint="eastAsia" w:ascii="宋体" w:hAnsi="宋体" w:cs="宋体"/>
                <w:kern w:val="0"/>
                <w:sz w:val="22"/>
                <w:szCs w:val="22"/>
              </w:rPr>
              <w:t>内受理故障，要求在当天修复，</w:t>
            </w:r>
            <w:r>
              <w:rPr>
                <w:rFonts w:ascii="宋体" w:hAnsi="宋体" w:cs="宋体"/>
                <w:kern w:val="0"/>
                <w:sz w:val="22"/>
                <w:szCs w:val="22"/>
              </w:rPr>
              <w:t>20</w:t>
            </w:r>
            <w:r>
              <w:rPr>
                <w:rFonts w:hint="eastAsia" w:ascii="宋体" w:hAnsi="宋体" w:cs="宋体"/>
                <w:kern w:val="0"/>
                <w:sz w:val="22"/>
                <w:szCs w:val="22"/>
              </w:rPr>
              <w:t>：</w:t>
            </w:r>
            <w:r>
              <w:rPr>
                <w:rFonts w:ascii="宋体" w:cs="宋体"/>
                <w:kern w:val="0"/>
                <w:sz w:val="22"/>
                <w:szCs w:val="22"/>
              </w:rPr>
              <w:t>00</w:t>
            </w:r>
            <w:r>
              <w:rPr>
                <w:rFonts w:hint="eastAsia" w:ascii="宋体" w:hAnsi="宋体" w:cs="宋体"/>
                <w:kern w:val="0"/>
                <w:sz w:val="22"/>
                <w:szCs w:val="22"/>
              </w:rPr>
              <w:t>－第二天</w:t>
            </w:r>
            <w:r>
              <w:rPr>
                <w:rFonts w:ascii="宋体" w:hAnsi="宋体" w:cs="宋体"/>
                <w:kern w:val="0"/>
                <w:sz w:val="22"/>
                <w:szCs w:val="22"/>
              </w:rPr>
              <w:t>8</w:t>
            </w:r>
            <w:r>
              <w:rPr>
                <w:rFonts w:hint="eastAsia" w:ascii="宋体" w:hAnsi="宋体" w:cs="宋体"/>
                <w:kern w:val="0"/>
                <w:sz w:val="22"/>
                <w:szCs w:val="22"/>
              </w:rPr>
              <w:t>：</w:t>
            </w:r>
            <w:r>
              <w:rPr>
                <w:rFonts w:ascii="宋体" w:cs="宋体"/>
                <w:kern w:val="0"/>
                <w:sz w:val="22"/>
                <w:szCs w:val="22"/>
              </w:rPr>
              <w:t>00</w:t>
            </w:r>
            <w:r>
              <w:rPr>
                <w:rFonts w:hint="eastAsia" w:ascii="宋体" w:hAnsi="宋体" w:cs="宋体"/>
                <w:kern w:val="0"/>
                <w:sz w:val="22"/>
                <w:szCs w:val="22"/>
              </w:rPr>
              <w:t>内受理故障（除特殊用户），则在第二天</w:t>
            </w:r>
            <w:r>
              <w:rPr>
                <w:rFonts w:ascii="宋体" w:hAnsi="宋体" w:cs="宋体"/>
                <w:kern w:val="0"/>
                <w:sz w:val="22"/>
                <w:szCs w:val="22"/>
              </w:rPr>
              <w:t>8</w:t>
            </w:r>
            <w:r>
              <w:rPr>
                <w:rFonts w:hint="eastAsia" w:ascii="宋体" w:hAnsi="宋体" w:cs="宋体"/>
                <w:kern w:val="0"/>
                <w:sz w:val="22"/>
                <w:szCs w:val="22"/>
              </w:rPr>
              <w:t>：</w:t>
            </w:r>
            <w:r>
              <w:rPr>
                <w:rFonts w:ascii="宋体" w:cs="宋体"/>
                <w:kern w:val="0"/>
                <w:sz w:val="22"/>
                <w:szCs w:val="22"/>
              </w:rPr>
              <w:t>00</w:t>
            </w:r>
            <w:r>
              <w:rPr>
                <w:rFonts w:hint="eastAsia" w:ascii="宋体" w:hAnsi="宋体" w:cs="宋体"/>
                <w:kern w:val="0"/>
                <w:sz w:val="22"/>
                <w:szCs w:val="22"/>
              </w:rPr>
              <w:t>开始或预约时间起，</w:t>
            </w:r>
            <w:r>
              <w:rPr>
                <w:rFonts w:ascii="宋体" w:hAnsi="宋体" w:cs="宋体"/>
                <w:kern w:val="0"/>
                <w:sz w:val="22"/>
                <w:szCs w:val="22"/>
              </w:rPr>
              <w:t>4</w:t>
            </w:r>
            <w:r>
              <w:rPr>
                <w:rFonts w:hint="eastAsia" w:ascii="宋体" w:hAnsi="宋体" w:cs="宋体"/>
                <w:kern w:val="0"/>
                <w:sz w:val="22"/>
                <w:szCs w:val="22"/>
              </w:rPr>
              <w:t>小时内修复。校园宽带业务障碍每单超时，扣</w:t>
            </w:r>
            <w:r>
              <w:rPr>
                <w:rFonts w:ascii="宋体" w:hAnsi="宋体" w:cs="宋体"/>
                <w:kern w:val="0"/>
                <w:sz w:val="22"/>
                <w:szCs w:val="22"/>
              </w:rPr>
              <w:t>1</w:t>
            </w:r>
            <w:r>
              <w:rPr>
                <w:rFonts w:hint="eastAsia" w:ascii="宋体" w:hAnsi="宋体" w:cs="宋体"/>
                <w:kern w:val="0"/>
                <w:sz w:val="22"/>
                <w:szCs w:val="22"/>
              </w:rPr>
              <w:t>分，扣</w:t>
            </w:r>
            <w:r>
              <w:rPr>
                <w:rFonts w:ascii="宋体" w:hAnsi="宋体" w:cs="宋体"/>
                <w:kern w:val="0"/>
                <w:sz w:val="22"/>
                <w:szCs w:val="22"/>
              </w:rPr>
              <w:t>200</w:t>
            </w:r>
            <w:r>
              <w:rPr>
                <w:rFonts w:hint="eastAsia" w:ascii="宋体" w:hAnsi="宋体" w:cs="宋体"/>
                <w:kern w:val="0"/>
                <w:sz w:val="22"/>
                <w:szCs w:val="22"/>
              </w:rPr>
              <w:t>元。</w:t>
            </w:r>
          </w:p>
        </w:tc>
        <w:tc>
          <w:tcPr>
            <w:tcW w:w="90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kern w:val="0"/>
                <w:sz w:val="22"/>
              </w:rPr>
            </w:pPr>
          </w:p>
        </w:tc>
        <w:tc>
          <w:tcPr>
            <w:tcW w:w="900" w:type="dxa"/>
            <w:vMerge w:val="continue"/>
            <w:tcBorders>
              <w:left w:val="single" w:color="auto" w:sz="4" w:space="0"/>
              <w:right w:val="single" w:color="auto" w:sz="4" w:space="0"/>
            </w:tcBorders>
          </w:tcPr>
          <w:p>
            <w:pPr>
              <w:widowControl/>
              <w:jc w:val="left"/>
              <w:rPr>
                <w:rFonts w:ascii="宋体"/>
                <w:kern w:val="0"/>
                <w:sz w:val="22"/>
              </w:rPr>
            </w:pPr>
          </w:p>
        </w:tc>
        <w:tc>
          <w:tcPr>
            <w:tcW w:w="900" w:type="dxa"/>
            <w:tcBorders>
              <w:top w:val="single" w:color="auto" w:sz="4" w:space="0"/>
              <w:left w:val="single" w:color="auto" w:sz="4" w:space="0"/>
              <w:bottom w:val="single" w:color="auto" w:sz="4" w:space="0"/>
              <w:right w:val="single" w:color="auto" w:sz="4" w:space="0"/>
            </w:tcBorders>
          </w:tcPr>
          <w:p>
            <w:pPr>
              <w:widowControl/>
              <w:jc w:val="left"/>
              <w:rPr>
                <w:rFonts w:ascii="宋体"/>
                <w:kern w:val="0"/>
                <w:sz w:val="22"/>
              </w:rPr>
            </w:pPr>
          </w:p>
        </w:tc>
      </w:tr>
      <w:tr>
        <w:tblPrEx>
          <w:tblCellMar>
            <w:top w:w="0" w:type="dxa"/>
            <w:left w:w="108" w:type="dxa"/>
            <w:bottom w:w="0" w:type="dxa"/>
            <w:right w:w="108" w:type="dxa"/>
          </w:tblCellMar>
        </w:tblPrEx>
        <w:trPr>
          <w:trHeight w:val="1350" w:hRule="atLeast"/>
        </w:trPr>
        <w:tc>
          <w:tcPr>
            <w:tcW w:w="900" w:type="dxa"/>
            <w:vMerge w:val="continue"/>
            <w:tcBorders>
              <w:top w:val="nil"/>
              <w:left w:val="single" w:color="auto" w:sz="8" w:space="0"/>
              <w:bottom w:val="single" w:color="auto" w:sz="4" w:space="0"/>
              <w:right w:val="single" w:color="auto" w:sz="4" w:space="0"/>
            </w:tcBorders>
            <w:vAlign w:val="center"/>
          </w:tcPr>
          <w:p>
            <w:pPr>
              <w:widowControl/>
              <w:jc w:val="left"/>
              <w:rPr>
                <w:rFonts w:ascii="宋体"/>
                <w:b/>
                <w:bCs/>
                <w:kern w:val="0"/>
                <w:sz w:val="22"/>
              </w:rPr>
            </w:pPr>
          </w:p>
        </w:tc>
        <w:tc>
          <w:tcPr>
            <w:tcW w:w="1440" w:type="dxa"/>
            <w:tcBorders>
              <w:top w:val="nil"/>
              <w:left w:val="nil"/>
              <w:bottom w:val="single" w:color="auto" w:sz="4" w:space="0"/>
              <w:right w:val="single" w:color="auto" w:sz="4" w:space="0"/>
            </w:tcBorders>
            <w:vAlign w:val="center"/>
          </w:tcPr>
          <w:p>
            <w:pPr>
              <w:widowControl/>
              <w:jc w:val="center"/>
              <w:rPr>
                <w:rFonts w:ascii="宋体"/>
                <w:kern w:val="0"/>
                <w:sz w:val="22"/>
              </w:rPr>
            </w:pPr>
            <w:r>
              <w:rPr>
                <w:rFonts w:hint="eastAsia" w:ascii="宋体" w:hAnsi="宋体" w:cs="宋体"/>
                <w:kern w:val="0"/>
                <w:sz w:val="22"/>
                <w:szCs w:val="22"/>
              </w:rPr>
              <w:t>投诉</w:t>
            </w:r>
          </w:p>
        </w:tc>
        <w:tc>
          <w:tcPr>
            <w:tcW w:w="5220" w:type="dxa"/>
            <w:tcBorders>
              <w:top w:val="nil"/>
              <w:left w:val="nil"/>
              <w:bottom w:val="single" w:color="auto" w:sz="4" w:space="0"/>
              <w:right w:val="single" w:color="auto" w:sz="4" w:space="0"/>
            </w:tcBorders>
            <w:vAlign w:val="center"/>
          </w:tcPr>
          <w:p>
            <w:pPr>
              <w:widowControl/>
              <w:jc w:val="left"/>
              <w:rPr>
                <w:rFonts w:ascii="宋体"/>
                <w:kern w:val="0"/>
                <w:sz w:val="22"/>
              </w:rPr>
            </w:pPr>
            <w:r>
              <w:rPr>
                <w:rFonts w:hint="eastAsia" w:ascii="宋体" w:hAnsi="宋体" w:cs="宋体"/>
                <w:kern w:val="0"/>
                <w:sz w:val="22"/>
                <w:szCs w:val="22"/>
              </w:rPr>
              <w:t>投诉到学院信息服务热线或运营商热线，经查属维护原因，每件扣</w:t>
            </w:r>
            <w:r>
              <w:rPr>
                <w:rFonts w:ascii="宋体" w:hAnsi="宋体" w:cs="宋体"/>
                <w:kern w:val="0"/>
                <w:sz w:val="22"/>
                <w:szCs w:val="22"/>
              </w:rPr>
              <w:t>1</w:t>
            </w:r>
            <w:r>
              <w:rPr>
                <w:rFonts w:hint="eastAsia" w:ascii="宋体" w:hAnsi="宋体" w:cs="宋体"/>
                <w:kern w:val="0"/>
                <w:sz w:val="22"/>
                <w:szCs w:val="22"/>
              </w:rPr>
              <w:t>分，扣</w:t>
            </w:r>
            <w:r>
              <w:rPr>
                <w:rFonts w:ascii="宋体" w:hAnsi="宋体" w:cs="宋体"/>
                <w:kern w:val="0"/>
                <w:sz w:val="22"/>
                <w:szCs w:val="22"/>
              </w:rPr>
              <w:t>200</w:t>
            </w:r>
            <w:r>
              <w:rPr>
                <w:rFonts w:hint="eastAsia" w:ascii="宋体" w:hAnsi="宋体" w:cs="宋体"/>
                <w:kern w:val="0"/>
                <w:sz w:val="22"/>
                <w:szCs w:val="22"/>
              </w:rPr>
              <w:t>元；投诉到上级监管部门，经查属维护原因，每件扣</w:t>
            </w:r>
            <w:r>
              <w:rPr>
                <w:rFonts w:ascii="宋体" w:hAnsi="宋体" w:cs="宋体"/>
                <w:kern w:val="0"/>
                <w:sz w:val="22"/>
                <w:szCs w:val="22"/>
              </w:rPr>
              <w:t>2</w:t>
            </w:r>
            <w:r>
              <w:rPr>
                <w:rFonts w:hint="eastAsia" w:ascii="宋体" w:hAnsi="宋体" w:cs="宋体"/>
                <w:kern w:val="0"/>
                <w:sz w:val="22"/>
                <w:szCs w:val="22"/>
              </w:rPr>
              <w:t>分，扣</w:t>
            </w:r>
            <w:r>
              <w:rPr>
                <w:rFonts w:ascii="宋体" w:hAnsi="宋体" w:cs="宋体"/>
                <w:kern w:val="0"/>
                <w:sz w:val="22"/>
                <w:szCs w:val="22"/>
              </w:rPr>
              <w:t>500</w:t>
            </w:r>
            <w:r>
              <w:rPr>
                <w:rFonts w:hint="eastAsia" w:ascii="宋体" w:hAnsi="宋体" w:cs="宋体"/>
                <w:kern w:val="0"/>
                <w:sz w:val="22"/>
                <w:szCs w:val="22"/>
              </w:rPr>
              <w:t>元；投诉到媒体，造成不良影响，经查维护原因，扣</w:t>
            </w:r>
            <w:r>
              <w:rPr>
                <w:rFonts w:ascii="宋体" w:hAnsi="宋体" w:cs="宋体"/>
                <w:kern w:val="0"/>
                <w:sz w:val="22"/>
                <w:szCs w:val="22"/>
              </w:rPr>
              <w:t>4</w:t>
            </w:r>
            <w:r>
              <w:rPr>
                <w:rFonts w:hint="eastAsia" w:ascii="宋体" w:hAnsi="宋体" w:cs="宋体"/>
                <w:kern w:val="0"/>
                <w:sz w:val="22"/>
                <w:szCs w:val="22"/>
              </w:rPr>
              <w:t>分，视情节轻重，扣</w:t>
            </w:r>
            <w:r>
              <w:rPr>
                <w:rFonts w:ascii="宋体" w:hAnsi="宋体" w:cs="宋体"/>
                <w:kern w:val="0"/>
                <w:sz w:val="22"/>
                <w:szCs w:val="22"/>
              </w:rPr>
              <w:t>1000-5000</w:t>
            </w:r>
            <w:r>
              <w:rPr>
                <w:rFonts w:hint="eastAsia" w:ascii="宋体" w:hAnsi="宋体" w:cs="宋体"/>
                <w:kern w:val="0"/>
                <w:sz w:val="22"/>
                <w:szCs w:val="22"/>
              </w:rPr>
              <w:t>元。</w:t>
            </w:r>
          </w:p>
        </w:tc>
        <w:tc>
          <w:tcPr>
            <w:tcW w:w="90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kern w:val="0"/>
                <w:sz w:val="22"/>
              </w:rPr>
            </w:pPr>
          </w:p>
        </w:tc>
        <w:tc>
          <w:tcPr>
            <w:tcW w:w="900" w:type="dxa"/>
            <w:vMerge w:val="continue"/>
            <w:tcBorders>
              <w:left w:val="single" w:color="auto" w:sz="4" w:space="0"/>
              <w:right w:val="single" w:color="auto" w:sz="4" w:space="0"/>
            </w:tcBorders>
          </w:tcPr>
          <w:p>
            <w:pPr>
              <w:widowControl/>
              <w:jc w:val="left"/>
              <w:rPr>
                <w:rFonts w:ascii="宋体"/>
                <w:kern w:val="0"/>
                <w:sz w:val="22"/>
              </w:rPr>
            </w:pPr>
          </w:p>
        </w:tc>
        <w:tc>
          <w:tcPr>
            <w:tcW w:w="900" w:type="dxa"/>
            <w:tcBorders>
              <w:top w:val="single" w:color="auto" w:sz="4" w:space="0"/>
              <w:left w:val="single" w:color="auto" w:sz="4" w:space="0"/>
              <w:bottom w:val="single" w:color="auto" w:sz="4" w:space="0"/>
              <w:right w:val="single" w:color="auto" w:sz="4" w:space="0"/>
            </w:tcBorders>
          </w:tcPr>
          <w:p>
            <w:pPr>
              <w:widowControl/>
              <w:jc w:val="left"/>
              <w:rPr>
                <w:rFonts w:ascii="宋体"/>
                <w:kern w:val="0"/>
                <w:sz w:val="22"/>
              </w:rPr>
            </w:pPr>
          </w:p>
        </w:tc>
      </w:tr>
      <w:tr>
        <w:tblPrEx>
          <w:tblCellMar>
            <w:top w:w="0" w:type="dxa"/>
            <w:left w:w="108" w:type="dxa"/>
            <w:bottom w:w="0" w:type="dxa"/>
            <w:right w:w="108" w:type="dxa"/>
          </w:tblCellMar>
        </w:tblPrEx>
        <w:trPr>
          <w:trHeight w:val="2160" w:hRule="atLeast"/>
        </w:trPr>
        <w:tc>
          <w:tcPr>
            <w:tcW w:w="900" w:type="dxa"/>
            <w:vMerge w:val="continue"/>
            <w:tcBorders>
              <w:top w:val="nil"/>
              <w:left w:val="single" w:color="auto" w:sz="8" w:space="0"/>
              <w:bottom w:val="single" w:color="auto" w:sz="4" w:space="0"/>
              <w:right w:val="single" w:color="auto" w:sz="4" w:space="0"/>
            </w:tcBorders>
            <w:vAlign w:val="center"/>
          </w:tcPr>
          <w:p>
            <w:pPr>
              <w:widowControl/>
              <w:jc w:val="left"/>
              <w:rPr>
                <w:rFonts w:ascii="宋体"/>
                <w:b/>
                <w:bCs/>
                <w:kern w:val="0"/>
                <w:sz w:val="22"/>
              </w:rPr>
            </w:pPr>
          </w:p>
        </w:tc>
        <w:tc>
          <w:tcPr>
            <w:tcW w:w="1440" w:type="dxa"/>
            <w:tcBorders>
              <w:top w:val="nil"/>
              <w:left w:val="nil"/>
              <w:bottom w:val="single" w:color="auto" w:sz="4" w:space="0"/>
              <w:right w:val="single" w:color="auto" w:sz="4" w:space="0"/>
            </w:tcBorders>
            <w:vAlign w:val="center"/>
          </w:tcPr>
          <w:p>
            <w:pPr>
              <w:widowControl/>
              <w:jc w:val="center"/>
              <w:rPr>
                <w:rFonts w:ascii="宋体"/>
                <w:kern w:val="0"/>
                <w:sz w:val="22"/>
              </w:rPr>
            </w:pPr>
            <w:r>
              <w:rPr>
                <w:rFonts w:hint="eastAsia" w:ascii="宋体" w:hAnsi="宋体" w:cs="宋体"/>
                <w:kern w:val="0"/>
                <w:sz w:val="22"/>
                <w:szCs w:val="22"/>
              </w:rPr>
              <w:t>服务质量分析</w:t>
            </w:r>
          </w:p>
        </w:tc>
        <w:tc>
          <w:tcPr>
            <w:tcW w:w="5220" w:type="dxa"/>
            <w:tcBorders>
              <w:top w:val="nil"/>
              <w:left w:val="nil"/>
              <w:bottom w:val="single" w:color="auto" w:sz="4" w:space="0"/>
              <w:right w:val="single" w:color="auto" w:sz="4" w:space="0"/>
            </w:tcBorders>
            <w:vAlign w:val="center"/>
          </w:tcPr>
          <w:p>
            <w:pPr>
              <w:widowControl/>
              <w:jc w:val="left"/>
              <w:rPr>
                <w:rFonts w:ascii="宋体"/>
                <w:kern w:val="0"/>
                <w:sz w:val="22"/>
              </w:rPr>
            </w:pPr>
            <w:r>
              <w:rPr>
                <w:rFonts w:hint="eastAsia" w:ascii="宋体" w:hAnsi="宋体" w:cs="宋体"/>
                <w:kern w:val="0"/>
                <w:sz w:val="22"/>
                <w:szCs w:val="22"/>
              </w:rPr>
              <w:t>代维站每月</w:t>
            </w:r>
            <w:r>
              <w:rPr>
                <w:rFonts w:ascii="宋体" w:hAnsi="宋体" w:cs="宋体"/>
                <w:kern w:val="0"/>
                <w:sz w:val="22"/>
                <w:szCs w:val="22"/>
              </w:rPr>
              <w:t>5</w:t>
            </w:r>
            <w:r>
              <w:rPr>
                <w:rFonts w:hint="eastAsia" w:ascii="宋体" w:hAnsi="宋体" w:cs="宋体"/>
                <w:kern w:val="0"/>
                <w:sz w:val="22"/>
                <w:szCs w:val="22"/>
              </w:rPr>
              <w:t>日前举行服务质量进行分析会议，会议内容包含指标分析、投诉处理情况、故障分析情况、存在的问题及整改措施和下月的工作计划。检查会议记录，没有举行会议扣</w:t>
            </w:r>
            <w:r>
              <w:rPr>
                <w:rFonts w:ascii="宋体" w:hAnsi="宋体" w:cs="宋体"/>
                <w:kern w:val="0"/>
                <w:sz w:val="22"/>
                <w:szCs w:val="22"/>
              </w:rPr>
              <w:t>8</w:t>
            </w:r>
            <w:r>
              <w:rPr>
                <w:rFonts w:hint="eastAsia" w:ascii="宋体" w:hAnsi="宋体" w:cs="宋体"/>
                <w:kern w:val="0"/>
                <w:sz w:val="22"/>
                <w:szCs w:val="22"/>
              </w:rPr>
              <w:t>分，会议内容少一项扣</w:t>
            </w:r>
            <w:r>
              <w:rPr>
                <w:rFonts w:ascii="宋体" w:hAnsi="宋体" w:cs="宋体"/>
                <w:kern w:val="0"/>
                <w:sz w:val="22"/>
                <w:szCs w:val="22"/>
              </w:rPr>
              <w:t>2</w:t>
            </w:r>
            <w:r>
              <w:rPr>
                <w:rFonts w:hint="eastAsia" w:ascii="宋体" w:hAnsi="宋体" w:cs="宋体"/>
                <w:kern w:val="0"/>
                <w:sz w:val="22"/>
                <w:szCs w:val="22"/>
              </w:rPr>
              <w:t>分，分析不具体或没有分析到重点视情况扣</w:t>
            </w:r>
            <w:r>
              <w:rPr>
                <w:rFonts w:ascii="宋体" w:hAnsi="宋体" w:cs="宋体"/>
                <w:kern w:val="0"/>
                <w:sz w:val="22"/>
                <w:szCs w:val="22"/>
              </w:rPr>
              <w:t>1</w:t>
            </w:r>
            <w:r>
              <w:rPr>
                <w:rFonts w:hint="eastAsia" w:ascii="宋体" w:hAnsi="宋体" w:cs="宋体"/>
                <w:kern w:val="0"/>
                <w:sz w:val="22"/>
                <w:szCs w:val="22"/>
              </w:rPr>
              <w:t>至</w:t>
            </w:r>
            <w:r>
              <w:rPr>
                <w:rFonts w:ascii="宋体" w:hAnsi="宋体" w:cs="宋体"/>
                <w:kern w:val="0"/>
                <w:sz w:val="22"/>
                <w:szCs w:val="22"/>
              </w:rPr>
              <w:t>4</w:t>
            </w:r>
            <w:r>
              <w:rPr>
                <w:rFonts w:hint="eastAsia" w:ascii="宋体" w:hAnsi="宋体" w:cs="宋体"/>
                <w:kern w:val="0"/>
                <w:sz w:val="22"/>
                <w:szCs w:val="22"/>
              </w:rPr>
              <w:t>分。服务满意度不得低于</w:t>
            </w:r>
            <w:r>
              <w:rPr>
                <w:rFonts w:ascii="宋体" w:hAnsi="宋体" w:cs="宋体"/>
                <w:kern w:val="0"/>
                <w:sz w:val="22"/>
                <w:szCs w:val="22"/>
              </w:rPr>
              <w:t>92</w:t>
            </w:r>
            <w:r>
              <w:rPr>
                <w:rFonts w:hint="eastAsia" w:ascii="宋体" w:hAnsi="宋体" w:cs="宋体"/>
                <w:kern w:val="0"/>
                <w:sz w:val="22"/>
                <w:szCs w:val="22"/>
              </w:rPr>
              <w:t>分，高于</w:t>
            </w:r>
            <w:r>
              <w:rPr>
                <w:rFonts w:ascii="宋体" w:hAnsi="宋体" w:cs="宋体"/>
                <w:kern w:val="0"/>
                <w:sz w:val="22"/>
                <w:szCs w:val="22"/>
              </w:rPr>
              <w:t>87</w:t>
            </w:r>
            <w:r>
              <w:rPr>
                <w:rFonts w:hint="eastAsia" w:ascii="宋体" w:hAnsi="宋体" w:cs="宋体"/>
                <w:kern w:val="0"/>
                <w:sz w:val="22"/>
                <w:szCs w:val="22"/>
              </w:rPr>
              <w:t>分（含</w:t>
            </w:r>
            <w:r>
              <w:rPr>
                <w:rFonts w:ascii="宋体" w:hAnsi="宋体" w:cs="宋体"/>
                <w:kern w:val="0"/>
                <w:sz w:val="22"/>
                <w:szCs w:val="22"/>
              </w:rPr>
              <w:t>85</w:t>
            </w:r>
            <w:r>
              <w:rPr>
                <w:rFonts w:hint="eastAsia" w:ascii="宋体" w:hAnsi="宋体" w:cs="宋体"/>
                <w:kern w:val="0"/>
                <w:sz w:val="22"/>
                <w:szCs w:val="22"/>
              </w:rPr>
              <w:t>分）低于</w:t>
            </w:r>
            <w:r>
              <w:rPr>
                <w:rFonts w:ascii="宋体" w:hAnsi="宋体" w:cs="宋体"/>
                <w:kern w:val="0"/>
                <w:sz w:val="22"/>
                <w:szCs w:val="22"/>
              </w:rPr>
              <w:t>92</w:t>
            </w:r>
            <w:r>
              <w:rPr>
                <w:rFonts w:hint="eastAsia" w:ascii="宋体" w:hAnsi="宋体" w:cs="宋体"/>
                <w:kern w:val="0"/>
                <w:sz w:val="22"/>
                <w:szCs w:val="22"/>
              </w:rPr>
              <w:t>分每低</w:t>
            </w:r>
            <w:r>
              <w:rPr>
                <w:rFonts w:ascii="宋体" w:hAnsi="宋体" w:cs="宋体"/>
                <w:kern w:val="0"/>
                <w:sz w:val="22"/>
                <w:szCs w:val="22"/>
              </w:rPr>
              <w:t>0.2</w:t>
            </w:r>
            <w:r>
              <w:rPr>
                <w:rFonts w:hint="eastAsia" w:ascii="宋体" w:hAnsi="宋体" w:cs="宋体"/>
                <w:kern w:val="0"/>
                <w:sz w:val="22"/>
                <w:szCs w:val="22"/>
              </w:rPr>
              <w:t>分扣</w:t>
            </w:r>
            <w:r>
              <w:rPr>
                <w:rFonts w:ascii="宋体" w:hAnsi="宋体" w:cs="宋体"/>
                <w:kern w:val="0"/>
                <w:sz w:val="22"/>
                <w:szCs w:val="22"/>
              </w:rPr>
              <w:t>100</w:t>
            </w:r>
            <w:r>
              <w:rPr>
                <w:rFonts w:hint="eastAsia" w:ascii="宋体" w:hAnsi="宋体" w:cs="宋体"/>
                <w:kern w:val="0"/>
                <w:sz w:val="22"/>
                <w:szCs w:val="22"/>
              </w:rPr>
              <w:t>元，低于</w:t>
            </w:r>
            <w:r>
              <w:rPr>
                <w:rFonts w:ascii="宋体" w:hAnsi="宋体" w:cs="宋体"/>
                <w:kern w:val="0"/>
                <w:sz w:val="22"/>
                <w:szCs w:val="22"/>
              </w:rPr>
              <w:t>87</w:t>
            </w:r>
            <w:r>
              <w:rPr>
                <w:rFonts w:hint="eastAsia" w:ascii="宋体" w:hAnsi="宋体" w:cs="宋体"/>
                <w:kern w:val="0"/>
                <w:sz w:val="22"/>
                <w:szCs w:val="22"/>
              </w:rPr>
              <w:t>分每低</w:t>
            </w:r>
            <w:r>
              <w:rPr>
                <w:rFonts w:ascii="宋体" w:hAnsi="宋体" w:cs="宋体"/>
                <w:kern w:val="0"/>
                <w:sz w:val="22"/>
                <w:szCs w:val="22"/>
              </w:rPr>
              <w:t>0.2</w:t>
            </w:r>
            <w:r>
              <w:rPr>
                <w:rFonts w:hint="eastAsia" w:ascii="宋体" w:hAnsi="宋体" w:cs="宋体"/>
                <w:kern w:val="0"/>
                <w:sz w:val="22"/>
                <w:szCs w:val="22"/>
              </w:rPr>
              <w:t>分扣</w:t>
            </w:r>
            <w:r>
              <w:rPr>
                <w:rFonts w:ascii="宋体" w:hAnsi="宋体" w:cs="宋体"/>
                <w:kern w:val="0"/>
                <w:sz w:val="22"/>
                <w:szCs w:val="22"/>
              </w:rPr>
              <w:t>200</w:t>
            </w:r>
            <w:r>
              <w:rPr>
                <w:rFonts w:hint="eastAsia" w:ascii="宋体" w:hAnsi="宋体" w:cs="宋体"/>
                <w:kern w:val="0"/>
                <w:sz w:val="22"/>
                <w:szCs w:val="22"/>
              </w:rPr>
              <w:t>元。</w:t>
            </w:r>
          </w:p>
        </w:tc>
        <w:tc>
          <w:tcPr>
            <w:tcW w:w="90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kern w:val="0"/>
                <w:sz w:val="22"/>
              </w:rPr>
            </w:pPr>
          </w:p>
        </w:tc>
        <w:tc>
          <w:tcPr>
            <w:tcW w:w="900" w:type="dxa"/>
            <w:vMerge w:val="continue"/>
            <w:tcBorders>
              <w:left w:val="single" w:color="auto" w:sz="4" w:space="0"/>
              <w:bottom w:val="single" w:color="000000" w:sz="4" w:space="0"/>
              <w:right w:val="single" w:color="auto" w:sz="4" w:space="0"/>
            </w:tcBorders>
          </w:tcPr>
          <w:p>
            <w:pPr>
              <w:widowControl/>
              <w:jc w:val="left"/>
              <w:rPr>
                <w:rFonts w:ascii="宋体"/>
                <w:kern w:val="0"/>
                <w:sz w:val="22"/>
              </w:rPr>
            </w:pPr>
          </w:p>
        </w:tc>
        <w:tc>
          <w:tcPr>
            <w:tcW w:w="900" w:type="dxa"/>
            <w:tcBorders>
              <w:top w:val="single" w:color="auto" w:sz="4" w:space="0"/>
              <w:left w:val="single" w:color="auto" w:sz="4" w:space="0"/>
              <w:bottom w:val="single" w:color="auto" w:sz="4" w:space="0"/>
              <w:right w:val="single" w:color="auto" w:sz="4" w:space="0"/>
            </w:tcBorders>
          </w:tcPr>
          <w:p>
            <w:pPr>
              <w:widowControl/>
              <w:jc w:val="left"/>
              <w:rPr>
                <w:rFonts w:ascii="宋体"/>
                <w:kern w:val="0"/>
                <w:sz w:val="22"/>
              </w:rPr>
            </w:pPr>
          </w:p>
        </w:tc>
      </w:tr>
      <w:tr>
        <w:tblPrEx>
          <w:tblCellMar>
            <w:top w:w="0" w:type="dxa"/>
            <w:left w:w="108" w:type="dxa"/>
            <w:bottom w:w="0" w:type="dxa"/>
            <w:right w:w="108" w:type="dxa"/>
          </w:tblCellMar>
        </w:tblPrEx>
        <w:trPr>
          <w:trHeight w:val="810" w:hRule="atLeast"/>
        </w:trPr>
        <w:tc>
          <w:tcPr>
            <w:tcW w:w="900" w:type="dxa"/>
            <w:vMerge w:val="restart"/>
            <w:tcBorders>
              <w:top w:val="nil"/>
              <w:left w:val="single" w:color="auto" w:sz="8" w:space="0"/>
              <w:bottom w:val="single" w:color="auto" w:sz="4" w:space="0"/>
              <w:right w:val="single" w:color="auto" w:sz="4" w:space="0"/>
            </w:tcBorders>
            <w:vAlign w:val="center"/>
          </w:tcPr>
          <w:p>
            <w:pPr>
              <w:widowControl/>
              <w:jc w:val="center"/>
              <w:rPr>
                <w:rFonts w:ascii="宋体"/>
                <w:b/>
                <w:bCs/>
                <w:kern w:val="0"/>
                <w:sz w:val="22"/>
              </w:rPr>
            </w:pPr>
            <w:r>
              <w:rPr>
                <w:rFonts w:hint="eastAsia" w:ascii="宋体" w:hAnsi="宋体" w:cs="宋体"/>
                <w:b/>
                <w:bCs/>
                <w:kern w:val="0"/>
                <w:sz w:val="22"/>
                <w:szCs w:val="22"/>
              </w:rPr>
              <w:t>日常工作管理</w:t>
            </w:r>
          </w:p>
        </w:tc>
        <w:tc>
          <w:tcPr>
            <w:tcW w:w="1440" w:type="dxa"/>
            <w:tcBorders>
              <w:top w:val="nil"/>
              <w:left w:val="nil"/>
              <w:bottom w:val="single" w:color="auto" w:sz="4" w:space="0"/>
              <w:right w:val="single" w:color="auto" w:sz="4" w:space="0"/>
            </w:tcBorders>
            <w:vAlign w:val="center"/>
          </w:tcPr>
          <w:p>
            <w:pPr>
              <w:widowControl/>
              <w:jc w:val="center"/>
              <w:rPr>
                <w:rFonts w:ascii="宋体"/>
                <w:kern w:val="0"/>
                <w:sz w:val="22"/>
              </w:rPr>
            </w:pPr>
            <w:r>
              <w:rPr>
                <w:rFonts w:hint="eastAsia" w:ascii="宋体" w:hAnsi="宋体" w:cs="宋体"/>
                <w:kern w:val="0"/>
                <w:sz w:val="22"/>
                <w:szCs w:val="22"/>
              </w:rPr>
              <w:t>机线资源管理</w:t>
            </w:r>
          </w:p>
        </w:tc>
        <w:tc>
          <w:tcPr>
            <w:tcW w:w="5220" w:type="dxa"/>
            <w:tcBorders>
              <w:top w:val="nil"/>
              <w:left w:val="nil"/>
              <w:bottom w:val="single" w:color="auto" w:sz="4" w:space="0"/>
              <w:right w:val="single" w:color="auto" w:sz="4" w:space="0"/>
            </w:tcBorders>
            <w:vAlign w:val="center"/>
          </w:tcPr>
          <w:p>
            <w:pPr>
              <w:widowControl/>
              <w:jc w:val="left"/>
              <w:rPr>
                <w:rFonts w:ascii="宋体"/>
                <w:kern w:val="0"/>
                <w:sz w:val="22"/>
              </w:rPr>
            </w:pPr>
            <w:r>
              <w:rPr>
                <w:rFonts w:hint="eastAsia" w:ascii="宋体" w:hAnsi="宋体" w:cs="宋体"/>
                <w:kern w:val="0"/>
                <w:sz w:val="22"/>
                <w:szCs w:val="22"/>
              </w:rPr>
              <w:t>机线资料管理按照学院要求做好资源管理平台，日常维护管理不规范，资料不全、不准确，更改不及时、反单不及时，不符分公司维护管理要求的，每处扣</w:t>
            </w:r>
            <w:r>
              <w:rPr>
                <w:rFonts w:ascii="宋体" w:hAnsi="宋体" w:cs="宋体"/>
                <w:kern w:val="0"/>
                <w:sz w:val="22"/>
                <w:szCs w:val="22"/>
              </w:rPr>
              <w:t>100</w:t>
            </w:r>
            <w:r>
              <w:rPr>
                <w:rFonts w:hint="eastAsia" w:ascii="宋体" w:hAnsi="宋体" w:cs="宋体"/>
                <w:kern w:val="0"/>
                <w:sz w:val="22"/>
                <w:szCs w:val="22"/>
              </w:rPr>
              <w:t>元。</w:t>
            </w:r>
          </w:p>
        </w:tc>
        <w:tc>
          <w:tcPr>
            <w:tcW w:w="900" w:type="dxa"/>
            <w:vMerge w:val="restart"/>
            <w:tcBorders>
              <w:top w:val="nil"/>
              <w:left w:val="single" w:color="auto" w:sz="4" w:space="0"/>
              <w:bottom w:val="single" w:color="000000" w:sz="4" w:space="0"/>
              <w:right w:val="single" w:color="auto" w:sz="4" w:space="0"/>
            </w:tcBorders>
            <w:vAlign w:val="center"/>
          </w:tcPr>
          <w:p>
            <w:pPr>
              <w:widowControl/>
              <w:jc w:val="center"/>
              <w:rPr>
                <w:rFonts w:ascii="宋体"/>
                <w:kern w:val="0"/>
                <w:sz w:val="22"/>
              </w:rPr>
            </w:pPr>
            <w:r>
              <w:rPr>
                <w:rFonts w:ascii="宋体" w:hAnsi="宋体" w:cs="宋体"/>
                <w:kern w:val="0"/>
                <w:sz w:val="22"/>
                <w:szCs w:val="22"/>
              </w:rPr>
              <w:t>40</w:t>
            </w:r>
          </w:p>
        </w:tc>
        <w:tc>
          <w:tcPr>
            <w:tcW w:w="900" w:type="dxa"/>
            <w:vMerge w:val="restart"/>
            <w:tcBorders>
              <w:top w:val="nil"/>
              <w:left w:val="single" w:color="auto" w:sz="4" w:space="0"/>
              <w:right w:val="single" w:color="auto" w:sz="4" w:space="0"/>
            </w:tcBorders>
            <w:vAlign w:val="center"/>
          </w:tcPr>
          <w:p>
            <w:pPr>
              <w:widowControl/>
              <w:jc w:val="center"/>
              <w:rPr>
                <w:rFonts w:hint="default" w:ascii="宋体" w:hAnsi="宋体" w:eastAsia="宋体" w:cs="宋体"/>
                <w:kern w:val="0"/>
                <w:sz w:val="22"/>
                <w:lang w:val="en-US" w:eastAsia="zh-CN"/>
              </w:rPr>
            </w:pPr>
            <w:r>
              <w:rPr>
                <w:rFonts w:hint="eastAsia" w:ascii="宋体" w:hAnsi="宋体" w:cs="宋体"/>
                <w:kern w:val="0"/>
                <w:sz w:val="22"/>
                <w:szCs w:val="22"/>
                <w:lang w:val="en-US" w:eastAsia="zh-CN"/>
              </w:rPr>
              <w:t>40</w:t>
            </w:r>
          </w:p>
        </w:tc>
        <w:tc>
          <w:tcPr>
            <w:tcW w:w="900"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cs="宋体"/>
                <w:kern w:val="0"/>
                <w:sz w:val="22"/>
                <w:szCs w:val="22"/>
              </w:rPr>
            </w:pPr>
          </w:p>
        </w:tc>
      </w:tr>
      <w:tr>
        <w:tblPrEx>
          <w:tblCellMar>
            <w:top w:w="0" w:type="dxa"/>
            <w:left w:w="108" w:type="dxa"/>
            <w:bottom w:w="0" w:type="dxa"/>
            <w:right w:w="108" w:type="dxa"/>
          </w:tblCellMar>
        </w:tblPrEx>
        <w:trPr>
          <w:trHeight w:val="1620" w:hRule="atLeast"/>
        </w:trPr>
        <w:tc>
          <w:tcPr>
            <w:tcW w:w="900" w:type="dxa"/>
            <w:vMerge w:val="continue"/>
            <w:tcBorders>
              <w:top w:val="nil"/>
              <w:left w:val="single" w:color="auto" w:sz="8" w:space="0"/>
              <w:bottom w:val="single" w:color="auto" w:sz="4" w:space="0"/>
              <w:right w:val="single" w:color="auto" w:sz="4" w:space="0"/>
            </w:tcBorders>
            <w:vAlign w:val="center"/>
          </w:tcPr>
          <w:p>
            <w:pPr>
              <w:widowControl/>
              <w:jc w:val="left"/>
              <w:rPr>
                <w:rFonts w:ascii="宋体"/>
                <w:b/>
                <w:bCs/>
                <w:kern w:val="0"/>
                <w:sz w:val="22"/>
              </w:rPr>
            </w:pPr>
          </w:p>
        </w:tc>
        <w:tc>
          <w:tcPr>
            <w:tcW w:w="1440" w:type="dxa"/>
            <w:tcBorders>
              <w:top w:val="nil"/>
              <w:left w:val="nil"/>
              <w:bottom w:val="single" w:color="auto" w:sz="4" w:space="0"/>
              <w:right w:val="single" w:color="auto" w:sz="4" w:space="0"/>
            </w:tcBorders>
            <w:vAlign w:val="center"/>
          </w:tcPr>
          <w:p>
            <w:pPr>
              <w:widowControl/>
              <w:jc w:val="center"/>
              <w:rPr>
                <w:rFonts w:ascii="宋体"/>
                <w:kern w:val="0"/>
                <w:sz w:val="22"/>
              </w:rPr>
            </w:pPr>
            <w:r>
              <w:rPr>
                <w:rFonts w:hint="eastAsia" w:ascii="宋体" w:hAnsi="宋体" w:cs="宋体"/>
                <w:kern w:val="0"/>
                <w:sz w:val="22"/>
                <w:szCs w:val="22"/>
              </w:rPr>
              <w:t>报表管理</w:t>
            </w:r>
          </w:p>
        </w:tc>
        <w:tc>
          <w:tcPr>
            <w:tcW w:w="5220" w:type="dxa"/>
            <w:tcBorders>
              <w:top w:val="nil"/>
              <w:left w:val="nil"/>
              <w:bottom w:val="single" w:color="auto" w:sz="4" w:space="0"/>
              <w:right w:val="single" w:color="auto" w:sz="4" w:space="0"/>
            </w:tcBorders>
            <w:vAlign w:val="center"/>
          </w:tcPr>
          <w:p>
            <w:pPr>
              <w:widowControl/>
              <w:jc w:val="left"/>
              <w:rPr>
                <w:rFonts w:ascii="宋体"/>
                <w:kern w:val="0"/>
                <w:sz w:val="22"/>
              </w:rPr>
            </w:pPr>
            <w:r>
              <w:rPr>
                <w:rFonts w:hint="eastAsia" w:ascii="宋体" w:hAnsi="宋体" w:cs="宋体"/>
                <w:kern w:val="0"/>
                <w:sz w:val="22"/>
                <w:szCs w:val="22"/>
              </w:rPr>
              <w:t>每周、每月按要求规范上报周报和月报，月报中必须包括障碍分析、宽带修障及时率分析和平均修障时长，要求对每月的障碍按固话和宽带进行分类分析，并写明原因和整改措施。每次周、次月第四个工作日上报。没有上报此项不得分，分析不具体或没有分析到重点视情况扣</w:t>
            </w:r>
            <w:r>
              <w:rPr>
                <w:rFonts w:ascii="宋体" w:hAnsi="宋体" w:cs="宋体"/>
                <w:kern w:val="0"/>
                <w:sz w:val="22"/>
                <w:szCs w:val="22"/>
              </w:rPr>
              <w:t>1</w:t>
            </w:r>
            <w:r>
              <w:rPr>
                <w:rFonts w:hint="eastAsia" w:ascii="宋体" w:hAnsi="宋体" w:cs="宋体"/>
                <w:kern w:val="0"/>
                <w:sz w:val="22"/>
                <w:szCs w:val="22"/>
              </w:rPr>
              <w:t>至</w:t>
            </w:r>
            <w:r>
              <w:rPr>
                <w:rFonts w:ascii="宋体" w:hAnsi="宋体" w:cs="宋体"/>
                <w:kern w:val="0"/>
                <w:sz w:val="22"/>
                <w:szCs w:val="22"/>
              </w:rPr>
              <w:t>3</w:t>
            </w:r>
            <w:r>
              <w:rPr>
                <w:rFonts w:hint="eastAsia" w:ascii="宋体" w:hAnsi="宋体" w:cs="宋体"/>
                <w:kern w:val="0"/>
                <w:sz w:val="22"/>
                <w:szCs w:val="22"/>
              </w:rPr>
              <w:t>分，上报不及时扣</w:t>
            </w:r>
            <w:r>
              <w:rPr>
                <w:rFonts w:ascii="宋体" w:hAnsi="宋体" w:cs="宋体"/>
                <w:kern w:val="0"/>
                <w:sz w:val="22"/>
                <w:szCs w:val="22"/>
              </w:rPr>
              <w:t>2</w:t>
            </w:r>
            <w:r>
              <w:rPr>
                <w:rFonts w:hint="eastAsia" w:ascii="宋体" w:hAnsi="宋体" w:cs="宋体"/>
                <w:kern w:val="0"/>
                <w:sz w:val="22"/>
                <w:szCs w:val="22"/>
              </w:rPr>
              <w:t>分。</w:t>
            </w:r>
          </w:p>
        </w:tc>
        <w:tc>
          <w:tcPr>
            <w:tcW w:w="90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kern w:val="0"/>
                <w:sz w:val="22"/>
              </w:rPr>
            </w:pPr>
          </w:p>
        </w:tc>
        <w:tc>
          <w:tcPr>
            <w:tcW w:w="900" w:type="dxa"/>
            <w:vMerge w:val="continue"/>
            <w:tcBorders>
              <w:left w:val="single" w:color="auto" w:sz="4" w:space="0"/>
              <w:right w:val="single" w:color="auto" w:sz="4" w:space="0"/>
            </w:tcBorders>
          </w:tcPr>
          <w:p>
            <w:pPr>
              <w:widowControl/>
              <w:jc w:val="left"/>
              <w:rPr>
                <w:rFonts w:ascii="宋体"/>
                <w:kern w:val="0"/>
                <w:sz w:val="22"/>
              </w:rPr>
            </w:pPr>
          </w:p>
        </w:tc>
        <w:tc>
          <w:tcPr>
            <w:tcW w:w="900" w:type="dxa"/>
            <w:tcBorders>
              <w:top w:val="single" w:color="auto" w:sz="4" w:space="0"/>
              <w:left w:val="single" w:color="auto" w:sz="4" w:space="0"/>
              <w:bottom w:val="single" w:color="auto" w:sz="4" w:space="0"/>
              <w:right w:val="single" w:color="auto" w:sz="4" w:space="0"/>
            </w:tcBorders>
          </w:tcPr>
          <w:p>
            <w:pPr>
              <w:widowControl/>
              <w:jc w:val="left"/>
              <w:rPr>
                <w:rFonts w:ascii="宋体"/>
                <w:kern w:val="0"/>
                <w:sz w:val="22"/>
              </w:rPr>
            </w:pPr>
          </w:p>
        </w:tc>
      </w:tr>
      <w:tr>
        <w:tblPrEx>
          <w:tblCellMar>
            <w:top w:w="0" w:type="dxa"/>
            <w:left w:w="108" w:type="dxa"/>
            <w:bottom w:w="0" w:type="dxa"/>
            <w:right w:w="108" w:type="dxa"/>
          </w:tblCellMar>
        </w:tblPrEx>
        <w:trPr>
          <w:trHeight w:val="1080" w:hRule="atLeast"/>
        </w:trPr>
        <w:tc>
          <w:tcPr>
            <w:tcW w:w="900" w:type="dxa"/>
            <w:vMerge w:val="continue"/>
            <w:tcBorders>
              <w:top w:val="nil"/>
              <w:left w:val="single" w:color="auto" w:sz="8" w:space="0"/>
              <w:bottom w:val="single" w:color="auto" w:sz="4" w:space="0"/>
              <w:right w:val="single" w:color="auto" w:sz="4" w:space="0"/>
            </w:tcBorders>
            <w:vAlign w:val="center"/>
          </w:tcPr>
          <w:p>
            <w:pPr>
              <w:widowControl/>
              <w:jc w:val="left"/>
              <w:rPr>
                <w:rFonts w:ascii="宋体"/>
                <w:b/>
                <w:bCs/>
                <w:kern w:val="0"/>
                <w:sz w:val="22"/>
              </w:rPr>
            </w:pPr>
          </w:p>
        </w:tc>
        <w:tc>
          <w:tcPr>
            <w:tcW w:w="1440" w:type="dxa"/>
            <w:tcBorders>
              <w:top w:val="nil"/>
              <w:left w:val="nil"/>
              <w:bottom w:val="single" w:color="auto" w:sz="4" w:space="0"/>
              <w:right w:val="single" w:color="auto" w:sz="4" w:space="0"/>
            </w:tcBorders>
            <w:vAlign w:val="center"/>
          </w:tcPr>
          <w:p>
            <w:pPr>
              <w:widowControl/>
              <w:jc w:val="center"/>
              <w:rPr>
                <w:rFonts w:ascii="宋体"/>
                <w:kern w:val="0"/>
                <w:sz w:val="20"/>
                <w:szCs w:val="20"/>
              </w:rPr>
            </w:pPr>
            <w:r>
              <w:rPr>
                <w:rFonts w:hint="eastAsia" w:ascii="宋体" w:hAnsi="宋体" w:cs="宋体"/>
                <w:kern w:val="0"/>
                <w:sz w:val="20"/>
                <w:szCs w:val="20"/>
              </w:rPr>
              <w:t>备品备件管理</w:t>
            </w:r>
          </w:p>
        </w:tc>
        <w:tc>
          <w:tcPr>
            <w:tcW w:w="5220" w:type="dxa"/>
            <w:tcBorders>
              <w:top w:val="nil"/>
              <w:left w:val="nil"/>
              <w:bottom w:val="single" w:color="auto" w:sz="4" w:space="0"/>
              <w:right w:val="single" w:color="auto" w:sz="4" w:space="0"/>
            </w:tcBorders>
            <w:vAlign w:val="center"/>
          </w:tcPr>
          <w:p>
            <w:pPr>
              <w:widowControl/>
              <w:jc w:val="left"/>
              <w:rPr>
                <w:rFonts w:ascii="宋体"/>
                <w:kern w:val="0"/>
                <w:sz w:val="22"/>
              </w:rPr>
            </w:pPr>
            <w:r>
              <w:rPr>
                <w:rFonts w:hint="eastAsia" w:ascii="宋体" w:hAnsi="宋体" w:cs="宋体"/>
                <w:kern w:val="0"/>
                <w:sz w:val="22"/>
                <w:szCs w:val="22"/>
              </w:rPr>
              <w:t>有准确详细的存放和使用清单。维护材料保管齐全，帐实相符。维护备料申请合理及时，使用时能按需合理调度</w:t>
            </w:r>
            <w:r>
              <w:rPr>
                <w:rFonts w:ascii="宋体" w:hAnsi="宋体" w:cs="宋体"/>
                <w:kern w:val="0"/>
                <w:sz w:val="22"/>
                <w:szCs w:val="22"/>
              </w:rPr>
              <w:t xml:space="preserve">.                                       </w:t>
            </w:r>
            <w:r>
              <w:rPr>
                <w:rFonts w:hint="eastAsia" w:ascii="宋体" w:hAnsi="宋体" w:cs="宋体"/>
                <w:kern w:val="0"/>
                <w:sz w:val="22"/>
                <w:szCs w:val="22"/>
              </w:rPr>
              <w:t>更换设备送修记录。没有台帐扣</w:t>
            </w:r>
            <w:r>
              <w:rPr>
                <w:rFonts w:ascii="宋体" w:hAnsi="宋体" w:cs="宋体"/>
                <w:kern w:val="0"/>
                <w:sz w:val="22"/>
                <w:szCs w:val="22"/>
              </w:rPr>
              <w:t>10</w:t>
            </w:r>
            <w:r>
              <w:rPr>
                <w:rFonts w:hint="eastAsia" w:ascii="宋体" w:hAnsi="宋体" w:cs="宋体"/>
                <w:kern w:val="0"/>
                <w:sz w:val="22"/>
                <w:szCs w:val="22"/>
              </w:rPr>
              <w:t>分，现场检查每处错误扣</w:t>
            </w:r>
            <w:r>
              <w:rPr>
                <w:rFonts w:ascii="宋体" w:hAnsi="宋体" w:cs="宋体"/>
                <w:kern w:val="0"/>
                <w:sz w:val="22"/>
                <w:szCs w:val="22"/>
              </w:rPr>
              <w:t>0.5</w:t>
            </w:r>
            <w:r>
              <w:rPr>
                <w:rFonts w:hint="eastAsia" w:ascii="宋体" w:hAnsi="宋体" w:cs="宋体"/>
                <w:kern w:val="0"/>
                <w:sz w:val="22"/>
                <w:szCs w:val="22"/>
              </w:rPr>
              <w:t>分。</w:t>
            </w:r>
            <w:r>
              <w:rPr>
                <w:rFonts w:ascii="宋体" w:hAnsi="宋体" w:cs="宋体"/>
                <w:kern w:val="0"/>
                <w:sz w:val="22"/>
                <w:szCs w:val="22"/>
              </w:rPr>
              <w:t xml:space="preserve">      </w:t>
            </w:r>
          </w:p>
        </w:tc>
        <w:tc>
          <w:tcPr>
            <w:tcW w:w="90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kern w:val="0"/>
                <w:sz w:val="22"/>
              </w:rPr>
            </w:pPr>
          </w:p>
        </w:tc>
        <w:tc>
          <w:tcPr>
            <w:tcW w:w="900" w:type="dxa"/>
            <w:vMerge w:val="continue"/>
            <w:tcBorders>
              <w:left w:val="single" w:color="auto" w:sz="4" w:space="0"/>
              <w:right w:val="single" w:color="auto" w:sz="4" w:space="0"/>
            </w:tcBorders>
          </w:tcPr>
          <w:p>
            <w:pPr>
              <w:widowControl/>
              <w:jc w:val="left"/>
              <w:rPr>
                <w:rFonts w:ascii="宋体"/>
                <w:kern w:val="0"/>
                <w:sz w:val="22"/>
              </w:rPr>
            </w:pPr>
          </w:p>
        </w:tc>
        <w:tc>
          <w:tcPr>
            <w:tcW w:w="900" w:type="dxa"/>
            <w:tcBorders>
              <w:top w:val="single" w:color="auto" w:sz="4" w:space="0"/>
              <w:left w:val="single" w:color="auto" w:sz="4" w:space="0"/>
              <w:bottom w:val="single" w:color="auto" w:sz="4" w:space="0"/>
              <w:right w:val="single" w:color="auto" w:sz="4" w:space="0"/>
            </w:tcBorders>
          </w:tcPr>
          <w:p>
            <w:pPr>
              <w:widowControl/>
              <w:jc w:val="left"/>
              <w:rPr>
                <w:rFonts w:ascii="宋体"/>
                <w:kern w:val="0"/>
                <w:sz w:val="22"/>
              </w:rPr>
            </w:pPr>
          </w:p>
        </w:tc>
      </w:tr>
      <w:tr>
        <w:tblPrEx>
          <w:tblCellMar>
            <w:top w:w="0" w:type="dxa"/>
            <w:left w:w="108" w:type="dxa"/>
            <w:bottom w:w="0" w:type="dxa"/>
            <w:right w:w="108" w:type="dxa"/>
          </w:tblCellMar>
        </w:tblPrEx>
        <w:trPr>
          <w:trHeight w:val="1890" w:hRule="atLeast"/>
        </w:trPr>
        <w:tc>
          <w:tcPr>
            <w:tcW w:w="900" w:type="dxa"/>
            <w:vMerge w:val="continue"/>
            <w:tcBorders>
              <w:top w:val="nil"/>
              <w:left w:val="single" w:color="auto" w:sz="8" w:space="0"/>
              <w:bottom w:val="single" w:color="auto" w:sz="4" w:space="0"/>
              <w:right w:val="single" w:color="auto" w:sz="4" w:space="0"/>
            </w:tcBorders>
            <w:vAlign w:val="center"/>
          </w:tcPr>
          <w:p>
            <w:pPr>
              <w:widowControl/>
              <w:jc w:val="left"/>
              <w:rPr>
                <w:rFonts w:ascii="宋体"/>
                <w:b/>
                <w:bCs/>
                <w:kern w:val="0"/>
                <w:sz w:val="22"/>
              </w:rPr>
            </w:pPr>
          </w:p>
        </w:tc>
        <w:tc>
          <w:tcPr>
            <w:tcW w:w="1440" w:type="dxa"/>
            <w:tcBorders>
              <w:top w:val="nil"/>
              <w:left w:val="nil"/>
              <w:bottom w:val="single" w:color="auto" w:sz="4" w:space="0"/>
              <w:right w:val="single" w:color="auto" w:sz="4" w:space="0"/>
            </w:tcBorders>
            <w:vAlign w:val="center"/>
          </w:tcPr>
          <w:p>
            <w:pPr>
              <w:widowControl/>
              <w:jc w:val="center"/>
              <w:rPr>
                <w:rFonts w:ascii="宋体"/>
                <w:kern w:val="0"/>
                <w:sz w:val="20"/>
                <w:szCs w:val="20"/>
              </w:rPr>
            </w:pPr>
            <w:r>
              <w:rPr>
                <w:rFonts w:hint="eastAsia" w:ascii="宋体" w:hAnsi="宋体" w:cs="宋体"/>
                <w:kern w:val="0"/>
                <w:sz w:val="20"/>
                <w:szCs w:val="20"/>
              </w:rPr>
              <w:t>仪器仪表管理</w:t>
            </w:r>
          </w:p>
        </w:tc>
        <w:tc>
          <w:tcPr>
            <w:tcW w:w="5220" w:type="dxa"/>
            <w:tcBorders>
              <w:top w:val="nil"/>
              <w:left w:val="nil"/>
              <w:bottom w:val="single" w:color="auto" w:sz="4" w:space="0"/>
              <w:right w:val="single" w:color="auto" w:sz="4" w:space="0"/>
            </w:tcBorders>
            <w:vAlign w:val="center"/>
          </w:tcPr>
          <w:p>
            <w:pPr>
              <w:widowControl/>
              <w:jc w:val="left"/>
              <w:rPr>
                <w:rFonts w:ascii="宋体"/>
                <w:kern w:val="0"/>
                <w:sz w:val="22"/>
              </w:rPr>
            </w:pPr>
            <w:r>
              <w:rPr>
                <w:rFonts w:hint="eastAsia" w:ascii="宋体" w:hAnsi="宋体" w:cs="宋体"/>
                <w:kern w:val="0"/>
                <w:sz w:val="22"/>
                <w:szCs w:val="22"/>
              </w:rPr>
              <w:t>仪器仪表配备齐全，有详细清单。各仪器仪表应贴有标识，主要设备应在现场放置有操作说明资料。仪器仪表应按说明书正确使用，贵重仪表指定专人熟练掌握和使用，并定期通电检验。定期进行计量校准，不合格的仪器仪表不准在通信网上使用。工具维护保管良好。没有台帐扣</w:t>
            </w:r>
            <w:r>
              <w:rPr>
                <w:rFonts w:ascii="宋体" w:hAnsi="宋体" w:cs="宋体"/>
                <w:kern w:val="0"/>
                <w:sz w:val="22"/>
                <w:szCs w:val="22"/>
              </w:rPr>
              <w:t>5</w:t>
            </w:r>
            <w:r>
              <w:rPr>
                <w:rFonts w:hint="eastAsia" w:ascii="宋体" w:hAnsi="宋体" w:cs="宋体"/>
                <w:kern w:val="0"/>
                <w:sz w:val="22"/>
                <w:szCs w:val="22"/>
              </w:rPr>
              <w:t>分</w:t>
            </w:r>
            <w:r>
              <w:rPr>
                <w:rFonts w:ascii="宋体" w:cs="宋体"/>
                <w:kern w:val="0"/>
                <w:sz w:val="22"/>
                <w:szCs w:val="22"/>
              </w:rPr>
              <w:t>.</w:t>
            </w:r>
            <w:r>
              <w:rPr>
                <w:rFonts w:hint="eastAsia" w:ascii="宋体" w:hAnsi="宋体" w:cs="宋体"/>
                <w:kern w:val="0"/>
                <w:sz w:val="22"/>
                <w:szCs w:val="22"/>
              </w:rPr>
              <w:t>现场抽查维护人员对仪表的使用情况，如不会使用每人扣</w:t>
            </w:r>
            <w:r>
              <w:rPr>
                <w:rFonts w:ascii="宋体" w:hAnsi="宋体" w:cs="宋体"/>
                <w:kern w:val="0"/>
                <w:sz w:val="22"/>
                <w:szCs w:val="22"/>
              </w:rPr>
              <w:t>1</w:t>
            </w:r>
            <w:r>
              <w:rPr>
                <w:rFonts w:hint="eastAsia" w:ascii="宋体" w:hAnsi="宋体" w:cs="宋体"/>
                <w:kern w:val="0"/>
                <w:sz w:val="22"/>
                <w:szCs w:val="22"/>
              </w:rPr>
              <w:t>分。</w:t>
            </w:r>
          </w:p>
        </w:tc>
        <w:tc>
          <w:tcPr>
            <w:tcW w:w="90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kern w:val="0"/>
                <w:sz w:val="22"/>
              </w:rPr>
            </w:pPr>
          </w:p>
        </w:tc>
        <w:tc>
          <w:tcPr>
            <w:tcW w:w="900" w:type="dxa"/>
            <w:vMerge w:val="continue"/>
            <w:tcBorders>
              <w:left w:val="single" w:color="auto" w:sz="4" w:space="0"/>
              <w:right w:val="single" w:color="auto" w:sz="4" w:space="0"/>
            </w:tcBorders>
          </w:tcPr>
          <w:p>
            <w:pPr>
              <w:widowControl/>
              <w:jc w:val="left"/>
              <w:rPr>
                <w:rFonts w:ascii="宋体"/>
                <w:kern w:val="0"/>
                <w:sz w:val="22"/>
              </w:rPr>
            </w:pPr>
          </w:p>
        </w:tc>
        <w:tc>
          <w:tcPr>
            <w:tcW w:w="900" w:type="dxa"/>
            <w:tcBorders>
              <w:top w:val="single" w:color="auto" w:sz="4" w:space="0"/>
              <w:left w:val="single" w:color="auto" w:sz="4" w:space="0"/>
              <w:bottom w:val="single" w:color="auto" w:sz="4" w:space="0"/>
              <w:right w:val="single" w:color="auto" w:sz="4" w:space="0"/>
            </w:tcBorders>
          </w:tcPr>
          <w:p>
            <w:pPr>
              <w:widowControl/>
              <w:jc w:val="left"/>
              <w:rPr>
                <w:rFonts w:ascii="宋体"/>
                <w:kern w:val="0"/>
                <w:sz w:val="22"/>
              </w:rPr>
            </w:pPr>
          </w:p>
        </w:tc>
      </w:tr>
      <w:tr>
        <w:tblPrEx>
          <w:tblCellMar>
            <w:top w:w="0" w:type="dxa"/>
            <w:left w:w="108" w:type="dxa"/>
            <w:bottom w:w="0" w:type="dxa"/>
            <w:right w:w="108" w:type="dxa"/>
          </w:tblCellMar>
        </w:tblPrEx>
        <w:trPr>
          <w:trHeight w:val="1350" w:hRule="atLeast"/>
        </w:trPr>
        <w:tc>
          <w:tcPr>
            <w:tcW w:w="900" w:type="dxa"/>
            <w:vMerge w:val="continue"/>
            <w:tcBorders>
              <w:top w:val="nil"/>
              <w:left w:val="single" w:color="auto" w:sz="8" w:space="0"/>
              <w:bottom w:val="single" w:color="auto" w:sz="4" w:space="0"/>
              <w:right w:val="single" w:color="auto" w:sz="4" w:space="0"/>
            </w:tcBorders>
            <w:vAlign w:val="center"/>
          </w:tcPr>
          <w:p>
            <w:pPr>
              <w:widowControl/>
              <w:jc w:val="left"/>
              <w:rPr>
                <w:rFonts w:ascii="宋体"/>
                <w:b/>
                <w:bCs/>
                <w:kern w:val="0"/>
                <w:sz w:val="22"/>
              </w:rPr>
            </w:pPr>
          </w:p>
        </w:tc>
        <w:tc>
          <w:tcPr>
            <w:tcW w:w="1440" w:type="dxa"/>
            <w:tcBorders>
              <w:top w:val="nil"/>
              <w:left w:val="nil"/>
              <w:bottom w:val="single" w:color="auto" w:sz="4" w:space="0"/>
              <w:right w:val="single" w:color="auto" w:sz="4" w:space="0"/>
            </w:tcBorders>
            <w:vAlign w:val="center"/>
          </w:tcPr>
          <w:p>
            <w:pPr>
              <w:widowControl/>
              <w:jc w:val="center"/>
              <w:rPr>
                <w:rFonts w:ascii="宋体"/>
                <w:kern w:val="0"/>
                <w:sz w:val="20"/>
                <w:szCs w:val="20"/>
              </w:rPr>
            </w:pPr>
            <w:r>
              <w:rPr>
                <w:rFonts w:hint="eastAsia" w:ascii="宋体" w:hAnsi="宋体" w:cs="宋体"/>
                <w:kern w:val="0"/>
                <w:sz w:val="20"/>
                <w:szCs w:val="20"/>
              </w:rPr>
              <w:t>固定资产及资源管理</w:t>
            </w:r>
          </w:p>
        </w:tc>
        <w:tc>
          <w:tcPr>
            <w:tcW w:w="5220" w:type="dxa"/>
            <w:tcBorders>
              <w:top w:val="nil"/>
              <w:left w:val="nil"/>
              <w:bottom w:val="single" w:color="auto" w:sz="4" w:space="0"/>
              <w:right w:val="single" w:color="auto" w:sz="4" w:space="0"/>
            </w:tcBorders>
            <w:vAlign w:val="center"/>
          </w:tcPr>
          <w:p>
            <w:pPr>
              <w:widowControl/>
              <w:jc w:val="left"/>
              <w:rPr>
                <w:rFonts w:ascii="宋体"/>
                <w:kern w:val="0"/>
                <w:sz w:val="22"/>
              </w:rPr>
            </w:pPr>
            <w:r>
              <w:rPr>
                <w:rFonts w:hint="eastAsia" w:ascii="宋体" w:hAnsi="宋体" w:cs="宋体"/>
                <w:kern w:val="0"/>
                <w:sz w:val="22"/>
                <w:szCs w:val="22"/>
              </w:rPr>
              <w:t>核对原有接入点的固定资产（重点核查与固定资产报表中数据的差异）。新增固定资产的及时确认和盘点。每月提供网络拓扑图资料。没有台帐扣</w:t>
            </w:r>
            <w:r>
              <w:rPr>
                <w:rFonts w:ascii="宋体" w:hAnsi="宋体" w:cs="宋体"/>
                <w:kern w:val="0"/>
                <w:sz w:val="22"/>
                <w:szCs w:val="22"/>
              </w:rPr>
              <w:t>10</w:t>
            </w:r>
            <w:r>
              <w:rPr>
                <w:rFonts w:hint="eastAsia" w:ascii="宋体" w:hAnsi="宋体" w:cs="宋体"/>
                <w:kern w:val="0"/>
                <w:sz w:val="22"/>
                <w:szCs w:val="22"/>
              </w:rPr>
              <w:t>分，现场检查每处错误扣</w:t>
            </w:r>
            <w:r>
              <w:rPr>
                <w:rFonts w:ascii="宋体" w:hAnsi="宋体" w:cs="宋体"/>
                <w:kern w:val="0"/>
                <w:sz w:val="22"/>
                <w:szCs w:val="22"/>
              </w:rPr>
              <w:t>1</w:t>
            </w:r>
            <w:r>
              <w:rPr>
                <w:rFonts w:hint="eastAsia" w:ascii="宋体" w:hAnsi="宋体" w:cs="宋体"/>
                <w:kern w:val="0"/>
                <w:sz w:val="22"/>
                <w:szCs w:val="22"/>
              </w:rPr>
              <w:t>分。每月定期检查设备代维台帐，特别关注新建和拆除设备的资源。每发现一处错误，扣</w:t>
            </w:r>
            <w:r>
              <w:rPr>
                <w:rFonts w:ascii="宋体" w:hAnsi="宋体" w:cs="宋体"/>
                <w:kern w:val="0"/>
                <w:sz w:val="22"/>
                <w:szCs w:val="22"/>
              </w:rPr>
              <w:t>1</w:t>
            </w:r>
            <w:r>
              <w:rPr>
                <w:rFonts w:hint="eastAsia" w:ascii="宋体" w:hAnsi="宋体" w:cs="宋体"/>
                <w:kern w:val="0"/>
                <w:sz w:val="22"/>
                <w:szCs w:val="22"/>
              </w:rPr>
              <w:t>分</w:t>
            </w:r>
          </w:p>
        </w:tc>
        <w:tc>
          <w:tcPr>
            <w:tcW w:w="90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kern w:val="0"/>
                <w:sz w:val="22"/>
              </w:rPr>
            </w:pPr>
          </w:p>
        </w:tc>
        <w:tc>
          <w:tcPr>
            <w:tcW w:w="900" w:type="dxa"/>
            <w:vMerge w:val="continue"/>
            <w:tcBorders>
              <w:left w:val="single" w:color="auto" w:sz="4" w:space="0"/>
              <w:right w:val="single" w:color="auto" w:sz="4" w:space="0"/>
            </w:tcBorders>
          </w:tcPr>
          <w:p>
            <w:pPr>
              <w:widowControl/>
              <w:jc w:val="left"/>
              <w:rPr>
                <w:rFonts w:ascii="宋体"/>
                <w:kern w:val="0"/>
                <w:sz w:val="22"/>
              </w:rPr>
            </w:pPr>
          </w:p>
        </w:tc>
        <w:tc>
          <w:tcPr>
            <w:tcW w:w="900" w:type="dxa"/>
            <w:tcBorders>
              <w:top w:val="single" w:color="auto" w:sz="4" w:space="0"/>
              <w:left w:val="single" w:color="auto" w:sz="4" w:space="0"/>
              <w:bottom w:val="single" w:color="auto" w:sz="4" w:space="0"/>
              <w:right w:val="single" w:color="auto" w:sz="4" w:space="0"/>
            </w:tcBorders>
          </w:tcPr>
          <w:p>
            <w:pPr>
              <w:widowControl/>
              <w:jc w:val="left"/>
              <w:rPr>
                <w:rFonts w:ascii="宋体"/>
                <w:kern w:val="0"/>
                <w:sz w:val="22"/>
              </w:rPr>
            </w:pPr>
          </w:p>
        </w:tc>
      </w:tr>
      <w:tr>
        <w:tblPrEx>
          <w:tblCellMar>
            <w:top w:w="0" w:type="dxa"/>
            <w:left w:w="108" w:type="dxa"/>
            <w:bottom w:w="0" w:type="dxa"/>
            <w:right w:w="108" w:type="dxa"/>
          </w:tblCellMar>
        </w:tblPrEx>
        <w:trPr>
          <w:trHeight w:val="810" w:hRule="atLeast"/>
        </w:trPr>
        <w:tc>
          <w:tcPr>
            <w:tcW w:w="900" w:type="dxa"/>
            <w:vMerge w:val="continue"/>
            <w:tcBorders>
              <w:top w:val="nil"/>
              <w:left w:val="single" w:color="auto" w:sz="8" w:space="0"/>
              <w:bottom w:val="single" w:color="auto" w:sz="4" w:space="0"/>
              <w:right w:val="single" w:color="auto" w:sz="4" w:space="0"/>
            </w:tcBorders>
            <w:vAlign w:val="center"/>
          </w:tcPr>
          <w:p>
            <w:pPr>
              <w:widowControl/>
              <w:jc w:val="left"/>
              <w:rPr>
                <w:rFonts w:ascii="宋体"/>
                <w:b/>
                <w:bCs/>
                <w:kern w:val="0"/>
                <w:sz w:val="22"/>
              </w:rPr>
            </w:pPr>
          </w:p>
        </w:tc>
        <w:tc>
          <w:tcPr>
            <w:tcW w:w="1440" w:type="dxa"/>
            <w:tcBorders>
              <w:top w:val="nil"/>
              <w:left w:val="nil"/>
              <w:bottom w:val="single" w:color="auto" w:sz="4" w:space="0"/>
              <w:right w:val="single" w:color="auto" w:sz="4" w:space="0"/>
            </w:tcBorders>
            <w:vAlign w:val="center"/>
          </w:tcPr>
          <w:p>
            <w:pPr>
              <w:widowControl/>
              <w:jc w:val="center"/>
              <w:rPr>
                <w:rFonts w:ascii="宋体"/>
                <w:kern w:val="0"/>
                <w:sz w:val="20"/>
                <w:szCs w:val="20"/>
              </w:rPr>
            </w:pPr>
            <w:r>
              <w:rPr>
                <w:rFonts w:hint="eastAsia" w:ascii="宋体" w:hAnsi="宋体" w:cs="宋体"/>
                <w:kern w:val="0"/>
                <w:sz w:val="20"/>
                <w:szCs w:val="20"/>
              </w:rPr>
              <w:t>设备更换</w:t>
            </w:r>
          </w:p>
        </w:tc>
        <w:tc>
          <w:tcPr>
            <w:tcW w:w="5220" w:type="dxa"/>
            <w:tcBorders>
              <w:top w:val="nil"/>
              <w:left w:val="nil"/>
              <w:bottom w:val="single" w:color="auto" w:sz="4" w:space="0"/>
              <w:right w:val="single" w:color="auto" w:sz="4" w:space="0"/>
            </w:tcBorders>
            <w:vAlign w:val="center"/>
          </w:tcPr>
          <w:p>
            <w:pPr>
              <w:widowControl/>
              <w:jc w:val="left"/>
              <w:rPr>
                <w:rFonts w:ascii="宋体"/>
                <w:kern w:val="0"/>
                <w:sz w:val="22"/>
              </w:rPr>
            </w:pPr>
            <w:r>
              <w:rPr>
                <w:rFonts w:hint="eastAsia" w:ascii="宋体" w:hAnsi="宋体" w:cs="宋体"/>
                <w:kern w:val="0"/>
                <w:sz w:val="22"/>
                <w:szCs w:val="22"/>
              </w:rPr>
              <w:t>操作规范，更换前后需与网管确认</w:t>
            </w:r>
            <w:r>
              <w:rPr>
                <w:rFonts w:ascii="宋体" w:hAnsi="宋体" w:cs="宋体"/>
                <w:kern w:val="0"/>
                <w:sz w:val="22"/>
                <w:szCs w:val="22"/>
              </w:rPr>
              <w:t xml:space="preserve"> </w:t>
            </w:r>
            <w:r>
              <w:rPr>
                <w:rFonts w:hint="eastAsia" w:ascii="宋体" w:hAnsi="宋体" w:cs="宋体"/>
                <w:kern w:val="0"/>
                <w:sz w:val="22"/>
                <w:szCs w:val="22"/>
              </w:rPr>
              <w:t>。建立相关台帐。设备单板变更表需在板卡更换</w:t>
            </w:r>
            <w:r>
              <w:rPr>
                <w:rFonts w:ascii="宋体" w:hAnsi="宋体" w:cs="宋体"/>
                <w:kern w:val="0"/>
                <w:sz w:val="22"/>
                <w:szCs w:val="22"/>
              </w:rPr>
              <w:t>24</w:t>
            </w:r>
            <w:r>
              <w:rPr>
                <w:rFonts w:hint="eastAsia" w:ascii="宋体" w:hAnsi="宋体" w:cs="宋体"/>
                <w:kern w:val="0"/>
                <w:sz w:val="22"/>
                <w:szCs w:val="22"/>
              </w:rPr>
              <w:t>小时内更新，每周报网管基础资源管理人员。没有台帐扣</w:t>
            </w:r>
            <w:r>
              <w:rPr>
                <w:rFonts w:ascii="宋体" w:hAnsi="宋体" w:cs="宋体"/>
                <w:kern w:val="0"/>
                <w:sz w:val="22"/>
                <w:szCs w:val="22"/>
              </w:rPr>
              <w:t>3</w:t>
            </w:r>
            <w:r>
              <w:rPr>
                <w:rFonts w:hint="eastAsia" w:ascii="宋体" w:hAnsi="宋体" w:cs="宋体"/>
                <w:kern w:val="0"/>
                <w:sz w:val="22"/>
                <w:szCs w:val="22"/>
              </w:rPr>
              <w:t>分，发现一次错误扣</w:t>
            </w:r>
            <w:r>
              <w:rPr>
                <w:rFonts w:ascii="宋体" w:hAnsi="宋体" w:cs="宋体"/>
                <w:kern w:val="0"/>
                <w:sz w:val="22"/>
                <w:szCs w:val="22"/>
              </w:rPr>
              <w:t>0.5</w:t>
            </w:r>
            <w:r>
              <w:rPr>
                <w:rFonts w:hint="eastAsia" w:ascii="宋体" w:hAnsi="宋体" w:cs="宋体"/>
                <w:kern w:val="0"/>
                <w:sz w:val="22"/>
                <w:szCs w:val="22"/>
              </w:rPr>
              <w:t>分</w:t>
            </w:r>
          </w:p>
        </w:tc>
        <w:tc>
          <w:tcPr>
            <w:tcW w:w="90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kern w:val="0"/>
                <w:sz w:val="22"/>
              </w:rPr>
            </w:pPr>
          </w:p>
        </w:tc>
        <w:tc>
          <w:tcPr>
            <w:tcW w:w="900" w:type="dxa"/>
            <w:vMerge w:val="continue"/>
            <w:tcBorders>
              <w:left w:val="single" w:color="auto" w:sz="4" w:space="0"/>
              <w:right w:val="single" w:color="auto" w:sz="4" w:space="0"/>
            </w:tcBorders>
          </w:tcPr>
          <w:p>
            <w:pPr>
              <w:widowControl/>
              <w:jc w:val="left"/>
              <w:rPr>
                <w:rFonts w:ascii="宋体"/>
                <w:kern w:val="0"/>
                <w:sz w:val="22"/>
              </w:rPr>
            </w:pPr>
          </w:p>
        </w:tc>
        <w:tc>
          <w:tcPr>
            <w:tcW w:w="900" w:type="dxa"/>
            <w:tcBorders>
              <w:top w:val="single" w:color="auto" w:sz="4" w:space="0"/>
              <w:left w:val="single" w:color="auto" w:sz="4" w:space="0"/>
              <w:bottom w:val="single" w:color="auto" w:sz="4" w:space="0"/>
              <w:right w:val="single" w:color="auto" w:sz="4" w:space="0"/>
            </w:tcBorders>
          </w:tcPr>
          <w:p>
            <w:pPr>
              <w:widowControl/>
              <w:jc w:val="left"/>
              <w:rPr>
                <w:rFonts w:ascii="宋体"/>
                <w:kern w:val="0"/>
                <w:sz w:val="22"/>
              </w:rPr>
            </w:pPr>
          </w:p>
        </w:tc>
      </w:tr>
      <w:tr>
        <w:tblPrEx>
          <w:tblCellMar>
            <w:top w:w="0" w:type="dxa"/>
            <w:left w:w="108" w:type="dxa"/>
            <w:bottom w:w="0" w:type="dxa"/>
            <w:right w:w="108" w:type="dxa"/>
          </w:tblCellMar>
        </w:tblPrEx>
        <w:trPr>
          <w:trHeight w:val="810" w:hRule="atLeast"/>
        </w:trPr>
        <w:tc>
          <w:tcPr>
            <w:tcW w:w="900" w:type="dxa"/>
            <w:vMerge w:val="continue"/>
            <w:tcBorders>
              <w:top w:val="nil"/>
              <w:left w:val="single" w:color="auto" w:sz="8" w:space="0"/>
              <w:bottom w:val="single" w:color="auto" w:sz="4" w:space="0"/>
              <w:right w:val="single" w:color="auto" w:sz="4" w:space="0"/>
            </w:tcBorders>
            <w:vAlign w:val="center"/>
          </w:tcPr>
          <w:p>
            <w:pPr>
              <w:widowControl/>
              <w:jc w:val="left"/>
              <w:rPr>
                <w:rFonts w:ascii="宋体"/>
                <w:b/>
                <w:bCs/>
                <w:kern w:val="0"/>
                <w:sz w:val="22"/>
              </w:rPr>
            </w:pPr>
          </w:p>
        </w:tc>
        <w:tc>
          <w:tcPr>
            <w:tcW w:w="1440" w:type="dxa"/>
            <w:tcBorders>
              <w:top w:val="nil"/>
              <w:left w:val="nil"/>
              <w:bottom w:val="single" w:color="auto" w:sz="4" w:space="0"/>
              <w:right w:val="single" w:color="auto" w:sz="4" w:space="0"/>
            </w:tcBorders>
            <w:vAlign w:val="center"/>
          </w:tcPr>
          <w:p>
            <w:pPr>
              <w:widowControl/>
              <w:jc w:val="center"/>
              <w:rPr>
                <w:rFonts w:ascii="宋体"/>
                <w:kern w:val="0"/>
                <w:sz w:val="20"/>
                <w:szCs w:val="20"/>
              </w:rPr>
            </w:pPr>
            <w:r>
              <w:rPr>
                <w:rFonts w:hint="eastAsia" w:ascii="宋体" w:hAnsi="宋体" w:cs="宋体"/>
                <w:kern w:val="0"/>
                <w:sz w:val="20"/>
                <w:szCs w:val="20"/>
              </w:rPr>
              <w:t>巡检管理</w:t>
            </w:r>
          </w:p>
        </w:tc>
        <w:tc>
          <w:tcPr>
            <w:tcW w:w="5220" w:type="dxa"/>
            <w:tcBorders>
              <w:top w:val="nil"/>
              <w:left w:val="nil"/>
              <w:bottom w:val="single" w:color="auto" w:sz="4" w:space="0"/>
              <w:right w:val="single" w:color="auto" w:sz="4" w:space="0"/>
            </w:tcBorders>
            <w:vAlign w:val="center"/>
          </w:tcPr>
          <w:p>
            <w:pPr>
              <w:widowControl/>
              <w:jc w:val="left"/>
              <w:rPr>
                <w:rFonts w:ascii="宋体"/>
                <w:kern w:val="0"/>
                <w:sz w:val="22"/>
              </w:rPr>
            </w:pPr>
            <w:r>
              <w:rPr>
                <w:rFonts w:hint="eastAsia" w:ascii="宋体" w:hAnsi="宋体" w:cs="宋体"/>
                <w:kern w:val="0"/>
                <w:sz w:val="22"/>
                <w:szCs w:val="22"/>
              </w:rPr>
              <w:t>按要求和规范进行验收。没有及时上报巡检周报和巡检计划表扣</w:t>
            </w:r>
            <w:r>
              <w:rPr>
                <w:rFonts w:ascii="宋体" w:hAnsi="宋体" w:cs="宋体"/>
                <w:kern w:val="0"/>
                <w:sz w:val="22"/>
                <w:szCs w:val="22"/>
              </w:rPr>
              <w:t>10</w:t>
            </w:r>
            <w:r>
              <w:rPr>
                <w:rFonts w:hint="eastAsia" w:ascii="宋体" w:hAnsi="宋体" w:cs="宋体"/>
                <w:kern w:val="0"/>
                <w:sz w:val="22"/>
                <w:szCs w:val="22"/>
              </w:rPr>
              <w:t>分。现场检查巡检记录，发现一次错误扣</w:t>
            </w:r>
            <w:r>
              <w:rPr>
                <w:rFonts w:ascii="宋体" w:hAnsi="宋体" w:cs="宋体"/>
                <w:kern w:val="0"/>
                <w:sz w:val="22"/>
                <w:szCs w:val="22"/>
              </w:rPr>
              <w:t>0.5</w:t>
            </w:r>
            <w:r>
              <w:rPr>
                <w:rFonts w:hint="eastAsia" w:ascii="宋体" w:hAnsi="宋体" w:cs="宋体"/>
                <w:kern w:val="0"/>
                <w:sz w:val="22"/>
                <w:szCs w:val="22"/>
              </w:rPr>
              <w:t>分，未按计划执行每处扣</w:t>
            </w:r>
            <w:r>
              <w:rPr>
                <w:rFonts w:ascii="宋体" w:hAnsi="宋体" w:cs="宋体"/>
                <w:kern w:val="0"/>
                <w:sz w:val="22"/>
                <w:szCs w:val="22"/>
              </w:rPr>
              <w:t>0.5</w:t>
            </w:r>
            <w:r>
              <w:rPr>
                <w:rFonts w:hint="eastAsia" w:ascii="宋体" w:hAnsi="宋体" w:cs="宋体"/>
                <w:kern w:val="0"/>
                <w:sz w:val="22"/>
                <w:szCs w:val="22"/>
              </w:rPr>
              <w:t>分。</w:t>
            </w:r>
          </w:p>
        </w:tc>
        <w:tc>
          <w:tcPr>
            <w:tcW w:w="90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kern w:val="0"/>
                <w:sz w:val="22"/>
              </w:rPr>
            </w:pPr>
          </w:p>
        </w:tc>
        <w:tc>
          <w:tcPr>
            <w:tcW w:w="900" w:type="dxa"/>
            <w:vMerge w:val="continue"/>
            <w:tcBorders>
              <w:left w:val="single" w:color="auto" w:sz="4" w:space="0"/>
              <w:right w:val="single" w:color="auto" w:sz="4" w:space="0"/>
            </w:tcBorders>
          </w:tcPr>
          <w:p>
            <w:pPr>
              <w:widowControl/>
              <w:jc w:val="left"/>
              <w:rPr>
                <w:rFonts w:ascii="宋体"/>
                <w:kern w:val="0"/>
                <w:sz w:val="22"/>
              </w:rPr>
            </w:pPr>
          </w:p>
        </w:tc>
        <w:tc>
          <w:tcPr>
            <w:tcW w:w="900" w:type="dxa"/>
            <w:tcBorders>
              <w:top w:val="single" w:color="auto" w:sz="4" w:space="0"/>
              <w:left w:val="single" w:color="auto" w:sz="4" w:space="0"/>
              <w:bottom w:val="single" w:color="auto" w:sz="4" w:space="0"/>
              <w:right w:val="single" w:color="auto" w:sz="4" w:space="0"/>
            </w:tcBorders>
          </w:tcPr>
          <w:p>
            <w:pPr>
              <w:widowControl/>
              <w:jc w:val="left"/>
              <w:rPr>
                <w:rFonts w:ascii="宋体"/>
                <w:kern w:val="0"/>
                <w:sz w:val="22"/>
              </w:rPr>
            </w:pPr>
          </w:p>
        </w:tc>
      </w:tr>
      <w:tr>
        <w:tblPrEx>
          <w:tblCellMar>
            <w:top w:w="0" w:type="dxa"/>
            <w:left w:w="108" w:type="dxa"/>
            <w:bottom w:w="0" w:type="dxa"/>
            <w:right w:w="108" w:type="dxa"/>
          </w:tblCellMar>
        </w:tblPrEx>
        <w:trPr>
          <w:trHeight w:val="540" w:hRule="atLeast"/>
        </w:trPr>
        <w:tc>
          <w:tcPr>
            <w:tcW w:w="900" w:type="dxa"/>
            <w:vMerge w:val="continue"/>
            <w:tcBorders>
              <w:top w:val="nil"/>
              <w:left w:val="single" w:color="auto" w:sz="8" w:space="0"/>
              <w:bottom w:val="single" w:color="auto" w:sz="4" w:space="0"/>
              <w:right w:val="single" w:color="auto" w:sz="4" w:space="0"/>
            </w:tcBorders>
            <w:vAlign w:val="center"/>
          </w:tcPr>
          <w:p>
            <w:pPr>
              <w:widowControl/>
              <w:jc w:val="left"/>
              <w:rPr>
                <w:rFonts w:ascii="宋体"/>
                <w:b/>
                <w:bCs/>
                <w:kern w:val="0"/>
                <w:sz w:val="22"/>
              </w:rPr>
            </w:pPr>
          </w:p>
        </w:tc>
        <w:tc>
          <w:tcPr>
            <w:tcW w:w="1440" w:type="dxa"/>
            <w:tcBorders>
              <w:top w:val="nil"/>
              <w:left w:val="nil"/>
              <w:bottom w:val="single" w:color="auto" w:sz="4" w:space="0"/>
              <w:right w:val="single" w:color="auto" w:sz="4" w:space="0"/>
            </w:tcBorders>
            <w:vAlign w:val="center"/>
          </w:tcPr>
          <w:p>
            <w:pPr>
              <w:widowControl/>
              <w:jc w:val="center"/>
              <w:rPr>
                <w:rFonts w:ascii="宋体"/>
                <w:kern w:val="0"/>
                <w:sz w:val="20"/>
                <w:szCs w:val="20"/>
              </w:rPr>
            </w:pPr>
            <w:r>
              <w:rPr>
                <w:rFonts w:hint="eastAsia" w:ascii="宋体" w:hAnsi="宋体" w:cs="宋体"/>
                <w:kern w:val="0"/>
                <w:sz w:val="20"/>
                <w:szCs w:val="20"/>
              </w:rPr>
              <w:t>工程随工</w:t>
            </w:r>
            <w:r>
              <w:rPr>
                <w:rFonts w:ascii="宋体" w:hAnsi="宋体" w:cs="宋体"/>
                <w:kern w:val="0"/>
                <w:sz w:val="20"/>
                <w:szCs w:val="20"/>
              </w:rPr>
              <w:t>/</w:t>
            </w:r>
            <w:r>
              <w:rPr>
                <w:rFonts w:hint="eastAsia" w:ascii="宋体" w:hAnsi="宋体" w:cs="宋体"/>
                <w:kern w:val="0"/>
                <w:sz w:val="20"/>
                <w:szCs w:val="20"/>
              </w:rPr>
              <w:t>验收</w:t>
            </w:r>
          </w:p>
        </w:tc>
        <w:tc>
          <w:tcPr>
            <w:tcW w:w="5220" w:type="dxa"/>
            <w:tcBorders>
              <w:top w:val="nil"/>
              <w:left w:val="nil"/>
              <w:bottom w:val="single" w:color="auto" w:sz="4" w:space="0"/>
              <w:right w:val="single" w:color="auto" w:sz="4" w:space="0"/>
            </w:tcBorders>
            <w:vAlign w:val="center"/>
          </w:tcPr>
          <w:p>
            <w:pPr>
              <w:widowControl/>
              <w:jc w:val="left"/>
              <w:rPr>
                <w:rFonts w:ascii="宋体"/>
                <w:kern w:val="0"/>
                <w:sz w:val="22"/>
              </w:rPr>
            </w:pPr>
            <w:r>
              <w:rPr>
                <w:rFonts w:hint="eastAsia" w:ascii="宋体" w:hAnsi="宋体" w:cs="宋体"/>
                <w:kern w:val="0"/>
                <w:sz w:val="22"/>
                <w:szCs w:val="22"/>
              </w:rPr>
              <w:t>按验收管理办法要求和规范进行验收。没有按要求执行每次扣</w:t>
            </w:r>
            <w:r>
              <w:rPr>
                <w:rFonts w:ascii="宋体" w:hAnsi="宋体" w:cs="宋体"/>
                <w:kern w:val="0"/>
                <w:sz w:val="22"/>
                <w:szCs w:val="22"/>
              </w:rPr>
              <w:t>1</w:t>
            </w:r>
            <w:r>
              <w:rPr>
                <w:rFonts w:hint="eastAsia" w:ascii="宋体" w:hAnsi="宋体" w:cs="宋体"/>
                <w:kern w:val="0"/>
                <w:sz w:val="22"/>
                <w:szCs w:val="22"/>
              </w:rPr>
              <w:t>分</w:t>
            </w:r>
          </w:p>
        </w:tc>
        <w:tc>
          <w:tcPr>
            <w:tcW w:w="90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kern w:val="0"/>
                <w:sz w:val="22"/>
              </w:rPr>
            </w:pPr>
          </w:p>
        </w:tc>
        <w:tc>
          <w:tcPr>
            <w:tcW w:w="900" w:type="dxa"/>
            <w:vMerge w:val="continue"/>
            <w:tcBorders>
              <w:left w:val="single" w:color="auto" w:sz="4" w:space="0"/>
              <w:right w:val="single" w:color="auto" w:sz="4" w:space="0"/>
            </w:tcBorders>
          </w:tcPr>
          <w:p>
            <w:pPr>
              <w:widowControl/>
              <w:jc w:val="left"/>
              <w:rPr>
                <w:rFonts w:ascii="宋体"/>
                <w:kern w:val="0"/>
                <w:sz w:val="22"/>
              </w:rPr>
            </w:pPr>
          </w:p>
        </w:tc>
        <w:tc>
          <w:tcPr>
            <w:tcW w:w="900" w:type="dxa"/>
            <w:tcBorders>
              <w:top w:val="single" w:color="auto" w:sz="4" w:space="0"/>
              <w:left w:val="single" w:color="auto" w:sz="4" w:space="0"/>
              <w:bottom w:val="single" w:color="auto" w:sz="4" w:space="0"/>
              <w:right w:val="single" w:color="auto" w:sz="4" w:space="0"/>
            </w:tcBorders>
          </w:tcPr>
          <w:p>
            <w:pPr>
              <w:widowControl/>
              <w:jc w:val="left"/>
              <w:rPr>
                <w:rFonts w:ascii="宋体"/>
                <w:kern w:val="0"/>
                <w:sz w:val="22"/>
              </w:rPr>
            </w:pPr>
          </w:p>
        </w:tc>
      </w:tr>
      <w:tr>
        <w:tblPrEx>
          <w:tblCellMar>
            <w:top w:w="0" w:type="dxa"/>
            <w:left w:w="108" w:type="dxa"/>
            <w:bottom w:w="0" w:type="dxa"/>
            <w:right w:w="108" w:type="dxa"/>
          </w:tblCellMar>
        </w:tblPrEx>
        <w:trPr>
          <w:trHeight w:val="810" w:hRule="atLeast"/>
        </w:trPr>
        <w:tc>
          <w:tcPr>
            <w:tcW w:w="900" w:type="dxa"/>
            <w:vMerge w:val="continue"/>
            <w:tcBorders>
              <w:top w:val="nil"/>
              <w:left w:val="single" w:color="auto" w:sz="8" w:space="0"/>
              <w:bottom w:val="single" w:color="auto" w:sz="4" w:space="0"/>
              <w:right w:val="single" w:color="auto" w:sz="4" w:space="0"/>
            </w:tcBorders>
            <w:vAlign w:val="center"/>
          </w:tcPr>
          <w:p>
            <w:pPr>
              <w:widowControl/>
              <w:jc w:val="left"/>
              <w:rPr>
                <w:rFonts w:ascii="宋体"/>
                <w:b/>
                <w:bCs/>
                <w:kern w:val="0"/>
                <w:sz w:val="22"/>
              </w:rPr>
            </w:pPr>
          </w:p>
        </w:tc>
        <w:tc>
          <w:tcPr>
            <w:tcW w:w="1440" w:type="dxa"/>
            <w:tcBorders>
              <w:top w:val="nil"/>
              <w:left w:val="nil"/>
              <w:bottom w:val="single" w:color="auto" w:sz="4" w:space="0"/>
              <w:right w:val="single" w:color="auto" w:sz="4" w:space="0"/>
            </w:tcBorders>
            <w:vAlign w:val="center"/>
          </w:tcPr>
          <w:p>
            <w:pPr>
              <w:widowControl/>
              <w:jc w:val="center"/>
              <w:rPr>
                <w:rFonts w:ascii="宋体"/>
                <w:kern w:val="0"/>
                <w:sz w:val="20"/>
                <w:szCs w:val="20"/>
              </w:rPr>
            </w:pPr>
            <w:r>
              <w:rPr>
                <w:rFonts w:hint="eastAsia" w:ascii="宋体" w:hAnsi="宋体" w:cs="宋体"/>
                <w:kern w:val="0"/>
                <w:sz w:val="20"/>
                <w:szCs w:val="20"/>
              </w:rPr>
              <w:t>生产调度管理</w:t>
            </w:r>
          </w:p>
        </w:tc>
        <w:tc>
          <w:tcPr>
            <w:tcW w:w="5220" w:type="dxa"/>
            <w:tcBorders>
              <w:top w:val="nil"/>
              <w:left w:val="nil"/>
              <w:bottom w:val="single" w:color="auto" w:sz="4" w:space="0"/>
              <w:right w:val="single" w:color="auto" w:sz="4" w:space="0"/>
            </w:tcBorders>
            <w:vAlign w:val="center"/>
          </w:tcPr>
          <w:p>
            <w:pPr>
              <w:widowControl/>
              <w:jc w:val="left"/>
              <w:rPr>
                <w:rFonts w:ascii="宋体"/>
                <w:kern w:val="0"/>
                <w:sz w:val="22"/>
              </w:rPr>
            </w:pPr>
            <w:r>
              <w:rPr>
                <w:rFonts w:hint="eastAsia" w:ascii="宋体" w:hAnsi="宋体" w:cs="宋体"/>
                <w:kern w:val="0"/>
                <w:sz w:val="22"/>
                <w:szCs w:val="22"/>
              </w:rPr>
              <w:t>服从学院维护管理人员调度指挥。调度以工单和调度单的形式下派代维单位。代维人员无理由拒绝执行调单，每发现一次扣</w:t>
            </w:r>
            <w:r>
              <w:rPr>
                <w:rFonts w:ascii="宋体" w:hAnsi="宋体" w:cs="宋体"/>
                <w:kern w:val="0"/>
                <w:sz w:val="22"/>
                <w:szCs w:val="22"/>
              </w:rPr>
              <w:t>2</w:t>
            </w:r>
            <w:r>
              <w:rPr>
                <w:rFonts w:hint="eastAsia" w:ascii="宋体" w:hAnsi="宋体" w:cs="宋体"/>
                <w:kern w:val="0"/>
                <w:sz w:val="22"/>
                <w:szCs w:val="22"/>
              </w:rPr>
              <w:t>分。拖延执行，每发现一次扣</w:t>
            </w:r>
            <w:r>
              <w:rPr>
                <w:rFonts w:ascii="宋体" w:hAnsi="宋体" w:cs="宋体"/>
                <w:kern w:val="0"/>
                <w:sz w:val="22"/>
                <w:szCs w:val="22"/>
              </w:rPr>
              <w:t>1</w:t>
            </w:r>
            <w:r>
              <w:rPr>
                <w:rFonts w:hint="eastAsia" w:ascii="宋体" w:hAnsi="宋体" w:cs="宋体"/>
                <w:kern w:val="0"/>
                <w:sz w:val="22"/>
                <w:szCs w:val="22"/>
              </w:rPr>
              <w:t>分</w:t>
            </w:r>
          </w:p>
        </w:tc>
        <w:tc>
          <w:tcPr>
            <w:tcW w:w="90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kern w:val="0"/>
                <w:sz w:val="22"/>
              </w:rPr>
            </w:pPr>
          </w:p>
        </w:tc>
        <w:tc>
          <w:tcPr>
            <w:tcW w:w="900" w:type="dxa"/>
            <w:vMerge w:val="continue"/>
            <w:tcBorders>
              <w:left w:val="single" w:color="auto" w:sz="4" w:space="0"/>
              <w:right w:val="single" w:color="auto" w:sz="4" w:space="0"/>
            </w:tcBorders>
          </w:tcPr>
          <w:p>
            <w:pPr>
              <w:widowControl/>
              <w:jc w:val="left"/>
              <w:rPr>
                <w:rFonts w:ascii="宋体"/>
                <w:kern w:val="0"/>
                <w:sz w:val="22"/>
              </w:rPr>
            </w:pPr>
          </w:p>
        </w:tc>
        <w:tc>
          <w:tcPr>
            <w:tcW w:w="900" w:type="dxa"/>
            <w:tcBorders>
              <w:top w:val="single" w:color="auto" w:sz="4" w:space="0"/>
              <w:left w:val="single" w:color="auto" w:sz="4" w:space="0"/>
              <w:bottom w:val="single" w:color="auto" w:sz="4" w:space="0"/>
              <w:right w:val="single" w:color="auto" w:sz="4" w:space="0"/>
            </w:tcBorders>
          </w:tcPr>
          <w:p>
            <w:pPr>
              <w:widowControl/>
              <w:jc w:val="left"/>
              <w:rPr>
                <w:rFonts w:ascii="宋体"/>
                <w:kern w:val="0"/>
                <w:sz w:val="22"/>
              </w:rPr>
            </w:pPr>
          </w:p>
        </w:tc>
      </w:tr>
      <w:tr>
        <w:tblPrEx>
          <w:tblCellMar>
            <w:top w:w="0" w:type="dxa"/>
            <w:left w:w="108" w:type="dxa"/>
            <w:bottom w:w="0" w:type="dxa"/>
            <w:right w:w="108" w:type="dxa"/>
          </w:tblCellMar>
        </w:tblPrEx>
        <w:trPr>
          <w:trHeight w:val="1080" w:hRule="atLeast"/>
        </w:trPr>
        <w:tc>
          <w:tcPr>
            <w:tcW w:w="900" w:type="dxa"/>
            <w:vMerge w:val="continue"/>
            <w:tcBorders>
              <w:top w:val="nil"/>
              <w:left w:val="single" w:color="auto" w:sz="8" w:space="0"/>
              <w:bottom w:val="single" w:color="auto" w:sz="4" w:space="0"/>
              <w:right w:val="single" w:color="auto" w:sz="4" w:space="0"/>
            </w:tcBorders>
            <w:vAlign w:val="center"/>
          </w:tcPr>
          <w:p>
            <w:pPr>
              <w:widowControl/>
              <w:jc w:val="left"/>
              <w:rPr>
                <w:rFonts w:ascii="宋体"/>
                <w:b/>
                <w:bCs/>
                <w:kern w:val="0"/>
                <w:sz w:val="22"/>
              </w:rPr>
            </w:pPr>
          </w:p>
        </w:tc>
        <w:tc>
          <w:tcPr>
            <w:tcW w:w="1440" w:type="dxa"/>
            <w:tcBorders>
              <w:top w:val="nil"/>
              <w:left w:val="nil"/>
              <w:bottom w:val="single" w:color="auto" w:sz="4" w:space="0"/>
              <w:right w:val="single" w:color="auto" w:sz="4" w:space="0"/>
            </w:tcBorders>
            <w:vAlign w:val="center"/>
          </w:tcPr>
          <w:p>
            <w:pPr>
              <w:widowControl/>
              <w:jc w:val="center"/>
              <w:rPr>
                <w:rFonts w:ascii="宋体"/>
                <w:kern w:val="0"/>
                <w:sz w:val="20"/>
                <w:szCs w:val="20"/>
              </w:rPr>
            </w:pPr>
            <w:r>
              <w:rPr>
                <w:rFonts w:hint="eastAsia" w:ascii="宋体" w:hAnsi="宋体" w:cs="宋体"/>
                <w:kern w:val="0"/>
                <w:sz w:val="20"/>
                <w:szCs w:val="20"/>
              </w:rPr>
              <w:t>故障隐患处理</w:t>
            </w:r>
          </w:p>
        </w:tc>
        <w:tc>
          <w:tcPr>
            <w:tcW w:w="5220" w:type="dxa"/>
            <w:tcBorders>
              <w:top w:val="nil"/>
              <w:left w:val="nil"/>
              <w:bottom w:val="single" w:color="auto" w:sz="4" w:space="0"/>
              <w:right w:val="single" w:color="auto" w:sz="4" w:space="0"/>
            </w:tcBorders>
            <w:vAlign w:val="center"/>
          </w:tcPr>
          <w:p>
            <w:pPr>
              <w:widowControl/>
              <w:jc w:val="left"/>
              <w:rPr>
                <w:rFonts w:ascii="宋体"/>
                <w:kern w:val="0"/>
                <w:sz w:val="22"/>
              </w:rPr>
            </w:pPr>
            <w:r>
              <w:rPr>
                <w:rFonts w:hint="eastAsia" w:ascii="宋体" w:hAnsi="宋体" w:cs="宋体"/>
                <w:kern w:val="0"/>
                <w:sz w:val="22"/>
                <w:szCs w:val="22"/>
              </w:rPr>
              <w:t>每周上报隐患周报，同时把属于需代维处理的隐患及时处理。学院各部门派发的隐患整改通知单按时间和要求规范处理。没有故障隐患台帐扣</w:t>
            </w:r>
            <w:r>
              <w:rPr>
                <w:rFonts w:ascii="宋体" w:hAnsi="宋体" w:cs="宋体"/>
                <w:kern w:val="0"/>
                <w:sz w:val="22"/>
                <w:szCs w:val="22"/>
              </w:rPr>
              <w:t>5</w:t>
            </w:r>
            <w:r>
              <w:rPr>
                <w:rFonts w:hint="eastAsia" w:ascii="宋体" w:hAnsi="宋体" w:cs="宋体"/>
                <w:kern w:val="0"/>
                <w:sz w:val="22"/>
                <w:szCs w:val="22"/>
              </w:rPr>
              <w:t>分，对隐患没有及时处理每次扣</w:t>
            </w:r>
            <w:r>
              <w:rPr>
                <w:rFonts w:ascii="宋体" w:hAnsi="宋体" w:cs="宋体"/>
                <w:kern w:val="0"/>
                <w:sz w:val="22"/>
                <w:szCs w:val="22"/>
              </w:rPr>
              <w:t>1</w:t>
            </w:r>
            <w:r>
              <w:rPr>
                <w:rFonts w:hint="eastAsia" w:ascii="宋体" w:hAnsi="宋体" w:cs="宋体"/>
                <w:kern w:val="0"/>
                <w:sz w:val="22"/>
                <w:szCs w:val="22"/>
              </w:rPr>
              <w:t>分。</w:t>
            </w:r>
          </w:p>
        </w:tc>
        <w:tc>
          <w:tcPr>
            <w:tcW w:w="90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kern w:val="0"/>
                <w:sz w:val="22"/>
              </w:rPr>
            </w:pPr>
          </w:p>
        </w:tc>
        <w:tc>
          <w:tcPr>
            <w:tcW w:w="900" w:type="dxa"/>
            <w:vMerge w:val="continue"/>
            <w:tcBorders>
              <w:left w:val="single" w:color="auto" w:sz="4" w:space="0"/>
              <w:right w:val="single" w:color="auto" w:sz="4" w:space="0"/>
            </w:tcBorders>
          </w:tcPr>
          <w:p>
            <w:pPr>
              <w:widowControl/>
              <w:jc w:val="left"/>
              <w:rPr>
                <w:rFonts w:ascii="宋体"/>
                <w:kern w:val="0"/>
                <w:sz w:val="22"/>
              </w:rPr>
            </w:pPr>
          </w:p>
        </w:tc>
        <w:tc>
          <w:tcPr>
            <w:tcW w:w="900" w:type="dxa"/>
            <w:tcBorders>
              <w:top w:val="single" w:color="auto" w:sz="4" w:space="0"/>
              <w:left w:val="single" w:color="auto" w:sz="4" w:space="0"/>
              <w:bottom w:val="single" w:color="auto" w:sz="4" w:space="0"/>
              <w:right w:val="single" w:color="auto" w:sz="4" w:space="0"/>
            </w:tcBorders>
          </w:tcPr>
          <w:p>
            <w:pPr>
              <w:widowControl/>
              <w:jc w:val="left"/>
              <w:rPr>
                <w:rFonts w:ascii="宋体"/>
                <w:kern w:val="0"/>
                <w:sz w:val="22"/>
              </w:rPr>
            </w:pPr>
          </w:p>
        </w:tc>
      </w:tr>
      <w:tr>
        <w:tblPrEx>
          <w:tblCellMar>
            <w:top w:w="0" w:type="dxa"/>
            <w:left w:w="108" w:type="dxa"/>
            <w:bottom w:w="0" w:type="dxa"/>
            <w:right w:w="108" w:type="dxa"/>
          </w:tblCellMar>
        </w:tblPrEx>
        <w:trPr>
          <w:trHeight w:val="810" w:hRule="atLeast"/>
        </w:trPr>
        <w:tc>
          <w:tcPr>
            <w:tcW w:w="900" w:type="dxa"/>
            <w:vMerge w:val="continue"/>
            <w:tcBorders>
              <w:top w:val="nil"/>
              <w:left w:val="single" w:color="auto" w:sz="8" w:space="0"/>
              <w:bottom w:val="single" w:color="auto" w:sz="4" w:space="0"/>
              <w:right w:val="single" w:color="auto" w:sz="4" w:space="0"/>
            </w:tcBorders>
            <w:vAlign w:val="center"/>
          </w:tcPr>
          <w:p>
            <w:pPr>
              <w:widowControl/>
              <w:jc w:val="left"/>
              <w:rPr>
                <w:rFonts w:ascii="宋体"/>
                <w:b/>
                <w:bCs/>
                <w:kern w:val="0"/>
                <w:sz w:val="22"/>
              </w:rPr>
            </w:pPr>
          </w:p>
        </w:tc>
        <w:tc>
          <w:tcPr>
            <w:tcW w:w="1440" w:type="dxa"/>
            <w:tcBorders>
              <w:top w:val="nil"/>
              <w:left w:val="nil"/>
              <w:bottom w:val="single" w:color="auto" w:sz="4" w:space="0"/>
              <w:right w:val="single" w:color="auto" w:sz="4" w:space="0"/>
            </w:tcBorders>
            <w:vAlign w:val="center"/>
          </w:tcPr>
          <w:p>
            <w:pPr>
              <w:widowControl/>
              <w:jc w:val="center"/>
              <w:rPr>
                <w:rFonts w:ascii="宋体"/>
                <w:kern w:val="0"/>
                <w:sz w:val="20"/>
                <w:szCs w:val="20"/>
              </w:rPr>
            </w:pPr>
            <w:r>
              <w:rPr>
                <w:rFonts w:hint="eastAsia" w:ascii="宋体" w:hAnsi="宋体" w:cs="宋体"/>
                <w:kern w:val="0"/>
                <w:sz w:val="20"/>
                <w:szCs w:val="20"/>
              </w:rPr>
              <w:t>应急预案</w:t>
            </w:r>
          </w:p>
        </w:tc>
        <w:tc>
          <w:tcPr>
            <w:tcW w:w="5220" w:type="dxa"/>
            <w:tcBorders>
              <w:top w:val="nil"/>
              <w:left w:val="nil"/>
              <w:bottom w:val="single" w:color="auto" w:sz="4" w:space="0"/>
              <w:right w:val="single" w:color="auto" w:sz="4" w:space="0"/>
            </w:tcBorders>
            <w:vAlign w:val="center"/>
          </w:tcPr>
          <w:p>
            <w:pPr>
              <w:widowControl/>
              <w:jc w:val="left"/>
              <w:rPr>
                <w:rFonts w:ascii="宋体"/>
                <w:kern w:val="0"/>
                <w:sz w:val="22"/>
              </w:rPr>
            </w:pPr>
            <w:r>
              <w:rPr>
                <w:rFonts w:hint="eastAsia" w:ascii="宋体" w:hAnsi="宋体" w:cs="宋体"/>
                <w:kern w:val="0"/>
                <w:sz w:val="22"/>
                <w:szCs w:val="22"/>
              </w:rPr>
              <w:t>按学院要求对不同的五星星级客户制定应急预案并定期实施演练。缺一个应急方案扣</w:t>
            </w:r>
            <w:r>
              <w:rPr>
                <w:rFonts w:ascii="宋体" w:hAnsi="宋体" w:cs="宋体"/>
                <w:kern w:val="0"/>
                <w:sz w:val="22"/>
                <w:szCs w:val="22"/>
              </w:rPr>
              <w:t>5</w:t>
            </w:r>
            <w:r>
              <w:rPr>
                <w:rFonts w:hint="eastAsia" w:ascii="宋体" w:hAnsi="宋体" w:cs="宋体"/>
                <w:kern w:val="0"/>
                <w:sz w:val="22"/>
                <w:szCs w:val="22"/>
              </w:rPr>
              <w:t>分，每发现一个一处错误，扣</w:t>
            </w:r>
            <w:r>
              <w:rPr>
                <w:rFonts w:ascii="宋体" w:hAnsi="宋体" w:cs="宋体"/>
                <w:kern w:val="0"/>
                <w:sz w:val="22"/>
                <w:szCs w:val="22"/>
              </w:rPr>
              <w:t>1</w:t>
            </w:r>
            <w:r>
              <w:rPr>
                <w:rFonts w:hint="eastAsia" w:ascii="宋体" w:hAnsi="宋体" w:cs="宋体"/>
                <w:kern w:val="0"/>
                <w:sz w:val="22"/>
                <w:szCs w:val="22"/>
              </w:rPr>
              <w:t>分。每半年实施一次演练，没有演练扣</w:t>
            </w:r>
            <w:r>
              <w:rPr>
                <w:rFonts w:ascii="宋体" w:hAnsi="宋体" w:cs="宋体"/>
                <w:kern w:val="0"/>
                <w:sz w:val="22"/>
                <w:szCs w:val="22"/>
              </w:rPr>
              <w:t>2</w:t>
            </w:r>
            <w:r>
              <w:rPr>
                <w:rFonts w:hint="eastAsia" w:ascii="宋体" w:hAnsi="宋体" w:cs="宋体"/>
                <w:kern w:val="0"/>
                <w:sz w:val="22"/>
                <w:szCs w:val="22"/>
              </w:rPr>
              <w:t>分。</w:t>
            </w:r>
          </w:p>
        </w:tc>
        <w:tc>
          <w:tcPr>
            <w:tcW w:w="90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kern w:val="0"/>
                <w:sz w:val="22"/>
              </w:rPr>
            </w:pPr>
          </w:p>
        </w:tc>
        <w:tc>
          <w:tcPr>
            <w:tcW w:w="900" w:type="dxa"/>
            <w:vMerge w:val="continue"/>
            <w:tcBorders>
              <w:left w:val="single" w:color="auto" w:sz="4" w:space="0"/>
              <w:right w:val="single" w:color="auto" w:sz="4" w:space="0"/>
            </w:tcBorders>
          </w:tcPr>
          <w:p>
            <w:pPr>
              <w:widowControl/>
              <w:jc w:val="left"/>
              <w:rPr>
                <w:rFonts w:ascii="宋体"/>
                <w:kern w:val="0"/>
                <w:sz w:val="22"/>
              </w:rPr>
            </w:pPr>
          </w:p>
        </w:tc>
        <w:tc>
          <w:tcPr>
            <w:tcW w:w="900" w:type="dxa"/>
            <w:tcBorders>
              <w:top w:val="single" w:color="auto" w:sz="4" w:space="0"/>
              <w:left w:val="single" w:color="auto" w:sz="4" w:space="0"/>
              <w:bottom w:val="single" w:color="auto" w:sz="4" w:space="0"/>
              <w:right w:val="single" w:color="auto" w:sz="4" w:space="0"/>
            </w:tcBorders>
          </w:tcPr>
          <w:p>
            <w:pPr>
              <w:widowControl/>
              <w:jc w:val="left"/>
              <w:rPr>
                <w:rFonts w:ascii="宋体"/>
                <w:kern w:val="0"/>
                <w:sz w:val="22"/>
              </w:rPr>
            </w:pPr>
          </w:p>
        </w:tc>
      </w:tr>
      <w:tr>
        <w:tblPrEx>
          <w:tblCellMar>
            <w:top w:w="0" w:type="dxa"/>
            <w:left w:w="108" w:type="dxa"/>
            <w:bottom w:w="0" w:type="dxa"/>
            <w:right w:w="108" w:type="dxa"/>
          </w:tblCellMar>
        </w:tblPrEx>
        <w:trPr>
          <w:trHeight w:val="1890" w:hRule="atLeast"/>
        </w:trPr>
        <w:tc>
          <w:tcPr>
            <w:tcW w:w="900" w:type="dxa"/>
            <w:vMerge w:val="continue"/>
            <w:tcBorders>
              <w:top w:val="nil"/>
              <w:left w:val="single" w:color="auto" w:sz="8" w:space="0"/>
              <w:bottom w:val="single" w:color="auto" w:sz="4" w:space="0"/>
              <w:right w:val="single" w:color="auto" w:sz="4" w:space="0"/>
            </w:tcBorders>
            <w:vAlign w:val="center"/>
          </w:tcPr>
          <w:p>
            <w:pPr>
              <w:widowControl/>
              <w:jc w:val="left"/>
              <w:rPr>
                <w:rFonts w:ascii="宋体"/>
                <w:b/>
                <w:bCs/>
                <w:kern w:val="0"/>
                <w:sz w:val="22"/>
              </w:rPr>
            </w:pPr>
          </w:p>
        </w:tc>
        <w:tc>
          <w:tcPr>
            <w:tcW w:w="1440" w:type="dxa"/>
            <w:tcBorders>
              <w:top w:val="nil"/>
              <w:left w:val="nil"/>
              <w:bottom w:val="single" w:color="auto" w:sz="4" w:space="0"/>
              <w:right w:val="single" w:color="auto" w:sz="4" w:space="0"/>
            </w:tcBorders>
            <w:vAlign w:val="center"/>
          </w:tcPr>
          <w:p>
            <w:pPr>
              <w:widowControl/>
              <w:jc w:val="center"/>
              <w:rPr>
                <w:rFonts w:ascii="宋体"/>
                <w:kern w:val="0"/>
                <w:sz w:val="22"/>
              </w:rPr>
            </w:pPr>
            <w:r>
              <w:rPr>
                <w:rFonts w:hint="eastAsia" w:ascii="宋体" w:hAnsi="宋体" w:cs="宋体"/>
                <w:kern w:val="0"/>
                <w:sz w:val="22"/>
                <w:szCs w:val="22"/>
              </w:rPr>
              <w:t>故障分析</w:t>
            </w:r>
          </w:p>
        </w:tc>
        <w:tc>
          <w:tcPr>
            <w:tcW w:w="5220" w:type="dxa"/>
            <w:tcBorders>
              <w:top w:val="nil"/>
              <w:left w:val="nil"/>
              <w:bottom w:val="single" w:color="auto" w:sz="4" w:space="0"/>
              <w:right w:val="single" w:color="auto" w:sz="4" w:space="0"/>
            </w:tcBorders>
            <w:vAlign w:val="center"/>
          </w:tcPr>
          <w:p>
            <w:pPr>
              <w:widowControl/>
              <w:jc w:val="center"/>
              <w:rPr>
                <w:rFonts w:ascii="宋体"/>
                <w:kern w:val="0"/>
                <w:sz w:val="22"/>
              </w:rPr>
            </w:pPr>
            <w:r>
              <w:rPr>
                <w:rFonts w:hint="eastAsia" w:ascii="宋体" w:hAnsi="宋体" w:cs="宋体"/>
                <w:kern w:val="0"/>
                <w:sz w:val="22"/>
                <w:szCs w:val="22"/>
              </w:rPr>
              <w:t>故障修复后按向运行维护部管理员和各经营单元代维管理提交故障报告，内容应包括故障等级、故障现象、故障类型、影响范围</w:t>
            </w:r>
            <w:r>
              <w:rPr>
                <w:rFonts w:ascii="宋体" w:cs="宋体"/>
                <w:kern w:val="0"/>
                <w:sz w:val="22"/>
                <w:szCs w:val="22"/>
              </w:rPr>
              <w:t>,</w:t>
            </w:r>
            <w:r>
              <w:rPr>
                <w:rFonts w:hint="eastAsia" w:ascii="宋体" w:hAnsi="宋体" w:cs="宋体"/>
                <w:kern w:val="0"/>
                <w:sz w:val="22"/>
                <w:szCs w:val="22"/>
              </w:rPr>
              <w:t>故障起始时间、故障规定修复时间、故障历时、故障原因分析、故障处理情况、责任分析、故障处理人和故障使用材料等。每月汇总故障报告并作出分析。没有故障台帐扣</w:t>
            </w:r>
            <w:r>
              <w:rPr>
                <w:rFonts w:ascii="宋体" w:hAnsi="宋体" w:cs="宋体"/>
                <w:kern w:val="0"/>
                <w:sz w:val="22"/>
                <w:szCs w:val="22"/>
              </w:rPr>
              <w:t>5</w:t>
            </w:r>
            <w:r>
              <w:rPr>
                <w:rFonts w:hint="eastAsia" w:ascii="宋体" w:hAnsi="宋体" w:cs="宋体"/>
                <w:kern w:val="0"/>
                <w:sz w:val="22"/>
                <w:szCs w:val="22"/>
              </w:rPr>
              <w:t>分，单次故障记录没有及时上报每次扣</w:t>
            </w:r>
            <w:r>
              <w:rPr>
                <w:rFonts w:ascii="宋体" w:hAnsi="宋体" w:cs="宋体"/>
                <w:kern w:val="0"/>
                <w:sz w:val="22"/>
                <w:szCs w:val="22"/>
              </w:rPr>
              <w:t>0.5</w:t>
            </w:r>
            <w:r>
              <w:rPr>
                <w:rFonts w:hint="eastAsia" w:ascii="宋体" w:hAnsi="宋体" w:cs="宋体"/>
                <w:kern w:val="0"/>
                <w:sz w:val="22"/>
                <w:szCs w:val="22"/>
              </w:rPr>
              <w:t>分，每月没有故障分析报告扣</w:t>
            </w:r>
            <w:r>
              <w:rPr>
                <w:rFonts w:ascii="宋体" w:hAnsi="宋体" w:cs="宋体"/>
                <w:kern w:val="0"/>
                <w:sz w:val="22"/>
                <w:szCs w:val="22"/>
              </w:rPr>
              <w:t>3</w:t>
            </w:r>
            <w:r>
              <w:rPr>
                <w:rFonts w:hint="eastAsia" w:ascii="宋体" w:hAnsi="宋体" w:cs="宋体"/>
                <w:kern w:val="0"/>
                <w:sz w:val="22"/>
                <w:szCs w:val="22"/>
              </w:rPr>
              <w:t>分。</w:t>
            </w:r>
          </w:p>
        </w:tc>
        <w:tc>
          <w:tcPr>
            <w:tcW w:w="90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kern w:val="0"/>
                <w:sz w:val="22"/>
              </w:rPr>
            </w:pPr>
          </w:p>
        </w:tc>
        <w:tc>
          <w:tcPr>
            <w:tcW w:w="900" w:type="dxa"/>
            <w:vMerge w:val="continue"/>
            <w:tcBorders>
              <w:left w:val="single" w:color="auto" w:sz="4" w:space="0"/>
              <w:bottom w:val="single" w:color="000000" w:sz="4" w:space="0"/>
              <w:right w:val="single" w:color="auto" w:sz="4" w:space="0"/>
            </w:tcBorders>
          </w:tcPr>
          <w:p>
            <w:pPr>
              <w:widowControl/>
              <w:jc w:val="left"/>
              <w:rPr>
                <w:rFonts w:ascii="宋体"/>
                <w:kern w:val="0"/>
                <w:sz w:val="22"/>
              </w:rPr>
            </w:pPr>
          </w:p>
        </w:tc>
        <w:tc>
          <w:tcPr>
            <w:tcW w:w="900" w:type="dxa"/>
            <w:tcBorders>
              <w:top w:val="single" w:color="auto" w:sz="4" w:space="0"/>
              <w:left w:val="single" w:color="auto" w:sz="4" w:space="0"/>
              <w:bottom w:val="single" w:color="auto" w:sz="4" w:space="0"/>
              <w:right w:val="single" w:color="auto" w:sz="4" w:space="0"/>
            </w:tcBorders>
          </w:tcPr>
          <w:p>
            <w:pPr>
              <w:widowControl/>
              <w:jc w:val="left"/>
              <w:rPr>
                <w:rFonts w:ascii="宋体"/>
                <w:kern w:val="0"/>
                <w:sz w:val="22"/>
              </w:rPr>
            </w:pPr>
          </w:p>
        </w:tc>
      </w:tr>
      <w:tr>
        <w:tblPrEx>
          <w:tblCellMar>
            <w:top w:w="0" w:type="dxa"/>
            <w:left w:w="108" w:type="dxa"/>
            <w:bottom w:w="0" w:type="dxa"/>
            <w:right w:w="108" w:type="dxa"/>
          </w:tblCellMar>
        </w:tblPrEx>
        <w:trPr>
          <w:trHeight w:val="540" w:hRule="atLeast"/>
        </w:trPr>
        <w:tc>
          <w:tcPr>
            <w:tcW w:w="900" w:type="dxa"/>
            <w:vMerge w:val="restart"/>
            <w:tcBorders>
              <w:top w:val="nil"/>
              <w:left w:val="single" w:color="auto" w:sz="8" w:space="0"/>
              <w:bottom w:val="single" w:color="auto" w:sz="4" w:space="0"/>
              <w:right w:val="single" w:color="auto" w:sz="4" w:space="0"/>
            </w:tcBorders>
            <w:noWrap/>
            <w:vAlign w:val="center"/>
          </w:tcPr>
          <w:p>
            <w:pPr>
              <w:widowControl/>
              <w:jc w:val="center"/>
              <w:rPr>
                <w:rFonts w:ascii="宋体"/>
                <w:kern w:val="0"/>
                <w:sz w:val="22"/>
              </w:rPr>
            </w:pPr>
            <w:r>
              <w:rPr>
                <w:rFonts w:hint="eastAsia" w:ascii="宋体" w:hAnsi="宋体" w:cs="宋体"/>
                <w:kern w:val="0"/>
                <w:sz w:val="22"/>
                <w:szCs w:val="22"/>
              </w:rPr>
              <w:t>现场管理</w:t>
            </w:r>
          </w:p>
        </w:tc>
        <w:tc>
          <w:tcPr>
            <w:tcW w:w="1440" w:type="dxa"/>
            <w:tcBorders>
              <w:top w:val="nil"/>
              <w:left w:val="nil"/>
              <w:bottom w:val="single" w:color="auto" w:sz="4" w:space="0"/>
              <w:right w:val="single" w:color="auto" w:sz="4" w:space="0"/>
            </w:tcBorders>
            <w:vAlign w:val="center"/>
          </w:tcPr>
          <w:p>
            <w:pPr>
              <w:widowControl/>
              <w:jc w:val="center"/>
              <w:rPr>
                <w:rFonts w:ascii="宋体"/>
                <w:kern w:val="0"/>
                <w:sz w:val="22"/>
              </w:rPr>
            </w:pPr>
            <w:r>
              <w:rPr>
                <w:rFonts w:hint="eastAsia" w:ascii="宋体" w:hAnsi="宋体" w:cs="宋体"/>
                <w:kern w:val="0"/>
                <w:sz w:val="22"/>
                <w:szCs w:val="22"/>
              </w:rPr>
              <w:t>设备运行状态正常</w:t>
            </w:r>
          </w:p>
        </w:tc>
        <w:tc>
          <w:tcPr>
            <w:tcW w:w="5220" w:type="dxa"/>
            <w:tcBorders>
              <w:top w:val="nil"/>
              <w:left w:val="nil"/>
              <w:bottom w:val="single" w:color="auto" w:sz="4" w:space="0"/>
              <w:right w:val="single" w:color="auto" w:sz="4" w:space="0"/>
            </w:tcBorders>
            <w:vAlign w:val="center"/>
          </w:tcPr>
          <w:p>
            <w:pPr>
              <w:widowControl/>
              <w:jc w:val="center"/>
              <w:rPr>
                <w:rFonts w:ascii="宋体"/>
                <w:kern w:val="0"/>
                <w:sz w:val="22"/>
              </w:rPr>
            </w:pPr>
            <w:r>
              <w:rPr>
                <w:rFonts w:hint="eastAsia" w:ascii="宋体" w:hAnsi="宋体" w:cs="宋体"/>
                <w:kern w:val="0"/>
                <w:sz w:val="22"/>
                <w:szCs w:val="22"/>
              </w:rPr>
              <w:t>巡检时对异常的情况未报告及处理，每发现一处问题，扣</w:t>
            </w:r>
            <w:r>
              <w:rPr>
                <w:rFonts w:ascii="宋体" w:hAnsi="宋体" w:cs="宋体"/>
                <w:kern w:val="0"/>
                <w:sz w:val="22"/>
                <w:szCs w:val="22"/>
              </w:rPr>
              <w:t>1</w:t>
            </w:r>
            <w:r>
              <w:rPr>
                <w:rFonts w:hint="eastAsia" w:ascii="宋体" w:hAnsi="宋体" w:cs="宋体"/>
                <w:kern w:val="0"/>
                <w:sz w:val="22"/>
                <w:szCs w:val="22"/>
              </w:rPr>
              <w:t>分。</w:t>
            </w:r>
          </w:p>
        </w:tc>
        <w:tc>
          <w:tcPr>
            <w:tcW w:w="900" w:type="dxa"/>
            <w:vMerge w:val="restart"/>
            <w:tcBorders>
              <w:top w:val="nil"/>
              <w:left w:val="single" w:color="auto" w:sz="4" w:space="0"/>
              <w:bottom w:val="single" w:color="000000" w:sz="4" w:space="0"/>
              <w:right w:val="single" w:color="auto" w:sz="4" w:space="0"/>
            </w:tcBorders>
            <w:vAlign w:val="center"/>
          </w:tcPr>
          <w:p>
            <w:pPr>
              <w:widowControl/>
              <w:jc w:val="center"/>
              <w:rPr>
                <w:rFonts w:ascii="宋体"/>
                <w:kern w:val="0"/>
                <w:sz w:val="22"/>
              </w:rPr>
            </w:pPr>
            <w:r>
              <w:rPr>
                <w:rFonts w:ascii="宋体" w:hAnsi="宋体" w:cs="宋体"/>
                <w:kern w:val="0"/>
                <w:sz w:val="22"/>
                <w:szCs w:val="22"/>
              </w:rPr>
              <w:t>10</w:t>
            </w:r>
          </w:p>
        </w:tc>
        <w:tc>
          <w:tcPr>
            <w:tcW w:w="900" w:type="dxa"/>
            <w:vMerge w:val="restart"/>
            <w:tcBorders>
              <w:top w:val="nil"/>
              <w:left w:val="single" w:color="auto" w:sz="4" w:space="0"/>
              <w:right w:val="single" w:color="auto" w:sz="4" w:space="0"/>
            </w:tcBorders>
            <w:vAlign w:val="center"/>
          </w:tcPr>
          <w:p>
            <w:pPr>
              <w:widowControl/>
              <w:jc w:val="center"/>
              <w:rPr>
                <w:rFonts w:ascii="宋体" w:hAnsi="宋体" w:cs="宋体"/>
                <w:kern w:val="0"/>
                <w:sz w:val="22"/>
              </w:rPr>
            </w:pPr>
            <w:r>
              <w:rPr>
                <w:rFonts w:hint="eastAsia" w:ascii="宋体" w:hAnsi="宋体" w:cs="宋体"/>
                <w:kern w:val="0"/>
                <w:sz w:val="22"/>
                <w:szCs w:val="22"/>
              </w:rPr>
              <w:t>9</w:t>
            </w:r>
          </w:p>
        </w:tc>
        <w:tc>
          <w:tcPr>
            <w:tcW w:w="900"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cs="宋体"/>
                <w:kern w:val="0"/>
                <w:sz w:val="22"/>
                <w:szCs w:val="22"/>
              </w:rPr>
            </w:pPr>
          </w:p>
        </w:tc>
      </w:tr>
      <w:tr>
        <w:tblPrEx>
          <w:tblCellMar>
            <w:top w:w="0" w:type="dxa"/>
            <w:left w:w="108" w:type="dxa"/>
            <w:bottom w:w="0" w:type="dxa"/>
            <w:right w:w="108" w:type="dxa"/>
          </w:tblCellMar>
        </w:tblPrEx>
        <w:trPr>
          <w:trHeight w:val="540" w:hRule="atLeast"/>
        </w:trPr>
        <w:tc>
          <w:tcPr>
            <w:tcW w:w="900" w:type="dxa"/>
            <w:vMerge w:val="continue"/>
            <w:tcBorders>
              <w:top w:val="nil"/>
              <w:left w:val="single" w:color="auto" w:sz="8" w:space="0"/>
              <w:bottom w:val="single" w:color="auto" w:sz="4" w:space="0"/>
              <w:right w:val="single" w:color="auto" w:sz="4" w:space="0"/>
            </w:tcBorders>
            <w:vAlign w:val="center"/>
          </w:tcPr>
          <w:p>
            <w:pPr>
              <w:widowControl/>
              <w:jc w:val="left"/>
              <w:rPr>
                <w:rFonts w:ascii="宋体"/>
                <w:kern w:val="0"/>
                <w:sz w:val="22"/>
              </w:rPr>
            </w:pPr>
          </w:p>
        </w:tc>
        <w:tc>
          <w:tcPr>
            <w:tcW w:w="1440" w:type="dxa"/>
            <w:tcBorders>
              <w:top w:val="nil"/>
              <w:left w:val="nil"/>
              <w:bottom w:val="single" w:color="auto" w:sz="4" w:space="0"/>
              <w:right w:val="single" w:color="auto" w:sz="4" w:space="0"/>
            </w:tcBorders>
            <w:vAlign w:val="center"/>
          </w:tcPr>
          <w:p>
            <w:pPr>
              <w:widowControl/>
              <w:jc w:val="center"/>
              <w:rPr>
                <w:rFonts w:ascii="宋体"/>
                <w:kern w:val="0"/>
                <w:sz w:val="22"/>
              </w:rPr>
            </w:pPr>
            <w:r>
              <w:rPr>
                <w:rFonts w:hint="eastAsia" w:ascii="宋体" w:hAnsi="宋体" w:cs="宋体"/>
                <w:kern w:val="0"/>
                <w:sz w:val="22"/>
                <w:szCs w:val="22"/>
              </w:rPr>
              <w:t>机柜风扇运转正常</w:t>
            </w:r>
          </w:p>
        </w:tc>
        <w:tc>
          <w:tcPr>
            <w:tcW w:w="5220" w:type="dxa"/>
            <w:tcBorders>
              <w:top w:val="nil"/>
              <w:left w:val="nil"/>
              <w:bottom w:val="single" w:color="auto" w:sz="4" w:space="0"/>
              <w:right w:val="single" w:color="auto" w:sz="4" w:space="0"/>
            </w:tcBorders>
            <w:vAlign w:val="center"/>
          </w:tcPr>
          <w:p>
            <w:pPr>
              <w:widowControl/>
              <w:jc w:val="center"/>
              <w:rPr>
                <w:rFonts w:ascii="宋体"/>
                <w:kern w:val="0"/>
                <w:sz w:val="22"/>
              </w:rPr>
            </w:pPr>
            <w:r>
              <w:rPr>
                <w:rFonts w:hint="eastAsia" w:ascii="宋体" w:hAnsi="宋体" w:cs="宋体"/>
                <w:kern w:val="0"/>
                <w:sz w:val="22"/>
                <w:szCs w:val="22"/>
              </w:rPr>
              <w:t>机柜内各个风扇运转正常、无故障，每发现一处问题，扣</w:t>
            </w:r>
            <w:r>
              <w:rPr>
                <w:rFonts w:ascii="宋体" w:hAnsi="宋体" w:cs="宋体"/>
                <w:kern w:val="0"/>
                <w:sz w:val="22"/>
                <w:szCs w:val="22"/>
              </w:rPr>
              <w:t>1</w:t>
            </w:r>
            <w:r>
              <w:rPr>
                <w:rFonts w:hint="eastAsia" w:ascii="宋体" w:hAnsi="宋体" w:cs="宋体"/>
                <w:kern w:val="0"/>
                <w:sz w:val="22"/>
                <w:szCs w:val="22"/>
              </w:rPr>
              <w:t>分。</w:t>
            </w:r>
          </w:p>
        </w:tc>
        <w:tc>
          <w:tcPr>
            <w:tcW w:w="90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kern w:val="0"/>
                <w:sz w:val="22"/>
              </w:rPr>
            </w:pPr>
          </w:p>
        </w:tc>
        <w:tc>
          <w:tcPr>
            <w:tcW w:w="900" w:type="dxa"/>
            <w:vMerge w:val="continue"/>
            <w:tcBorders>
              <w:left w:val="single" w:color="auto" w:sz="4" w:space="0"/>
              <w:right w:val="single" w:color="auto" w:sz="4" w:space="0"/>
            </w:tcBorders>
          </w:tcPr>
          <w:p>
            <w:pPr>
              <w:widowControl/>
              <w:jc w:val="left"/>
              <w:rPr>
                <w:rFonts w:ascii="宋体"/>
                <w:kern w:val="0"/>
                <w:sz w:val="22"/>
              </w:rPr>
            </w:pPr>
          </w:p>
        </w:tc>
        <w:tc>
          <w:tcPr>
            <w:tcW w:w="900" w:type="dxa"/>
            <w:tcBorders>
              <w:top w:val="single" w:color="auto" w:sz="4" w:space="0"/>
              <w:left w:val="single" w:color="auto" w:sz="4" w:space="0"/>
              <w:bottom w:val="single" w:color="auto" w:sz="4" w:space="0"/>
              <w:right w:val="single" w:color="auto" w:sz="4" w:space="0"/>
            </w:tcBorders>
          </w:tcPr>
          <w:p>
            <w:pPr>
              <w:widowControl/>
              <w:jc w:val="left"/>
              <w:rPr>
                <w:rFonts w:ascii="宋体"/>
                <w:kern w:val="0"/>
                <w:sz w:val="22"/>
              </w:rPr>
            </w:pPr>
          </w:p>
        </w:tc>
      </w:tr>
      <w:tr>
        <w:tblPrEx>
          <w:tblCellMar>
            <w:top w:w="0" w:type="dxa"/>
            <w:left w:w="108" w:type="dxa"/>
            <w:bottom w:w="0" w:type="dxa"/>
            <w:right w:w="108" w:type="dxa"/>
          </w:tblCellMar>
        </w:tblPrEx>
        <w:trPr>
          <w:trHeight w:val="270" w:hRule="atLeast"/>
        </w:trPr>
        <w:tc>
          <w:tcPr>
            <w:tcW w:w="900" w:type="dxa"/>
            <w:vMerge w:val="continue"/>
            <w:tcBorders>
              <w:top w:val="nil"/>
              <w:left w:val="single" w:color="auto" w:sz="8" w:space="0"/>
              <w:bottom w:val="single" w:color="auto" w:sz="4" w:space="0"/>
              <w:right w:val="single" w:color="auto" w:sz="4" w:space="0"/>
            </w:tcBorders>
            <w:vAlign w:val="center"/>
          </w:tcPr>
          <w:p>
            <w:pPr>
              <w:widowControl/>
              <w:jc w:val="left"/>
              <w:rPr>
                <w:rFonts w:ascii="宋体"/>
                <w:kern w:val="0"/>
                <w:sz w:val="22"/>
              </w:rPr>
            </w:pPr>
          </w:p>
        </w:tc>
        <w:tc>
          <w:tcPr>
            <w:tcW w:w="1440" w:type="dxa"/>
            <w:tcBorders>
              <w:top w:val="nil"/>
              <w:left w:val="nil"/>
              <w:bottom w:val="single" w:color="auto" w:sz="4" w:space="0"/>
              <w:right w:val="single" w:color="auto" w:sz="4" w:space="0"/>
            </w:tcBorders>
            <w:vAlign w:val="center"/>
          </w:tcPr>
          <w:p>
            <w:pPr>
              <w:widowControl/>
              <w:jc w:val="center"/>
              <w:rPr>
                <w:rFonts w:ascii="宋体"/>
                <w:kern w:val="0"/>
                <w:sz w:val="22"/>
              </w:rPr>
            </w:pPr>
            <w:r>
              <w:rPr>
                <w:rFonts w:hint="eastAsia" w:ascii="宋体" w:hAnsi="宋体" w:cs="宋体"/>
                <w:kern w:val="0"/>
                <w:sz w:val="22"/>
                <w:szCs w:val="22"/>
              </w:rPr>
              <w:t>设备无异常发热</w:t>
            </w:r>
          </w:p>
        </w:tc>
        <w:tc>
          <w:tcPr>
            <w:tcW w:w="5220" w:type="dxa"/>
            <w:tcBorders>
              <w:top w:val="nil"/>
              <w:left w:val="nil"/>
              <w:bottom w:val="single" w:color="auto" w:sz="4" w:space="0"/>
              <w:right w:val="single" w:color="auto" w:sz="4" w:space="0"/>
            </w:tcBorders>
            <w:vAlign w:val="center"/>
          </w:tcPr>
          <w:p>
            <w:pPr>
              <w:widowControl/>
              <w:jc w:val="center"/>
              <w:rPr>
                <w:rFonts w:ascii="宋体"/>
                <w:kern w:val="0"/>
                <w:sz w:val="22"/>
              </w:rPr>
            </w:pPr>
            <w:r>
              <w:rPr>
                <w:rFonts w:hint="eastAsia" w:ascii="宋体" w:hAnsi="宋体" w:cs="宋体"/>
                <w:kern w:val="0"/>
                <w:sz w:val="22"/>
                <w:szCs w:val="22"/>
              </w:rPr>
              <w:t>手摸设备温度正常（不烫手），每发现一处问题，扣</w:t>
            </w:r>
            <w:r>
              <w:rPr>
                <w:rFonts w:ascii="宋体" w:hAnsi="宋体" w:cs="宋体"/>
                <w:kern w:val="0"/>
                <w:sz w:val="22"/>
                <w:szCs w:val="22"/>
              </w:rPr>
              <w:t>1</w:t>
            </w:r>
            <w:r>
              <w:rPr>
                <w:rFonts w:hint="eastAsia" w:ascii="宋体" w:hAnsi="宋体" w:cs="宋体"/>
                <w:kern w:val="0"/>
                <w:sz w:val="22"/>
                <w:szCs w:val="22"/>
              </w:rPr>
              <w:t>分。</w:t>
            </w:r>
          </w:p>
        </w:tc>
        <w:tc>
          <w:tcPr>
            <w:tcW w:w="90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kern w:val="0"/>
                <w:sz w:val="22"/>
              </w:rPr>
            </w:pPr>
          </w:p>
        </w:tc>
        <w:tc>
          <w:tcPr>
            <w:tcW w:w="900" w:type="dxa"/>
            <w:vMerge w:val="continue"/>
            <w:tcBorders>
              <w:left w:val="single" w:color="auto" w:sz="4" w:space="0"/>
              <w:right w:val="single" w:color="auto" w:sz="4" w:space="0"/>
            </w:tcBorders>
          </w:tcPr>
          <w:p>
            <w:pPr>
              <w:widowControl/>
              <w:jc w:val="left"/>
              <w:rPr>
                <w:rFonts w:ascii="宋体"/>
                <w:kern w:val="0"/>
                <w:sz w:val="22"/>
              </w:rPr>
            </w:pPr>
          </w:p>
        </w:tc>
        <w:tc>
          <w:tcPr>
            <w:tcW w:w="900" w:type="dxa"/>
            <w:tcBorders>
              <w:top w:val="single" w:color="auto" w:sz="4" w:space="0"/>
              <w:left w:val="single" w:color="auto" w:sz="4" w:space="0"/>
              <w:bottom w:val="single" w:color="auto" w:sz="4" w:space="0"/>
              <w:right w:val="single" w:color="auto" w:sz="4" w:space="0"/>
            </w:tcBorders>
          </w:tcPr>
          <w:p>
            <w:pPr>
              <w:widowControl/>
              <w:jc w:val="left"/>
              <w:rPr>
                <w:rFonts w:ascii="宋体"/>
                <w:kern w:val="0"/>
                <w:sz w:val="22"/>
              </w:rPr>
            </w:pPr>
          </w:p>
        </w:tc>
      </w:tr>
      <w:tr>
        <w:tblPrEx>
          <w:tblCellMar>
            <w:top w:w="0" w:type="dxa"/>
            <w:left w:w="108" w:type="dxa"/>
            <w:bottom w:w="0" w:type="dxa"/>
            <w:right w:w="108" w:type="dxa"/>
          </w:tblCellMar>
        </w:tblPrEx>
        <w:trPr>
          <w:trHeight w:val="270" w:hRule="atLeast"/>
        </w:trPr>
        <w:tc>
          <w:tcPr>
            <w:tcW w:w="900" w:type="dxa"/>
            <w:vMerge w:val="continue"/>
            <w:tcBorders>
              <w:top w:val="nil"/>
              <w:left w:val="single" w:color="auto" w:sz="8" w:space="0"/>
              <w:bottom w:val="single" w:color="auto" w:sz="4" w:space="0"/>
              <w:right w:val="single" w:color="auto" w:sz="4" w:space="0"/>
            </w:tcBorders>
            <w:vAlign w:val="center"/>
          </w:tcPr>
          <w:p>
            <w:pPr>
              <w:widowControl/>
              <w:jc w:val="left"/>
              <w:rPr>
                <w:rFonts w:ascii="宋体"/>
                <w:kern w:val="0"/>
                <w:sz w:val="22"/>
              </w:rPr>
            </w:pPr>
          </w:p>
        </w:tc>
        <w:tc>
          <w:tcPr>
            <w:tcW w:w="1440" w:type="dxa"/>
            <w:tcBorders>
              <w:top w:val="nil"/>
              <w:left w:val="nil"/>
              <w:bottom w:val="single" w:color="auto" w:sz="4" w:space="0"/>
              <w:right w:val="single" w:color="auto" w:sz="4" w:space="0"/>
            </w:tcBorders>
            <w:vAlign w:val="center"/>
          </w:tcPr>
          <w:p>
            <w:pPr>
              <w:widowControl/>
              <w:jc w:val="center"/>
              <w:rPr>
                <w:rFonts w:ascii="宋体"/>
                <w:kern w:val="0"/>
                <w:sz w:val="22"/>
              </w:rPr>
            </w:pPr>
            <w:r>
              <w:rPr>
                <w:rFonts w:hint="eastAsia" w:ascii="宋体" w:hAnsi="宋体" w:cs="宋体"/>
                <w:kern w:val="0"/>
                <w:sz w:val="22"/>
                <w:szCs w:val="22"/>
              </w:rPr>
              <w:t>设备机柜卫生、清洁</w:t>
            </w:r>
          </w:p>
        </w:tc>
        <w:tc>
          <w:tcPr>
            <w:tcW w:w="5220" w:type="dxa"/>
            <w:tcBorders>
              <w:top w:val="nil"/>
              <w:left w:val="nil"/>
              <w:bottom w:val="single" w:color="auto" w:sz="4" w:space="0"/>
              <w:right w:val="single" w:color="auto" w:sz="4" w:space="0"/>
            </w:tcBorders>
            <w:vAlign w:val="center"/>
          </w:tcPr>
          <w:p>
            <w:pPr>
              <w:widowControl/>
              <w:jc w:val="center"/>
              <w:rPr>
                <w:rFonts w:ascii="宋体"/>
                <w:kern w:val="0"/>
                <w:sz w:val="22"/>
              </w:rPr>
            </w:pPr>
            <w:r>
              <w:rPr>
                <w:rFonts w:hint="eastAsia" w:ascii="宋体" w:hAnsi="宋体" w:cs="宋体"/>
                <w:kern w:val="0"/>
                <w:sz w:val="22"/>
                <w:szCs w:val="22"/>
              </w:rPr>
              <w:t>手摸应明显无尘，每发现一处问题，扣</w:t>
            </w:r>
            <w:r>
              <w:rPr>
                <w:rFonts w:ascii="宋体" w:hAnsi="宋体" w:cs="宋体"/>
                <w:kern w:val="0"/>
                <w:sz w:val="22"/>
                <w:szCs w:val="22"/>
              </w:rPr>
              <w:t>1</w:t>
            </w:r>
            <w:r>
              <w:rPr>
                <w:rFonts w:hint="eastAsia" w:ascii="宋体" w:hAnsi="宋体" w:cs="宋体"/>
                <w:kern w:val="0"/>
                <w:sz w:val="22"/>
                <w:szCs w:val="22"/>
              </w:rPr>
              <w:t>分。</w:t>
            </w:r>
          </w:p>
        </w:tc>
        <w:tc>
          <w:tcPr>
            <w:tcW w:w="90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kern w:val="0"/>
                <w:sz w:val="22"/>
              </w:rPr>
            </w:pPr>
          </w:p>
        </w:tc>
        <w:tc>
          <w:tcPr>
            <w:tcW w:w="900" w:type="dxa"/>
            <w:vMerge w:val="continue"/>
            <w:tcBorders>
              <w:left w:val="single" w:color="auto" w:sz="4" w:space="0"/>
              <w:right w:val="single" w:color="auto" w:sz="4" w:space="0"/>
            </w:tcBorders>
          </w:tcPr>
          <w:p>
            <w:pPr>
              <w:widowControl/>
              <w:jc w:val="left"/>
              <w:rPr>
                <w:rFonts w:ascii="宋体"/>
                <w:kern w:val="0"/>
                <w:sz w:val="22"/>
              </w:rPr>
            </w:pPr>
          </w:p>
        </w:tc>
        <w:tc>
          <w:tcPr>
            <w:tcW w:w="900" w:type="dxa"/>
            <w:tcBorders>
              <w:top w:val="single" w:color="auto" w:sz="4" w:space="0"/>
              <w:left w:val="single" w:color="auto" w:sz="4" w:space="0"/>
              <w:bottom w:val="single" w:color="auto" w:sz="4" w:space="0"/>
              <w:right w:val="single" w:color="auto" w:sz="4" w:space="0"/>
            </w:tcBorders>
          </w:tcPr>
          <w:p>
            <w:pPr>
              <w:widowControl/>
              <w:jc w:val="left"/>
              <w:rPr>
                <w:rFonts w:ascii="宋体"/>
                <w:kern w:val="0"/>
                <w:sz w:val="22"/>
              </w:rPr>
            </w:pPr>
          </w:p>
        </w:tc>
      </w:tr>
      <w:tr>
        <w:tblPrEx>
          <w:tblCellMar>
            <w:top w:w="0" w:type="dxa"/>
            <w:left w:w="108" w:type="dxa"/>
            <w:bottom w:w="0" w:type="dxa"/>
            <w:right w:w="108" w:type="dxa"/>
          </w:tblCellMar>
        </w:tblPrEx>
        <w:trPr>
          <w:trHeight w:val="540" w:hRule="atLeast"/>
        </w:trPr>
        <w:tc>
          <w:tcPr>
            <w:tcW w:w="900" w:type="dxa"/>
            <w:vMerge w:val="continue"/>
            <w:tcBorders>
              <w:top w:val="nil"/>
              <w:left w:val="single" w:color="auto" w:sz="8" w:space="0"/>
              <w:bottom w:val="single" w:color="auto" w:sz="4" w:space="0"/>
              <w:right w:val="single" w:color="auto" w:sz="4" w:space="0"/>
            </w:tcBorders>
            <w:vAlign w:val="center"/>
          </w:tcPr>
          <w:p>
            <w:pPr>
              <w:widowControl/>
              <w:jc w:val="left"/>
              <w:rPr>
                <w:rFonts w:ascii="宋体"/>
                <w:kern w:val="0"/>
                <w:sz w:val="22"/>
              </w:rPr>
            </w:pPr>
          </w:p>
        </w:tc>
        <w:tc>
          <w:tcPr>
            <w:tcW w:w="1440" w:type="dxa"/>
            <w:tcBorders>
              <w:top w:val="nil"/>
              <w:left w:val="nil"/>
              <w:bottom w:val="single" w:color="auto" w:sz="4" w:space="0"/>
              <w:right w:val="single" w:color="auto" w:sz="4" w:space="0"/>
            </w:tcBorders>
            <w:vAlign w:val="center"/>
          </w:tcPr>
          <w:p>
            <w:pPr>
              <w:widowControl/>
              <w:jc w:val="center"/>
              <w:rPr>
                <w:rFonts w:ascii="宋体"/>
                <w:kern w:val="0"/>
                <w:sz w:val="22"/>
              </w:rPr>
            </w:pPr>
            <w:r>
              <w:rPr>
                <w:rFonts w:hint="eastAsia" w:ascii="宋体" w:hAnsi="宋体" w:cs="宋体"/>
                <w:kern w:val="0"/>
                <w:sz w:val="22"/>
                <w:szCs w:val="22"/>
              </w:rPr>
              <w:t>机架馈线标识明确</w:t>
            </w:r>
          </w:p>
        </w:tc>
        <w:tc>
          <w:tcPr>
            <w:tcW w:w="5220" w:type="dxa"/>
            <w:tcBorders>
              <w:top w:val="nil"/>
              <w:left w:val="nil"/>
              <w:bottom w:val="single" w:color="auto" w:sz="4" w:space="0"/>
              <w:right w:val="single" w:color="auto" w:sz="4" w:space="0"/>
            </w:tcBorders>
            <w:vAlign w:val="center"/>
          </w:tcPr>
          <w:p>
            <w:pPr>
              <w:widowControl/>
              <w:jc w:val="center"/>
              <w:rPr>
                <w:rFonts w:ascii="宋体"/>
                <w:kern w:val="0"/>
                <w:sz w:val="22"/>
              </w:rPr>
            </w:pPr>
            <w:r>
              <w:rPr>
                <w:rFonts w:hint="eastAsia" w:ascii="宋体" w:hAnsi="宋体" w:cs="宋体"/>
                <w:kern w:val="0"/>
                <w:sz w:val="22"/>
                <w:szCs w:val="22"/>
              </w:rPr>
              <w:t>机柜标识、机架跳线（机柜顶、避雷器处）标识应符合标准化规范，每发现一处问题，扣</w:t>
            </w:r>
            <w:r>
              <w:rPr>
                <w:rFonts w:ascii="宋体" w:hAnsi="宋体" w:cs="宋体"/>
                <w:kern w:val="0"/>
                <w:sz w:val="22"/>
                <w:szCs w:val="22"/>
              </w:rPr>
              <w:t>1</w:t>
            </w:r>
            <w:r>
              <w:rPr>
                <w:rFonts w:hint="eastAsia" w:ascii="宋体" w:hAnsi="宋体" w:cs="宋体"/>
                <w:kern w:val="0"/>
                <w:sz w:val="22"/>
                <w:szCs w:val="22"/>
              </w:rPr>
              <w:t>分。</w:t>
            </w:r>
          </w:p>
        </w:tc>
        <w:tc>
          <w:tcPr>
            <w:tcW w:w="90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kern w:val="0"/>
                <w:sz w:val="22"/>
              </w:rPr>
            </w:pPr>
          </w:p>
        </w:tc>
        <w:tc>
          <w:tcPr>
            <w:tcW w:w="900" w:type="dxa"/>
            <w:vMerge w:val="continue"/>
            <w:tcBorders>
              <w:left w:val="single" w:color="auto" w:sz="4" w:space="0"/>
              <w:right w:val="single" w:color="auto" w:sz="4" w:space="0"/>
            </w:tcBorders>
          </w:tcPr>
          <w:p>
            <w:pPr>
              <w:widowControl/>
              <w:jc w:val="left"/>
              <w:rPr>
                <w:rFonts w:ascii="宋体"/>
                <w:kern w:val="0"/>
                <w:sz w:val="22"/>
              </w:rPr>
            </w:pPr>
          </w:p>
        </w:tc>
        <w:tc>
          <w:tcPr>
            <w:tcW w:w="900" w:type="dxa"/>
            <w:tcBorders>
              <w:top w:val="single" w:color="auto" w:sz="4" w:space="0"/>
              <w:left w:val="single" w:color="auto" w:sz="4" w:space="0"/>
              <w:bottom w:val="single" w:color="auto" w:sz="4" w:space="0"/>
              <w:right w:val="single" w:color="auto" w:sz="4" w:space="0"/>
            </w:tcBorders>
          </w:tcPr>
          <w:p>
            <w:pPr>
              <w:widowControl/>
              <w:jc w:val="left"/>
              <w:rPr>
                <w:rFonts w:ascii="宋体"/>
                <w:kern w:val="0"/>
                <w:sz w:val="22"/>
              </w:rPr>
            </w:pPr>
          </w:p>
        </w:tc>
      </w:tr>
      <w:tr>
        <w:tblPrEx>
          <w:tblCellMar>
            <w:top w:w="0" w:type="dxa"/>
            <w:left w:w="108" w:type="dxa"/>
            <w:bottom w:w="0" w:type="dxa"/>
            <w:right w:w="108" w:type="dxa"/>
          </w:tblCellMar>
        </w:tblPrEx>
        <w:trPr>
          <w:trHeight w:val="270" w:hRule="atLeast"/>
        </w:trPr>
        <w:tc>
          <w:tcPr>
            <w:tcW w:w="900" w:type="dxa"/>
            <w:vMerge w:val="continue"/>
            <w:tcBorders>
              <w:top w:val="nil"/>
              <w:left w:val="single" w:color="auto" w:sz="8" w:space="0"/>
              <w:bottom w:val="single" w:color="auto" w:sz="4" w:space="0"/>
              <w:right w:val="single" w:color="auto" w:sz="4" w:space="0"/>
            </w:tcBorders>
            <w:vAlign w:val="center"/>
          </w:tcPr>
          <w:p>
            <w:pPr>
              <w:widowControl/>
              <w:jc w:val="left"/>
              <w:rPr>
                <w:rFonts w:ascii="宋体"/>
                <w:kern w:val="0"/>
                <w:sz w:val="22"/>
              </w:rPr>
            </w:pPr>
          </w:p>
        </w:tc>
        <w:tc>
          <w:tcPr>
            <w:tcW w:w="1440" w:type="dxa"/>
            <w:tcBorders>
              <w:top w:val="nil"/>
              <w:left w:val="nil"/>
              <w:bottom w:val="single" w:color="auto" w:sz="4" w:space="0"/>
              <w:right w:val="single" w:color="auto" w:sz="4" w:space="0"/>
            </w:tcBorders>
            <w:vAlign w:val="center"/>
          </w:tcPr>
          <w:p>
            <w:pPr>
              <w:widowControl/>
              <w:jc w:val="center"/>
              <w:rPr>
                <w:rFonts w:ascii="宋体"/>
                <w:kern w:val="0"/>
                <w:sz w:val="22"/>
              </w:rPr>
            </w:pPr>
            <w:r>
              <w:rPr>
                <w:rFonts w:hint="eastAsia" w:ascii="宋体" w:hAnsi="宋体" w:cs="宋体"/>
                <w:kern w:val="0"/>
                <w:sz w:val="22"/>
                <w:szCs w:val="22"/>
              </w:rPr>
              <w:t>布线（电源线、电缆等）</w:t>
            </w:r>
          </w:p>
        </w:tc>
        <w:tc>
          <w:tcPr>
            <w:tcW w:w="5220" w:type="dxa"/>
            <w:tcBorders>
              <w:top w:val="nil"/>
              <w:left w:val="nil"/>
              <w:bottom w:val="single" w:color="auto" w:sz="4" w:space="0"/>
              <w:right w:val="single" w:color="auto" w:sz="4" w:space="0"/>
            </w:tcBorders>
            <w:vAlign w:val="center"/>
          </w:tcPr>
          <w:p>
            <w:pPr>
              <w:widowControl/>
              <w:jc w:val="center"/>
              <w:rPr>
                <w:rFonts w:ascii="宋体"/>
                <w:kern w:val="0"/>
                <w:sz w:val="22"/>
              </w:rPr>
            </w:pPr>
            <w:r>
              <w:rPr>
                <w:rFonts w:hint="eastAsia" w:ascii="宋体" w:hAnsi="宋体" w:cs="宋体"/>
                <w:kern w:val="0"/>
                <w:sz w:val="22"/>
                <w:szCs w:val="22"/>
              </w:rPr>
              <w:t>整齐，合理，无飞线，每发现一处问题，扣</w:t>
            </w:r>
            <w:r>
              <w:rPr>
                <w:rFonts w:ascii="宋体" w:hAnsi="宋体" w:cs="宋体"/>
                <w:kern w:val="0"/>
                <w:sz w:val="22"/>
                <w:szCs w:val="22"/>
              </w:rPr>
              <w:t>1</w:t>
            </w:r>
            <w:r>
              <w:rPr>
                <w:rFonts w:hint="eastAsia" w:ascii="宋体" w:hAnsi="宋体" w:cs="宋体"/>
                <w:kern w:val="0"/>
                <w:sz w:val="22"/>
                <w:szCs w:val="22"/>
              </w:rPr>
              <w:t>分。</w:t>
            </w:r>
          </w:p>
        </w:tc>
        <w:tc>
          <w:tcPr>
            <w:tcW w:w="90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kern w:val="0"/>
                <w:sz w:val="22"/>
              </w:rPr>
            </w:pPr>
          </w:p>
        </w:tc>
        <w:tc>
          <w:tcPr>
            <w:tcW w:w="900" w:type="dxa"/>
            <w:vMerge w:val="continue"/>
            <w:tcBorders>
              <w:left w:val="single" w:color="auto" w:sz="4" w:space="0"/>
              <w:right w:val="single" w:color="auto" w:sz="4" w:space="0"/>
            </w:tcBorders>
          </w:tcPr>
          <w:p>
            <w:pPr>
              <w:widowControl/>
              <w:jc w:val="left"/>
              <w:rPr>
                <w:rFonts w:ascii="宋体"/>
                <w:kern w:val="0"/>
                <w:sz w:val="22"/>
              </w:rPr>
            </w:pPr>
          </w:p>
        </w:tc>
        <w:tc>
          <w:tcPr>
            <w:tcW w:w="900" w:type="dxa"/>
            <w:tcBorders>
              <w:top w:val="single" w:color="auto" w:sz="4" w:space="0"/>
              <w:left w:val="single" w:color="auto" w:sz="4" w:space="0"/>
              <w:bottom w:val="single" w:color="auto" w:sz="4" w:space="0"/>
              <w:right w:val="single" w:color="auto" w:sz="4" w:space="0"/>
            </w:tcBorders>
          </w:tcPr>
          <w:p>
            <w:pPr>
              <w:widowControl/>
              <w:jc w:val="left"/>
              <w:rPr>
                <w:rFonts w:ascii="宋体"/>
                <w:kern w:val="0"/>
                <w:sz w:val="22"/>
              </w:rPr>
            </w:pPr>
          </w:p>
        </w:tc>
      </w:tr>
      <w:tr>
        <w:tblPrEx>
          <w:tblCellMar>
            <w:top w:w="0" w:type="dxa"/>
            <w:left w:w="108" w:type="dxa"/>
            <w:bottom w:w="0" w:type="dxa"/>
            <w:right w:w="108" w:type="dxa"/>
          </w:tblCellMar>
        </w:tblPrEx>
        <w:trPr>
          <w:trHeight w:val="270" w:hRule="atLeast"/>
        </w:trPr>
        <w:tc>
          <w:tcPr>
            <w:tcW w:w="900" w:type="dxa"/>
            <w:vMerge w:val="continue"/>
            <w:tcBorders>
              <w:top w:val="nil"/>
              <w:left w:val="single" w:color="auto" w:sz="8" w:space="0"/>
              <w:bottom w:val="single" w:color="auto" w:sz="4" w:space="0"/>
              <w:right w:val="single" w:color="auto" w:sz="4" w:space="0"/>
            </w:tcBorders>
            <w:vAlign w:val="center"/>
          </w:tcPr>
          <w:p>
            <w:pPr>
              <w:widowControl/>
              <w:jc w:val="left"/>
              <w:rPr>
                <w:rFonts w:ascii="宋体"/>
                <w:kern w:val="0"/>
                <w:sz w:val="22"/>
              </w:rPr>
            </w:pPr>
          </w:p>
        </w:tc>
        <w:tc>
          <w:tcPr>
            <w:tcW w:w="1440" w:type="dxa"/>
            <w:tcBorders>
              <w:top w:val="nil"/>
              <w:left w:val="nil"/>
              <w:bottom w:val="single" w:color="auto" w:sz="4" w:space="0"/>
              <w:right w:val="single" w:color="auto" w:sz="4" w:space="0"/>
            </w:tcBorders>
            <w:vAlign w:val="center"/>
          </w:tcPr>
          <w:p>
            <w:pPr>
              <w:widowControl/>
              <w:jc w:val="center"/>
              <w:rPr>
                <w:rFonts w:ascii="宋体"/>
                <w:kern w:val="0"/>
                <w:sz w:val="22"/>
              </w:rPr>
            </w:pPr>
            <w:r>
              <w:rPr>
                <w:rFonts w:hint="eastAsia" w:ascii="宋体" w:hAnsi="宋体" w:cs="宋体"/>
                <w:kern w:val="0"/>
                <w:sz w:val="22"/>
                <w:szCs w:val="22"/>
              </w:rPr>
              <w:t>设备的空开</w:t>
            </w:r>
          </w:p>
        </w:tc>
        <w:tc>
          <w:tcPr>
            <w:tcW w:w="5220" w:type="dxa"/>
            <w:tcBorders>
              <w:top w:val="nil"/>
              <w:left w:val="nil"/>
              <w:bottom w:val="single" w:color="auto" w:sz="4" w:space="0"/>
              <w:right w:val="single" w:color="auto" w:sz="4" w:space="0"/>
            </w:tcBorders>
            <w:vAlign w:val="center"/>
          </w:tcPr>
          <w:p>
            <w:pPr>
              <w:widowControl/>
              <w:jc w:val="center"/>
              <w:rPr>
                <w:rFonts w:ascii="宋体"/>
                <w:kern w:val="0"/>
                <w:sz w:val="22"/>
              </w:rPr>
            </w:pPr>
            <w:r>
              <w:rPr>
                <w:rFonts w:hint="eastAsia" w:ascii="宋体" w:hAnsi="宋体" w:cs="宋体"/>
                <w:kern w:val="0"/>
                <w:sz w:val="22"/>
                <w:szCs w:val="22"/>
              </w:rPr>
              <w:t>要有标识与电源系统标识一致，每发现一处问题，扣</w:t>
            </w:r>
            <w:r>
              <w:rPr>
                <w:rFonts w:ascii="宋体" w:hAnsi="宋体" w:cs="宋体"/>
                <w:kern w:val="0"/>
                <w:sz w:val="22"/>
                <w:szCs w:val="22"/>
              </w:rPr>
              <w:t>1</w:t>
            </w:r>
            <w:r>
              <w:rPr>
                <w:rFonts w:hint="eastAsia" w:ascii="宋体" w:hAnsi="宋体" w:cs="宋体"/>
                <w:kern w:val="0"/>
                <w:sz w:val="22"/>
                <w:szCs w:val="22"/>
              </w:rPr>
              <w:t>分。</w:t>
            </w:r>
          </w:p>
        </w:tc>
        <w:tc>
          <w:tcPr>
            <w:tcW w:w="90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kern w:val="0"/>
                <w:sz w:val="22"/>
              </w:rPr>
            </w:pPr>
          </w:p>
        </w:tc>
        <w:tc>
          <w:tcPr>
            <w:tcW w:w="900" w:type="dxa"/>
            <w:vMerge w:val="continue"/>
            <w:tcBorders>
              <w:left w:val="single" w:color="auto" w:sz="4" w:space="0"/>
              <w:right w:val="single" w:color="auto" w:sz="4" w:space="0"/>
            </w:tcBorders>
          </w:tcPr>
          <w:p>
            <w:pPr>
              <w:widowControl/>
              <w:jc w:val="left"/>
              <w:rPr>
                <w:rFonts w:ascii="宋体"/>
                <w:kern w:val="0"/>
                <w:sz w:val="22"/>
              </w:rPr>
            </w:pPr>
          </w:p>
        </w:tc>
        <w:tc>
          <w:tcPr>
            <w:tcW w:w="900" w:type="dxa"/>
            <w:tcBorders>
              <w:top w:val="single" w:color="auto" w:sz="4" w:space="0"/>
              <w:left w:val="single" w:color="auto" w:sz="4" w:space="0"/>
              <w:bottom w:val="single" w:color="auto" w:sz="4" w:space="0"/>
              <w:right w:val="single" w:color="auto" w:sz="4" w:space="0"/>
            </w:tcBorders>
          </w:tcPr>
          <w:p>
            <w:pPr>
              <w:widowControl/>
              <w:jc w:val="left"/>
              <w:rPr>
                <w:rFonts w:ascii="宋体"/>
                <w:kern w:val="0"/>
                <w:sz w:val="22"/>
              </w:rPr>
            </w:pPr>
          </w:p>
        </w:tc>
      </w:tr>
      <w:tr>
        <w:tblPrEx>
          <w:tblCellMar>
            <w:top w:w="0" w:type="dxa"/>
            <w:left w:w="108" w:type="dxa"/>
            <w:bottom w:w="0" w:type="dxa"/>
            <w:right w:w="108" w:type="dxa"/>
          </w:tblCellMar>
        </w:tblPrEx>
        <w:trPr>
          <w:trHeight w:val="270" w:hRule="atLeast"/>
        </w:trPr>
        <w:tc>
          <w:tcPr>
            <w:tcW w:w="900" w:type="dxa"/>
            <w:vMerge w:val="continue"/>
            <w:tcBorders>
              <w:top w:val="nil"/>
              <w:left w:val="single" w:color="auto" w:sz="8" w:space="0"/>
              <w:bottom w:val="single" w:color="auto" w:sz="4" w:space="0"/>
              <w:right w:val="single" w:color="auto" w:sz="4" w:space="0"/>
            </w:tcBorders>
            <w:vAlign w:val="center"/>
          </w:tcPr>
          <w:p>
            <w:pPr>
              <w:widowControl/>
              <w:jc w:val="left"/>
              <w:rPr>
                <w:rFonts w:ascii="宋体"/>
                <w:kern w:val="0"/>
                <w:sz w:val="22"/>
              </w:rPr>
            </w:pPr>
          </w:p>
        </w:tc>
        <w:tc>
          <w:tcPr>
            <w:tcW w:w="1440" w:type="dxa"/>
            <w:tcBorders>
              <w:top w:val="nil"/>
              <w:left w:val="nil"/>
              <w:bottom w:val="single" w:color="auto" w:sz="4" w:space="0"/>
              <w:right w:val="single" w:color="auto" w:sz="4" w:space="0"/>
            </w:tcBorders>
            <w:vAlign w:val="center"/>
          </w:tcPr>
          <w:p>
            <w:pPr>
              <w:widowControl/>
              <w:jc w:val="center"/>
              <w:rPr>
                <w:rFonts w:ascii="宋体"/>
                <w:kern w:val="0"/>
                <w:sz w:val="22"/>
              </w:rPr>
            </w:pPr>
            <w:r>
              <w:rPr>
                <w:rFonts w:hint="eastAsia" w:ascii="宋体" w:hAnsi="宋体" w:cs="宋体"/>
                <w:kern w:val="0"/>
                <w:sz w:val="22"/>
                <w:szCs w:val="22"/>
              </w:rPr>
              <w:t>各线路板尾纤</w:t>
            </w:r>
          </w:p>
        </w:tc>
        <w:tc>
          <w:tcPr>
            <w:tcW w:w="5220" w:type="dxa"/>
            <w:tcBorders>
              <w:top w:val="nil"/>
              <w:left w:val="nil"/>
              <w:bottom w:val="single" w:color="auto" w:sz="4" w:space="0"/>
              <w:right w:val="single" w:color="auto" w:sz="4" w:space="0"/>
            </w:tcBorders>
            <w:vAlign w:val="center"/>
          </w:tcPr>
          <w:p>
            <w:pPr>
              <w:widowControl/>
              <w:jc w:val="center"/>
              <w:rPr>
                <w:rFonts w:ascii="宋体"/>
                <w:kern w:val="0"/>
                <w:sz w:val="22"/>
              </w:rPr>
            </w:pPr>
            <w:r>
              <w:rPr>
                <w:rFonts w:hint="eastAsia" w:ascii="宋体" w:hAnsi="宋体" w:cs="宋体"/>
                <w:kern w:val="0"/>
                <w:sz w:val="22"/>
                <w:szCs w:val="22"/>
              </w:rPr>
              <w:t>对应光方向标识明确，每发现一处问题，扣</w:t>
            </w:r>
            <w:r>
              <w:rPr>
                <w:rFonts w:ascii="宋体" w:hAnsi="宋体" w:cs="宋体"/>
                <w:kern w:val="0"/>
                <w:sz w:val="22"/>
                <w:szCs w:val="22"/>
              </w:rPr>
              <w:t>1</w:t>
            </w:r>
            <w:r>
              <w:rPr>
                <w:rFonts w:hint="eastAsia" w:ascii="宋体" w:hAnsi="宋体" w:cs="宋体"/>
                <w:kern w:val="0"/>
                <w:sz w:val="22"/>
                <w:szCs w:val="22"/>
              </w:rPr>
              <w:t>分。</w:t>
            </w:r>
          </w:p>
        </w:tc>
        <w:tc>
          <w:tcPr>
            <w:tcW w:w="90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kern w:val="0"/>
                <w:sz w:val="22"/>
              </w:rPr>
            </w:pPr>
          </w:p>
        </w:tc>
        <w:tc>
          <w:tcPr>
            <w:tcW w:w="900" w:type="dxa"/>
            <w:vMerge w:val="continue"/>
            <w:tcBorders>
              <w:left w:val="single" w:color="auto" w:sz="4" w:space="0"/>
              <w:right w:val="single" w:color="auto" w:sz="4" w:space="0"/>
            </w:tcBorders>
          </w:tcPr>
          <w:p>
            <w:pPr>
              <w:widowControl/>
              <w:jc w:val="left"/>
              <w:rPr>
                <w:rFonts w:ascii="宋体"/>
                <w:kern w:val="0"/>
                <w:sz w:val="22"/>
              </w:rPr>
            </w:pPr>
          </w:p>
        </w:tc>
        <w:tc>
          <w:tcPr>
            <w:tcW w:w="900" w:type="dxa"/>
            <w:tcBorders>
              <w:top w:val="single" w:color="auto" w:sz="4" w:space="0"/>
              <w:left w:val="single" w:color="auto" w:sz="4" w:space="0"/>
              <w:bottom w:val="single" w:color="auto" w:sz="4" w:space="0"/>
              <w:right w:val="single" w:color="auto" w:sz="4" w:space="0"/>
            </w:tcBorders>
          </w:tcPr>
          <w:p>
            <w:pPr>
              <w:widowControl/>
              <w:jc w:val="left"/>
              <w:rPr>
                <w:rFonts w:ascii="宋体"/>
                <w:kern w:val="0"/>
                <w:sz w:val="22"/>
              </w:rPr>
            </w:pPr>
          </w:p>
        </w:tc>
      </w:tr>
      <w:tr>
        <w:tblPrEx>
          <w:tblCellMar>
            <w:top w:w="0" w:type="dxa"/>
            <w:left w:w="108" w:type="dxa"/>
            <w:bottom w:w="0" w:type="dxa"/>
            <w:right w:w="108" w:type="dxa"/>
          </w:tblCellMar>
        </w:tblPrEx>
        <w:trPr>
          <w:trHeight w:val="540" w:hRule="atLeast"/>
        </w:trPr>
        <w:tc>
          <w:tcPr>
            <w:tcW w:w="900" w:type="dxa"/>
            <w:vMerge w:val="continue"/>
            <w:tcBorders>
              <w:top w:val="nil"/>
              <w:left w:val="single" w:color="auto" w:sz="8" w:space="0"/>
              <w:bottom w:val="single" w:color="auto" w:sz="4" w:space="0"/>
              <w:right w:val="single" w:color="auto" w:sz="4" w:space="0"/>
            </w:tcBorders>
            <w:vAlign w:val="center"/>
          </w:tcPr>
          <w:p>
            <w:pPr>
              <w:widowControl/>
              <w:jc w:val="left"/>
              <w:rPr>
                <w:rFonts w:ascii="宋体"/>
                <w:kern w:val="0"/>
                <w:sz w:val="22"/>
              </w:rPr>
            </w:pPr>
          </w:p>
        </w:tc>
        <w:tc>
          <w:tcPr>
            <w:tcW w:w="1440" w:type="dxa"/>
            <w:tcBorders>
              <w:top w:val="nil"/>
              <w:left w:val="nil"/>
              <w:bottom w:val="single" w:color="auto" w:sz="4" w:space="0"/>
              <w:right w:val="single" w:color="auto" w:sz="4" w:space="0"/>
            </w:tcBorders>
            <w:vAlign w:val="center"/>
          </w:tcPr>
          <w:p>
            <w:pPr>
              <w:widowControl/>
              <w:jc w:val="center"/>
              <w:rPr>
                <w:rFonts w:ascii="宋体"/>
                <w:kern w:val="0"/>
                <w:sz w:val="22"/>
              </w:rPr>
            </w:pPr>
            <w:r>
              <w:rPr>
                <w:rFonts w:hint="eastAsia" w:ascii="宋体" w:hAnsi="宋体" w:cs="宋体"/>
                <w:kern w:val="0"/>
                <w:sz w:val="22"/>
                <w:szCs w:val="22"/>
              </w:rPr>
              <w:t>机房清洁卫生</w:t>
            </w:r>
          </w:p>
        </w:tc>
        <w:tc>
          <w:tcPr>
            <w:tcW w:w="5220" w:type="dxa"/>
            <w:tcBorders>
              <w:top w:val="nil"/>
              <w:left w:val="nil"/>
              <w:bottom w:val="single" w:color="auto" w:sz="4" w:space="0"/>
              <w:right w:val="single" w:color="auto" w:sz="4" w:space="0"/>
            </w:tcBorders>
            <w:vAlign w:val="center"/>
          </w:tcPr>
          <w:p>
            <w:pPr>
              <w:widowControl/>
              <w:jc w:val="center"/>
              <w:rPr>
                <w:rFonts w:ascii="宋体"/>
                <w:kern w:val="0"/>
                <w:sz w:val="22"/>
              </w:rPr>
            </w:pPr>
            <w:r>
              <w:rPr>
                <w:rFonts w:hint="eastAsia" w:ascii="宋体" w:hAnsi="宋体" w:cs="宋体"/>
                <w:kern w:val="0"/>
                <w:sz w:val="22"/>
                <w:szCs w:val="22"/>
              </w:rPr>
              <w:t>手摸应明显无尘，机房内清洁，地面无杂物，每发现一处问题，扣</w:t>
            </w:r>
            <w:r>
              <w:rPr>
                <w:rFonts w:ascii="宋体" w:hAnsi="宋体" w:cs="宋体"/>
                <w:kern w:val="0"/>
                <w:sz w:val="22"/>
                <w:szCs w:val="22"/>
              </w:rPr>
              <w:t>1</w:t>
            </w:r>
            <w:r>
              <w:rPr>
                <w:rFonts w:hint="eastAsia" w:ascii="宋体" w:hAnsi="宋体" w:cs="宋体"/>
                <w:kern w:val="0"/>
                <w:sz w:val="22"/>
                <w:szCs w:val="22"/>
              </w:rPr>
              <w:t>分。</w:t>
            </w:r>
          </w:p>
        </w:tc>
        <w:tc>
          <w:tcPr>
            <w:tcW w:w="90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kern w:val="0"/>
                <w:sz w:val="22"/>
              </w:rPr>
            </w:pPr>
          </w:p>
        </w:tc>
        <w:tc>
          <w:tcPr>
            <w:tcW w:w="900" w:type="dxa"/>
            <w:vMerge w:val="continue"/>
            <w:tcBorders>
              <w:left w:val="single" w:color="auto" w:sz="4" w:space="0"/>
              <w:right w:val="single" w:color="auto" w:sz="4" w:space="0"/>
            </w:tcBorders>
          </w:tcPr>
          <w:p>
            <w:pPr>
              <w:widowControl/>
              <w:jc w:val="left"/>
              <w:rPr>
                <w:rFonts w:ascii="宋体"/>
                <w:kern w:val="0"/>
                <w:sz w:val="22"/>
              </w:rPr>
            </w:pPr>
          </w:p>
        </w:tc>
        <w:tc>
          <w:tcPr>
            <w:tcW w:w="900" w:type="dxa"/>
            <w:tcBorders>
              <w:top w:val="single" w:color="auto" w:sz="4" w:space="0"/>
              <w:left w:val="single" w:color="auto" w:sz="4" w:space="0"/>
              <w:bottom w:val="single" w:color="auto" w:sz="4" w:space="0"/>
              <w:right w:val="single" w:color="auto" w:sz="4" w:space="0"/>
            </w:tcBorders>
          </w:tcPr>
          <w:p>
            <w:pPr>
              <w:widowControl/>
              <w:jc w:val="left"/>
              <w:rPr>
                <w:rFonts w:ascii="宋体"/>
                <w:kern w:val="0"/>
                <w:sz w:val="22"/>
              </w:rPr>
            </w:pPr>
          </w:p>
        </w:tc>
      </w:tr>
      <w:tr>
        <w:tblPrEx>
          <w:tblCellMar>
            <w:top w:w="0" w:type="dxa"/>
            <w:left w:w="108" w:type="dxa"/>
            <w:bottom w:w="0" w:type="dxa"/>
            <w:right w:w="108" w:type="dxa"/>
          </w:tblCellMar>
        </w:tblPrEx>
        <w:trPr>
          <w:trHeight w:val="810" w:hRule="atLeast"/>
        </w:trPr>
        <w:tc>
          <w:tcPr>
            <w:tcW w:w="900" w:type="dxa"/>
            <w:vMerge w:val="continue"/>
            <w:tcBorders>
              <w:top w:val="nil"/>
              <w:left w:val="single" w:color="auto" w:sz="8" w:space="0"/>
              <w:bottom w:val="single" w:color="auto" w:sz="4" w:space="0"/>
              <w:right w:val="single" w:color="auto" w:sz="4" w:space="0"/>
            </w:tcBorders>
            <w:vAlign w:val="center"/>
          </w:tcPr>
          <w:p>
            <w:pPr>
              <w:widowControl/>
              <w:jc w:val="left"/>
              <w:rPr>
                <w:rFonts w:ascii="宋体"/>
                <w:kern w:val="0"/>
                <w:sz w:val="22"/>
              </w:rPr>
            </w:pPr>
          </w:p>
        </w:tc>
        <w:tc>
          <w:tcPr>
            <w:tcW w:w="1440" w:type="dxa"/>
            <w:tcBorders>
              <w:top w:val="nil"/>
              <w:left w:val="nil"/>
              <w:bottom w:val="single" w:color="auto" w:sz="4" w:space="0"/>
              <w:right w:val="single" w:color="auto" w:sz="4" w:space="0"/>
            </w:tcBorders>
            <w:vAlign w:val="center"/>
          </w:tcPr>
          <w:p>
            <w:pPr>
              <w:widowControl/>
              <w:jc w:val="center"/>
              <w:rPr>
                <w:rFonts w:ascii="宋体"/>
                <w:kern w:val="0"/>
                <w:sz w:val="22"/>
              </w:rPr>
            </w:pPr>
            <w:r>
              <w:rPr>
                <w:rFonts w:hint="eastAsia" w:ascii="宋体" w:hAnsi="宋体" w:cs="宋体"/>
                <w:kern w:val="0"/>
                <w:sz w:val="22"/>
                <w:szCs w:val="22"/>
              </w:rPr>
              <w:t>记录表、巡检表齐全、填写完整</w:t>
            </w:r>
          </w:p>
        </w:tc>
        <w:tc>
          <w:tcPr>
            <w:tcW w:w="5220" w:type="dxa"/>
            <w:tcBorders>
              <w:top w:val="nil"/>
              <w:left w:val="nil"/>
              <w:bottom w:val="single" w:color="auto" w:sz="4" w:space="0"/>
              <w:right w:val="single" w:color="auto" w:sz="4" w:space="0"/>
            </w:tcBorders>
            <w:vAlign w:val="center"/>
          </w:tcPr>
          <w:p>
            <w:pPr>
              <w:widowControl/>
              <w:jc w:val="center"/>
              <w:rPr>
                <w:rFonts w:ascii="宋体"/>
                <w:kern w:val="0"/>
                <w:sz w:val="22"/>
              </w:rPr>
            </w:pPr>
            <w:r>
              <w:rPr>
                <w:rFonts w:hint="eastAsia" w:ascii="宋体" w:hAnsi="宋体" w:cs="宋体"/>
                <w:kern w:val="0"/>
                <w:sz w:val="22"/>
                <w:szCs w:val="22"/>
              </w:rPr>
              <w:t>有出入站登记表，出入站时均有在出入站登记表上登记；巡检表各项均认真填写，没有空缺；每发现一处问题，扣</w:t>
            </w:r>
            <w:r>
              <w:rPr>
                <w:rFonts w:ascii="宋体" w:hAnsi="宋体" w:cs="宋体"/>
                <w:kern w:val="0"/>
                <w:sz w:val="22"/>
                <w:szCs w:val="22"/>
              </w:rPr>
              <w:t>1</w:t>
            </w:r>
            <w:r>
              <w:rPr>
                <w:rFonts w:hint="eastAsia" w:ascii="宋体" w:hAnsi="宋体" w:cs="宋体"/>
                <w:kern w:val="0"/>
                <w:sz w:val="22"/>
                <w:szCs w:val="22"/>
              </w:rPr>
              <w:t>分。</w:t>
            </w:r>
          </w:p>
        </w:tc>
        <w:tc>
          <w:tcPr>
            <w:tcW w:w="90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kern w:val="0"/>
                <w:sz w:val="22"/>
              </w:rPr>
            </w:pPr>
          </w:p>
        </w:tc>
        <w:tc>
          <w:tcPr>
            <w:tcW w:w="900" w:type="dxa"/>
            <w:vMerge w:val="continue"/>
            <w:tcBorders>
              <w:left w:val="single" w:color="auto" w:sz="4" w:space="0"/>
              <w:bottom w:val="single" w:color="000000" w:sz="4" w:space="0"/>
              <w:right w:val="single" w:color="auto" w:sz="4" w:space="0"/>
            </w:tcBorders>
          </w:tcPr>
          <w:p>
            <w:pPr>
              <w:widowControl/>
              <w:jc w:val="left"/>
              <w:rPr>
                <w:rFonts w:ascii="宋体"/>
                <w:kern w:val="0"/>
                <w:sz w:val="22"/>
              </w:rPr>
            </w:pPr>
          </w:p>
        </w:tc>
        <w:tc>
          <w:tcPr>
            <w:tcW w:w="900" w:type="dxa"/>
            <w:tcBorders>
              <w:top w:val="single" w:color="auto" w:sz="4" w:space="0"/>
              <w:left w:val="single" w:color="auto" w:sz="4" w:space="0"/>
              <w:bottom w:val="single" w:color="auto" w:sz="4" w:space="0"/>
              <w:right w:val="single" w:color="auto" w:sz="4" w:space="0"/>
            </w:tcBorders>
          </w:tcPr>
          <w:p>
            <w:pPr>
              <w:widowControl/>
              <w:jc w:val="left"/>
              <w:rPr>
                <w:rFonts w:ascii="宋体"/>
                <w:kern w:val="0"/>
                <w:sz w:val="22"/>
              </w:rPr>
            </w:pPr>
          </w:p>
        </w:tc>
      </w:tr>
      <w:tr>
        <w:tblPrEx>
          <w:tblCellMar>
            <w:top w:w="0" w:type="dxa"/>
            <w:left w:w="108" w:type="dxa"/>
            <w:bottom w:w="0" w:type="dxa"/>
            <w:right w:w="108" w:type="dxa"/>
          </w:tblCellMar>
        </w:tblPrEx>
        <w:trPr>
          <w:trHeight w:val="1350" w:hRule="atLeast"/>
        </w:trPr>
        <w:tc>
          <w:tcPr>
            <w:tcW w:w="900" w:type="dxa"/>
            <w:tcBorders>
              <w:top w:val="nil"/>
              <w:left w:val="single" w:color="auto" w:sz="8" w:space="0"/>
              <w:bottom w:val="single" w:color="auto" w:sz="4" w:space="0"/>
              <w:right w:val="single" w:color="auto" w:sz="4" w:space="0"/>
            </w:tcBorders>
            <w:vAlign w:val="center"/>
          </w:tcPr>
          <w:p>
            <w:pPr>
              <w:widowControl/>
              <w:jc w:val="center"/>
              <w:rPr>
                <w:rFonts w:ascii="宋体"/>
                <w:b/>
                <w:bCs/>
                <w:kern w:val="0"/>
                <w:sz w:val="22"/>
              </w:rPr>
            </w:pPr>
            <w:r>
              <w:rPr>
                <w:rFonts w:hint="eastAsia" w:ascii="宋体" w:hAnsi="宋体" w:cs="宋体"/>
                <w:b/>
                <w:bCs/>
                <w:kern w:val="0"/>
                <w:sz w:val="22"/>
                <w:szCs w:val="22"/>
              </w:rPr>
              <w:t>培训及配置管理</w:t>
            </w:r>
          </w:p>
        </w:tc>
        <w:tc>
          <w:tcPr>
            <w:tcW w:w="1440" w:type="dxa"/>
            <w:tcBorders>
              <w:top w:val="nil"/>
              <w:left w:val="nil"/>
              <w:bottom w:val="single" w:color="auto" w:sz="4" w:space="0"/>
              <w:right w:val="single" w:color="auto" w:sz="4" w:space="0"/>
            </w:tcBorders>
            <w:vAlign w:val="center"/>
          </w:tcPr>
          <w:p>
            <w:pPr>
              <w:widowControl/>
              <w:jc w:val="center"/>
              <w:rPr>
                <w:rFonts w:ascii="宋体"/>
                <w:kern w:val="0"/>
                <w:sz w:val="22"/>
              </w:rPr>
            </w:pPr>
            <w:r>
              <w:rPr>
                <w:rFonts w:hint="eastAsia" w:ascii="宋体" w:hAnsi="宋体" w:cs="宋体"/>
                <w:kern w:val="0"/>
                <w:sz w:val="22"/>
                <w:szCs w:val="22"/>
              </w:rPr>
              <w:t>技能和服务培训</w:t>
            </w:r>
          </w:p>
        </w:tc>
        <w:tc>
          <w:tcPr>
            <w:tcW w:w="5220" w:type="dxa"/>
            <w:tcBorders>
              <w:top w:val="nil"/>
              <w:left w:val="nil"/>
              <w:bottom w:val="single" w:color="auto" w:sz="4" w:space="0"/>
              <w:right w:val="single" w:color="auto" w:sz="4" w:space="0"/>
            </w:tcBorders>
            <w:vAlign w:val="center"/>
          </w:tcPr>
          <w:p>
            <w:pPr>
              <w:widowControl/>
              <w:jc w:val="left"/>
              <w:rPr>
                <w:rFonts w:ascii="宋体"/>
                <w:kern w:val="0"/>
                <w:sz w:val="22"/>
              </w:rPr>
            </w:pPr>
            <w:r>
              <w:rPr>
                <w:rFonts w:hint="eastAsia" w:ascii="宋体" w:hAnsi="宋体" w:cs="宋体"/>
                <w:kern w:val="0"/>
                <w:sz w:val="22"/>
                <w:szCs w:val="22"/>
              </w:rPr>
              <w:t>定期进行技能、标准化操作和服务培训。每季必须要一次以上培训次数。检查培训台帐和培训内容，培训考试等内容。维护人员必须按学院要求有宽带维护上岗证。人员、车辆和工具必须按合同要求配置。以上每处不符合要求扣</w:t>
            </w:r>
            <w:r>
              <w:rPr>
                <w:rFonts w:ascii="宋体" w:hAnsi="宋体" w:cs="宋体"/>
                <w:kern w:val="0"/>
                <w:sz w:val="22"/>
                <w:szCs w:val="22"/>
              </w:rPr>
              <w:t>1</w:t>
            </w:r>
            <w:r>
              <w:rPr>
                <w:rFonts w:hint="eastAsia" w:ascii="宋体" w:hAnsi="宋体" w:cs="宋体"/>
                <w:kern w:val="0"/>
                <w:sz w:val="22"/>
                <w:szCs w:val="22"/>
              </w:rPr>
              <w:t>分。</w:t>
            </w:r>
          </w:p>
        </w:tc>
        <w:tc>
          <w:tcPr>
            <w:tcW w:w="900" w:type="dxa"/>
            <w:tcBorders>
              <w:top w:val="nil"/>
              <w:left w:val="nil"/>
              <w:bottom w:val="single" w:color="auto" w:sz="4" w:space="0"/>
              <w:right w:val="single" w:color="auto" w:sz="4" w:space="0"/>
            </w:tcBorders>
            <w:vAlign w:val="center"/>
          </w:tcPr>
          <w:p>
            <w:pPr>
              <w:widowControl/>
              <w:jc w:val="center"/>
              <w:rPr>
                <w:rFonts w:ascii="宋体"/>
                <w:kern w:val="0"/>
                <w:sz w:val="22"/>
              </w:rPr>
            </w:pPr>
            <w:r>
              <w:rPr>
                <w:rFonts w:ascii="宋体" w:hAnsi="宋体" w:cs="宋体"/>
                <w:kern w:val="0"/>
                <w:sz w:val="22"/>
                <w:szCs w:val="22"/>
              </w:rPr>
              <w:t>10</w:t>
            </w:r>
          </w:p>
        </w:tc>
        <w:tc>
          <w:tcPr>
            <w:tcW w:w="900" w:type="dxa"/>
            <w:tcBorders>
              <w:top w:val="nil"/>
              <w:left w:val="nil"/>
              <w:bottom w:val="single" w:color="auto" w:sz="4" w:space="0"/>
              <w:right w:val="single" w:color="auto" w:sz="4" w:space="0"/>
            </w:tcBorders>
            <w:vAlign w:val="center"/>
          </w:tcPr>
          <w:p>
            <w:pPr>
              <w:widowControl/>
              <w:jc w:val="center"/>
              <w:rPr>
                <w:rFonts w:ascii="宋体" w:hAnsi="宋体" w:cs="宋体"/>
                <w:kern w:val="0"/>
                <w:sz w:val="22"/>
              </w:rPr>
            </w:pPr>
            <w:r>
              <w:rPr>
                <w:rFonts w:hint="eastAsia" w:ascii="宋体" w:hAnsi="宋体" w:cs="宋体"/>
                <w:kern w:val="0"/>
                <w:sz w:val="22"/>
                <w:szCs w:val="22"/>
              </w:rPr>
              <w:t>9</w:t>
            </w:r>
          </w:p>
        </w:tc>
        <w:tc>
          <w:tcPr>
            <w:tcW w:w="900"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cs="宋体"/>
                <w:kern w:val="0"/>
                <w:sz w:val="22"/>
                <w:szCs w:val="22"/>
              </w:rPr>
            </w:pPr>
          </w:p>
        </w:tc>
      </w:tr>
      <w:tr>
        <w:tblPrEx>
          <w:tblCellMar>
            <w:top w:w="0" w:type="dxa"/>
            <w:left w:w="108" w:type="dxa"/>
            <w:bottom w:w="0" w:type="dxa"/>
            <w:right w:w="108" w:type="dxa"/>
          </w:tblCellMar>
        </w:tblPrEx>
        <w:trPr>
          <w:trHeight w:val="540" w:hRule="atLeast"/>
        </w:trPr>
        <w:tc>
          <w:tcPr>
            <w:tcW w:w="900" w:type="dxa"/>
            <w:tcBorders>
              <w:top w:val="nil"/>
              <w:left w:val="single" w:color="auto" w:sz="8" w:space="0"/>
              <w:bottom w:val="single" w:color="auto" w:sz="4" w:space="0"/>
              <w:right w:val="single" w:color="auto" w:sz="4" w:space="0"/>
            </w:tcBorders>
            <w:vAlign w:val="center"/>
          </w:tcPr>
          <w:p>
            <w:pPr>
              <w:widowControl/>
              <w:jc w:val="center"/>
              <w:rPr>
                <w:rFonts w:ascii="宋体"/>
                <w:b/>
                <w:bCs/>
                <w:kern w:val="0"/>
                <w:sz w:val="22"/>
              </w:rPr>
            </w:pPr>
            <w:r>
              <w:rPr>
                <w:rFonts w:hint="eastAsia" w:ascii="宋体" w:hAnsi="宋体" w:cs="宋体"/>
                <w:b/>
                <w:bCs/>
                <w:kern w:val="0"/>
                <w:sz w:val="22"/>
                <w:szCs w:val="22"/>
              </w:rPr>
              <w:t>额外加分项</w:t>
            </w:r>
          </w:p>
        </w:tc>
        <w:tc>
          <w:tcPr>
            <w:tcW w:w="7560" w:type="dxa"/>
            <w:gridSpan w:val="3"/>
            <w:tcBorders>
              <w:top w:val="single" w:color="auto" w:sz="4" w:space="0"/>
              <w:left w:val="nil"/>
              <w:bottom w:val="single" w:color="auto" w:sz="4" w:space="0"/>
              <w:right w:val="single" w:color="auto" w:sz="4" w:space="0"/>
            </w:tcBorders>
            <w:vAlign w:val="center"/>
          </w:tcPr>
          <w:p>
            <w:pPr>
              <w:widowControl/>
              <w:jc w:val="left"/>
              <w:rPr>
                <w:rFonts w:ascii="宋体"/>
                <w:kern w:val="0"/>
                <w:sz w:val="22"/>
              </w:rPr>
            </w:pPr>
            <w:r>
              <w:rPr>
                <w:rFonts w:hint="eastAsia" w:ascii="宋体" w:hAnsi="宋体" w:cs="宋体"/>
                <w:kern w:val="0"/>
                <w:sz w:val="22"/>
                <w:szCs w:val="22"/>
              </w:rPr>
              <w:t>代维公司对装拆移维工作提出合理化建议或有价值维护办法，经学院采纳实施且能有效提高运行维护质量的，可视具体情况加</w:t>
            </w:r>
            <w:r>
              <w:rPr>
                <w:rFonts w:ascii="宋体" w:hAnsi="宋体" w:cs="宋体"/>
                <w:kern w:val="0"/>
                <w:sz w:val="22"/>
                <w:szCs w:val="22"/>
              </w:rPr>
              <w:t>1</w:t>
            </w:r>
            <w:r>
              <w:rPr>
                <w:rFonts w:hint="eastAsia" w:ascii="宋体" w:hAnsi="宋体" w:cs="宋体"/>
                <w:kern w:val="0"/>
                <w:sz w:val="22"/>
                <w:szCs w:val="22"/>
              </w:rPr>
              <w:t>－</w:t>
            </w:r>
            <w:r>
              <w:rPr>
                <w:rFonts w:ascii="宋体" w:hAnsi="宋体" w:cs="宋体"/>
                <w:kern w:val="0"/>
                <w:sz w:val="22"/>
                <w:szCs w:val="22"/>
              </w:rPr>
              <w:t>5</w:t>
            </w:r>
            <w:r>
              <w:rPr>
                <w:rFonts w:hint="eastAsia" w:ascii="宋体" w:hAnsi="宋体" w:cs="宋体"/>
                <w:kern w:val="0"/>
                <w:sz w:val="22"/>
                <w:szCs w:val="22"/>
              </w:rPr>
              <w:t>分。</w:t>
            </w:r>
          </w:p>
        </w:tc>
        <w:tc>
          <w:tcPr>
            <w:tcW w:w="900" w:type="dxa"/>
            <w:vMerge w:val="restart"/>
            <w:tcBorders>
              <w:top w:val="single" w:color="auto" w:sz="4" w:space="0"/>
              <w:left w:val="nil"/>
              <w:right w:val="single" w:color="auto" w:sz="4" w:space="0"/>
            </w:tcBorders>
          </w:tcPr>
          <w:p>
            <w:pPr>
              <w:widowControl/>
              <w:jc w:val="left"/>
              <w:rPr>
                <w:rFonts w:ascii="宋体" w:hAnsi="宋体" w:cs="宋体"/>
                <w:kern w:val="0"/>
                <w:sz w:val="22"/>
              </w:rPr>
            </w:pPr>
          </w:p>
        </w:tc>
        <w:tc>
          <w:tcPr>
            <w:tcW w:w="900" w:type="dxa"/>
            <w:tcBorders>
              <w:top w:val="single" w:color="auto" w:sz="4" w:space="0"/>
              <w:left w:val="single" w:color="auto" w:sz="4" w:space="0"/>
              <w:bottom w:val="single" w:color="auto" w:sz="4" w:space="0"/>
              <w:right w:val="single" w:color="auto" w:sz="4" w:space="0"/>
            </w:tcBorders>
          </w:tcPr>
          <w:p>
            <w:pPr>
              <w:widowControl/>
              <w:jc w:val="left"/>
              <w:rPr>
                <w:rFonts w:ascii="宋体" w:hAnsi="宋体" w:cs="宋体"/>
                <w:kern w:val="0"/>
                <w:sz w:val="22"/>
              </w:rPr>
            </w:pPr>
          </w:p>
        </w:tc>
      </w:tr>
      <w:tr>
        <w:tblPrEx>
          <w:tblCellMar>
            <w:top w:w="0" w:type="dxa"/>
            <w:left w:w="108" w:type="dxa"/>
            <w:bottom w:w="0" w:type="dxa"/>
            <w:right w:w="108" w:type="dxa"/>
          </w:tblCellMar>
        </w:tblPrEx>
        <w:trPr>
          <w:trHeight w:val="270" w:hRule="atLeast"/>
        </w:trPr>
        <w:tc>
          <w:tcPr>
            <w:tcW w:w="900" w:type="dxa"/>
            <w:vMerge w:val="restart"/>
            <w:tcBorders>
              <w:top w:val="nil"/>
              <w:left w:val="single" w:color="auto" w:sz="8" w:space="0"/>
              <w:bottom w:val="single" w:color="auto" w:sz="4" w:space="0"/>
              <w:right w:val="single" w:color="auto" w:sz="4" w:space="0"/>
            </w:tcBorders>
            <w:vAlign w:val="center"/>
          </w:tcPr>
          <w:p>
            <w:pPr>
              <w:widowControl/>
              <w:jc w:val="center"/>
              <w:rPr>
                <w:rFonts w:ascii="宋体"/>
                <w:b/>
                <w:bCs/>
                <w:kern w:val="0"/>
                <w:sz w:val="22"/>
              </w:rPr>
            </w:pPr>
            <w:r>
              <w:rPr>
                <w:rFonts w:hint="eastAsia" w:ascii="宋体" w:hAnsi="宋体" w:cs="宋体"/>
                <w:b/>
                <w:bCs/>
                <w:kern w:val="0"/>
                <w:sz w:val="22"/>
                <w:szCs w:val="22"/>
              </w:rPr>
              <w:t>额外减分项</w:t>
            </w:r>
          </w:p>
        </w:tc>
        <w:tc>
          <w:tcPr>
            <w:tcW w:w="7560" w:type="dxa"/>
            <w:gridSpan w:val="3"/>
            <w:tcBorders>
              <w:top w:val="single" w:color="auto" w:sz="4" w:space="0"/>
              <w:left w:val="nil"/>
              <w:bottom w:val="single" w:color="auto" w:sz="4" w:space="0"/>
              <w:right w:val="single" w:color="auto" w:sz="4" w:space="0"/>
            </w:tcBorders>
            <w:vAlign w:val="center"/>
          </w:tcPr>
          <w:p>
            <w:pPr>
              <w:widowControl/>
              <w:jc w:val="left"/>
              <w:rPr>
                <w:rFonts w:ascii="宋体"/>
                <w:kern w:val="0"/>
                <w:sz w:val="22"/>
              </w:rPr>
            </w:pPr>
            <w:r>
              <w:rPr>
                <w:rFonts w:hint="eastAsia" w:ascii="宋体" w:hAnsi="宋体" w:cs="宋体"/>
                <w:kern w:val="0"/>
                <w:sz w:val="22"/>
                <w:szCs w:val="22"/>
              </w:rPr>
              <w:t>由于代维公司故意或者重大过失造成通信中断和设备损坏的，代维公司应负责赔偿。并给予一次性扣</w:t>
            </w:r>
            <w:r>
              <w:rPr>
                <w:rFonts w:ascii="宋体" w:hAnsi="宋体" w:cs="宋体"/>
                <w:kern w:val="0"/>
                <w:sz w:val="22"/>
                <w:szCs w:val="22"/>
              </w:rPr>
              <w:t>10-20</w:t>
            </w:r>
            <w:r>
              <w:rPr>
                <w:rFonts w:hint="eastAsia" w:ascii="宋体" w:hAnsi="宋体" w:cs="宋体"/>
                <w:kern w:val="0"/>
                <w:sz w:val="22"/>
                <w:szCs w:val="22"/>
              </w:rPr>
              <w:t>分</w:t>
            </w:r>
          </w:p>
        </w:tc>
        <w:tc>
          <w:tcPr>
            <w:tcW w:w="900" w:type="dxa"/>
            <w:vMerge w:val="continue"/>
            <w:tcBorders>
              <w:left w:val="nil"/>
              <w:right w:val="single" w:color="auto" w:sz="4" w:space="0"/>
            </w:tcBorders>
          </w:tcPr>
          <w:p>
            <w:pPr>
              <w:widowControl/>
              <w:jc w:val="left"/>
              <w:rPr>
                <w:rFonts w:ascii="宋体" w:hAnsi="宋体" w:cs="宋体"/>
                <w:kern w:val="0"/>
                <w:sz w:val="22"/>
              </w:rPr>
            </w:pPr>
          </w:p>
        </w:tc>
        <w:tc>
          <w:tcPr>
            <w:tcW w:w="900" w:type="dxa"/>
            <w:tcBorders>
              <w:top w:val="single" w:color="auto" w:sz="4" w:space="0"/>
              <w:left w:val="single" w:color="auto" w:sz="4" w:space="0"/>
              <w:bottom w:val="single" w:color="auto" w:sz="4" w:space="0"/>
              <w:right w:val="single" w:color="auto" w:sz="4" w:space="0"/>
            </w:tcBorders>
          </w:tcPr>
          <w:p>
            <w:pPr>
              <w:widowControl/>
              <w:jc w:val="left"/>
              <w:rPr>
                <w:rFonts w:ascii="宋体" w:hAnsi="宋体" w:cs="宋体"/>
                <w:kern w:val="0"/>
                <w:sz w:val="22"/>
              </w:rPr>
            </w:pPr>
          </w:p>
        </w:tc>
      </w:tr>
      <w:tr>
        <w:tblPrEx>
          <w:tblCellMar>
            <w:top w:w="0" w:type="dxa"/>
            <w:left w:w="108" w:type="dxa"/>
            <w:bottom w:w="0" w:type="dxa"/>
            <w:right w:w="108" w:type="dxa"/>
          </w:tblCellMar>
        </w:tblPrEx>
        <w:trPr>
          <w:trHeight w:val="270" w:hRule="atLeast"/>
        </w:trPr>
        <w:tc>
          <w:tcPr>
            <w:tcW w:w="900" w:type="dxa"/>
            <w:vMerge w:val="continue"/>
            <w:tcBorders>
              <w:top w:val="nil"/>
              <w:left w:val="single" w:color="auto" w:sz="8" w:space="0"/>
              <w:bottom w:val="single" w:color="auto" w:sz="4" w:space="0"/>
              <w:right w:val="single" w:color="auto" w:sz="4" w:space="0"/>
            </w:tcBorders>
            <w:vAlign w:val="center"/>
          </w:tcPr>
          <w:p>
            <w:pPr>
              <w:widowControl/>
              <w:jc w:val="left"/>
              <w:rPr>
                <w:rFonts w:ascii="宋体"/>
                <w:b/>
                <w:bCs/>
                <w:kern w:val="0"/>
                <w:sz w:val="22"/>
              </w:rPr>
            </w:pPr>
          </w:p>
        </w:tc>
        <w:tc>
          <w:tcPr>
            <w:tcW w:w="7560" w:type="dxa"/>
            <w:gridSpan w:val="3"/>
            <w:tcBorders>
              <w:top w:val="single" w:color="auto" w:sz="4" w:space="0"/>
              <w:left w:val="nil"/>
              <w:bottom w:val="single" w:color="auto" w:sz="4" w:space="0"/>
              <w:right w:val="single" w:color="auto" w:sz="4" w:space="0"/>
            </w:tcBorders>
            <w:vAlign w:val="center"/>
          </w:tcPr>
          <w:p>
            <w:pPr>
              <w:widowControl/>
              <w:jc w:val="left"/>
              <w:rPr>
                <w:rFonts w:ascii="宋体"/>
                <w:kern w:val="0"/>
                <w:sz w:val="22"/>
              </w:rPr>
            </w:pPr>
            <w:r>
              <w:rPr>
                <w:rFonts w:hint="eastAsia" w:ascii="宋体" w:hAnsi="宋体" w:cs="宋体"/>
                <w:kern w:val="0"/>
                <w:sz w:val="22"/>
                <w:szCs w:val="22"/>
              </w:rPr>
              <w:t>代维人员在代维期间参与盗窃，扣除代维单位当月的管理分。视情节轻重发现一次扣</w:t>
            </w:r>
            <w:r>
              <w:rPr>
                <w:rFonts w:ascii="宋体" w:hAnsi="宋体" w:cs="宋体"/>
                <w:kern w:val="0"/>
                <w:sz w:val="22"/>
                <w:szCs w:val="22"/>
              </w:rPr>
              <w:t>10-20</w:t>
            </w:r>
            <w:r>
              <w:rPr>
                <w:rFonts w:hint="eastAsia" w:ascii="宋体" w:hAnsi="宋体" w:cs="宋体"/>
                <w:kern w:val="0"/>
                <w:sz w:val="22"/>
                <w:szCs w:val="22"/>
              </w:rPr>
              <w:t>分。</w:t>
            </w:r>
          </w:p>
        </w:tc>
        <w:tc>
          <w:tcPr>
            <w:tcW w:w="900" w:type="dxa"/>
            <w:vMerge w:val="continue"/>
            <w:tcBorders>
              <w:left w:val="nil"/>
              <w:bottom w:val="single" w:color="auto" w:sz="4" w:space="0"/>
              <w:right w:val="single" w:color="auto" w:sz="4" w:space="0"/>
            </w:tcBorders>
          </w:tcPr>
          <w:p>
            <w:pPr>
              <w:widowControl/>
              <w:jc w:val="left"/>
              <w:rPr>
                <w:rFonts w:ascii="宋体" w:hAnsi="宋体" w:cs="宋体"/>
                <w:kern w:val="0"/>
                <w:sz w:val="22"/>
              </w:rPr>
            </w:pPr>
          </w:p>
        </w:tc>
        <w:tc>
          <w:tcPr>
            <w:tcW w:w="900" w:type="dxa"/>
            <w:tcBorders>
              <w:top w:val="single" w:color="auto" w:sz="4" w:space="0"/>
              <w:left w:val="single" w:color="auto" w:sz="4" w:space="0"/>
              <w:bottom w:val="single" w:color="auto" w:sz="4" w:space="0"/>
              <w:right w:val="single" w:color="auto" w:sz="4" w:space="0"/>
            </w:tcBorders>
          </w:tcPr>
          <w:p>
            <w:pPr>
              <w:widowControl/>
              <w:jc w:val="left"/>
              <w:rPr>
                <w:rFonts w:ascii="宋体" w:hAnsi="宋体" w:cs="宋体"/>
                <w:kern w:val="0"/>
                <w:sz w:val="22"/>
              </w:rPr>
            </w:pPr>
          </w:p>
        </w:tc>
      </w:tr>
      <w:tr>
        <w:tblPrEx>
          <w:tblCellMar>
            <w:top w:w="0" w:type="dxa"/>
            <w:left w:w="108" w:type="dxa"/>
            <w:bottom w:w="0" w:type="dxa"/>
            <w:right w:w="108" w:type="dxa"/>
          </w:tblCellMar>
        </w:tblPrEx>
        <w:trPr>
          <w:trHeight w:val="285" w:hRule="atLeast"/>
        </w:trPr>
        <w:tc>
          <w:tcPr>
            <w:tcW w:w="900" w:type="dxa"/>
            <w:tcBorders>
              <w:top w:val="nil"/>
              <w:left w:val="single" w:color="auto" w:sz="8" w:space="0"/>
              <w:bottom w:val="single" w:color="auto" w:sz="4" w:space="0"/>
              <w:right w:val="single" w:color="auto" w:sz="4" w:space="0"/>
            </w:tcBorders>
            <w:noWrap/>
            <w:vAlign w:val="center"/>
          </w:tcPr>
          <w:p>
            <w:pPr>
              <w:widowControl/>
              <w:jc w:val="center"/>
              <w:rPr>
                <w:rFonts w:hint="eastAsia" w:ascii="宋体" w:hAnsi="宋体" w:cs="宋体"/>
                <w:b/>
                <w:bCs/>
                <w:kern w:val="0"/>
                <w:sz w:val="22"/>
                <w:szCs w:val="22"/>
              </w:rPr>
            </w:pPr>
          </w:p>
          <w:p>
            <w:pPr>
              <w:widowControl/>
              <w:jc w:val="center"/>
              <w:rPr>
                <w:rFonts w:hint="eastAsia" w:ascii="宋体" w:hAnsi="宋体" w:cs="宋体"/>
                <w:b/>
                <w:bCs/>
                <w:kern w:val="0"/>
                <w:sz w:val="22"/>
                <w:szCs w:val="22"/>
              </w:rPr>
            </w:pPr>
            <w:r>
              <w:rPr>
                <w:rFonts w:hint="eastAsia" w:ascii="宋体" w:hAnsi="宋体" w:cs="宋体"/>
                <w:b/>
                <w:bCs/>
                <w:kern w:val="0"/>
                <w:sz w:val="22"/>
                <w:szCs w:val="22"/>
              </w:rPr>
              <w:t>合计</w:t>
            </w:r>
          </w:p>
          <w:p>
            <w:pPr>
              <w:widowControl/>
              <w:jc w:val="center"/>
              <w:rPr>
                <w:rFonts w:hint="eastAsia" w:ascii="宋体" w:hAnsi="宋体" w:cs="宋体"/>
                <w:b/>
                <w:bCs/>
                <w:kern w:val="0"/>
                <w:sz w:val="22"/>
                <w:szCs w:val="22"/>
              </w:rPr>
            </w:pPr>
          </w:p>
          <w:p>
            <w:pPr>
              <w:widowControl/>
              <w:jc w:val="center"/>
              <w:rPr>
                <w:rFonts w:hint="eastAsia" w:ascii="宋体" w:hAnsi="宋体" w:cs="宋体"/>
                <w:b/>
                <w:bCs/>
                <w:kern w:val="0"/>
                <w:sz w:val="22"/>
                <w:szCs w:val="22"/>
              </w:rPr>
            </w:pPr>
          </w:p>
        </w:tc>
        <w:tc>
          <w:tcPr>
            <w:tcW w:w="7560" w:type="dxa"/>
            <w:gridSpan w:val="3"/>
            <w:tcBorders>
              <w:top w:val="single" w:color="auto" w:sz="4" w:space="0"/>
              <w:left w:val="nil"/>
              <w:bottom w:val="single" w:color="auto" w:sz="4" w:space="0"/>
              <w:right w:val="single" w:color="auto" w:sz="4" w:space="0"/>
            </w:tcBorders>
            <w:noWrap/>
            <w:vAlign w:val="center"/>
          </w:tcPr>
          <w:p>
            <w:pPr>
              <w:widowControl/>
              <w:jc w:val="center"/>
              <w:rPr>
                <w:rFonts w:ascii="宋体"/>
                <w:kern w:val="0"/>
                <w:sz w:val="22"/>
              </w:rPr>
            </w:pPr>
          </w:p>
        </w:tc>
        <w:tc>
          <w:tcPr>
            <w:tcW w:w="900" w:type="dxa"/>
            <w:tcBorders>
              <w:top w:val="single" w:color="auto" w:sz="4" w:space="0"/>
              <w:left w:val="nil"/>
              <w:bottom w:val="single" w:color="auto" w:sz="4" w:space="0"/>
              <w:right w:val="single" w:color="auto" w:sz="4" w:space="0"/>
            </w:tcBorders>
            <w:vAlign w:val="center"/>
          </w:tcPr>
          <w:p>
            <w:pPr>
              <w:widowControl/>
              <w:jc w:val="center"/>
              <w:rPr>
                <w:rFonts w:hint="eastAsia" w:ascii="宋体" w:hAnsi="宋体" w:eastAsia="宋体" w:cs="宋体"/>
                <w:kern w:val="0"/>
                <w:sz w:val="22"/>
                <w:lang w:val="en-US" w:eastAsia="zh-CN"/>
              </w:rPr>
            </w:pPr>
            <w:r>
              <w:rPr>
                <w:rFonts w:hint="eastAsia" w:ascii="宋体" w:hAnsi="宋体" w:cs="宋体"/>
                <w:kern w:val="0"/>
                <w:sz w:val="22"/>
                <w:szCs w:val="22"/>
              </w:rPr>
              <w:t>9</w:t>
            </w:r>
            <w:r>
              <w:rPr>
                <w:rFonts w:hint="eastAsia" w:ascii="宋体" w:hAnsi="宋体" w:cs="宋体"/>
                <w:kern w:val="0"/>
                <w:sz w:val="22"/>
                <w:szCs w:val="22"/>
                <w:lang w:val="en-US" w:eastAsia="zh-CN"/>
              </w:rPr>
              <w:t>8</w:t>
            </w:r>
          </w:p>
        </w:tc>
        <w:tc>
          <w:tcPr>
            <w:tcW w:w="900"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cs="宋体"/>
                <w:kern w:val="0"/>
                <w:sz w:val="22"/>
                <w:szCs w:val="22"/>
              </w:rPr>
            </w:pPr>
          </w:p>
        </w:tc>
      </w:tr>
      <w:tr>
        <w:tblPrEx>
          <w:tblCellMar>
            <w:top w:w="0" w:type="dxa"/>
            <w:left w:w="108" w:type="dxa"/>
            <w:bottom w:w="0" w:type="dxa"/>
            <w:right w:w="108" w:type="dxa"/>
          </w:tblCellMar>
        </w:tblPrEx>
        <w:trPr>
          <w:trHeight w:val="270" w:hRule="atLeast"/>
        </w:trPr>
        <w:tc>
          <w:tcPr>
            <w:tcW w:w="900" w:type="dxa"/>
            <w:tcBorders>
              <w:top w:val="single" w:color="auto" w:sz="4" w:space="0"/>
              <w:left w:val="single" w:color="auto" w:sz="4" w:space="0"/>
              <w:bottom w:val="single" w:color="auto" w:sz="4" w:space="0"/>
              <w:right w:val="single" w:color="auto" w:sz="4" w:space="0"/>
            </w:tcBorders>
            <w:noWrap/>
            <w:vAlign w:val="center"/>
          </w:tcPr>
          <w:p>
            <w:pPr>
              <w:widowControl/>
              <w:jc w:val="left"/>
              <w:rPr>
                <w:rFonts w:hint="eastAsia" w:ascii="宋体" w:eastAsia="宋体"/>
                <w:kern w:val="0"/>
                <w:sz w:val="22"/>
                <w:lang w:eastAsia="zh-CN"/>
              </w:rPr>
            </w:pPr>
            <w:r>
              <w:rPr>
                <w:rFonts w:hint="eastAsia" w:ascii="宋体"/>
                <w:kern w:val="0"/>
                <w:sz w:val="22"/>
                <w:lang w:eastAsia="zh-CN"/>
              </w:rPr>
              <w:t>本月应结款</w:t>
            </w:r>
          </w:p>
        </w:tc>
        <w:tc>
          <w:tcPr>
            <w:tcW w:w="1440" w:type="dxa"/>
            <w:tcBorders>
              <w:top w:val="single" w:color="auto" w:sz="4" w:space="0"/>
              <w:left w:val="single" w:color="auto" w:sz="4" w:space="0"/>
              <w:bottom w:val="single" w:color="auto" w:sz="4" w:space="0"/>
              <w:right w:val="single" w:color="auto" w:sz="4" w:space="0"/>
            </w:tcBorders>
            <w:noWrap/>
            <w:vAlign w:val="center"/>
          </w:tcPr>
          <w:p>
            <w:pPr>
              <w:widowControl/>
              <w:jc w:val="left"/>
              <w:rPr>
                <w:rFonts w:ascii="宋体"/>
                <w:kern w:val="0"/>
                <w:sz w:val="22"/>
              </w:rPr>
            </w:pPr>
            <w:r>
              <w:rPr>
                <w:rFonts w:hint="eastAsia" w:ascii="宋体"/>
                <w:kern w:val="0"/>
                <w:sz w:val="22"/>
              </w:rPr>
              <w:t>每月实际结款=每月应结款-考核款*考核扣分/40-事件扣款（扣40分内适用）。</w:t>
            </w:r>
          </w:p>
        </w:tc>
        <w:tc>
          <w:tcPr>
            <w:tcW w:w="5220" w:type="dxa"/>
            <w:tcBorders>
              <w:top w:val="single" w:color="auto" w:sz="4" w:space="0"/>
              <w:left w:val="single" w:color="auto" w:sz="4" w:space="0"/>
              <w:bottom w:val="single" w:color="auto" w:sz="4" w:space="0"/>
              <w:right w:val="single" w:color="auto" w:sz="4" w:space="0"/>
            </w:tcBorders>
            <w:noWrap/>
            <w:vAlign w:val="center"/>
          </w:tcPr>
          <w:p>
            <w:pPr>
              <w:widowControl/>
              <w:jc w:val="left"/>
              <w:rPr>
                <w:rFonts w:hint="default" w:ascii="宋体"/>
                <w:kern w:val="0"/>
                <w:sz w:val="22"/>
                <w:lang w:val="en-US" w:eastAsia="zh-CN"/>
              </w:rPr>
            </w:pPr>
            <w:r>
              <w:rPr>
                <w:rFonts w:hint="eastAsia" w:ascii="宋体"/>
                <w:kern w:val="0"/>
                <w:sz w:val="22"/>
                <w:lang w:eastAsia="zh-CN"/>
              </w:rPr>
              <w:t>当月应结款</w:t>
            </w:r>
            <w:r>
              <w:rPr>
                <w:rFonts w:hint="eastAsia" w:ascii="宋体"/>
                <w:kern w:val="0"/>
                <w:sz w:val="22"/>
                <w:lang w:val="en-US" w:eastAsia="zh-CN"/>
              </w:rPr>
              <w:t>=活跃户数*4.45元/户=12798.2元</w:t>
            </w:r>
          </w:p>
          <w:p>
            <w:pPr>
              <w:widowControl/>
              <w:jc w:val="left"/>
              <w:rPr>
                <w:rFonts w:hint="default" w:ascii="宋体"/>
                <w:kern w:val="0"/>
                <w:sz w:val="22"/>
                <w:lang w:val="en-US" w:eastAsia="zh-CN"/>
              </w:rPr>
            </w:pPr>
            <w:r>
              <w:rPr>
                <w:rFonts w:hint="eastAsia" w:ascii="宋体"/>
                <w:kern w:val="0"/>
                <w:sz w:val="22"/>
                <w:lang w:val="en-US" w:eastAsia="zh-CN"/>
              </w:rPr>
              <w:t>当月考核款=当月应结款*30%=3839.46元</w:t>
            </w:r>
          </w:p>
          <w:p>
            <w:pPr>
              <w:widowControl/>
              <w:jc w:val="left"/>
              <w:rPr>
                <w:rFonts w:hint="eastAsia" w:ascii="宋体"/>
                <w:kern w:val="0"/>
                <w:sz w:val="22"/>
                <w:lang w:val="en-US" w:eastAsia="zh-CN"/>
              </w:rPr>
            </w:pPr>
            <w:r>
              <w:rPr>
                <w:rFonts w:hint="eastAsia" w:ascii="宋体"/>
                <w:kern w:val="0"/>
                <w:sz w:val="22"/>
                <w:lang w:val="en-US" w:eastAsia="zh-CN"/>
              </w:rPr>
              <w:t>当月考核扣分=2分</w:t>
            </w:r>
          </w:p>
          <w:p>
            <w:pPr>
              <w:widowControl/>
              <w:jc w:val="left"/>
              <w:rPr>
                <w:rFonts w:hint="eastAsia" w:ascii="宋体"/>
                <w:kern w:val="0"/>
                <w:sz w:val="22"/>
                <w:lang w:val="en-US" w:eastAsia="zh-CN"/>
              </w:rPr>
            </w:pPr>
          </w:p>
          <w:p>
            <w:pPr>
              <w:widowControl/>
              <w:jc w:val="left"/>
              <w:rPr>
                <w:rFonts w:hint="default" w:ascii="宋体"/>
                <w:kern w:val="0"/>
                <w:sz w:val="22"/>
                <w:lang w:val="en-US" w:eastAsia="zh-CN"/>
              </w:rPr>
            </w:pPr>
            <w:r>
              <w:rPr>
                <w:rFonts w:hint="eastAsia" w:ascii="宋体"/>
                <w:kern w:val="0"/>
                <w:sz w:val="22"/>
                <w:lang w:val="en-US" w:eastAsia="zh-CN"/>
              </w:rPr>
              <w:t>当月考核分扣款=191.97元</w:t>
            </w:r>
          </w:p>
          <w:p>
            <w:pPr>
              <w:widowControl/>
              <w:jc w:val="left"/>
              <w:rPr>
                <w:rFonts w:hint="default" w:ascii="宋体"/>
                <w:kern w:val="0"/>
                <w:sz w:val="22"/>
                <w:lang w:val="en-US" w:eastAsia="zh-CN"/>
              </w:rPr>
            </w:pPr>
            <w:r>
              <w:rPr>
                <w:rFonts w:hint="eastAsia" w:ascii="宋体"/>
                <w:kern w:val="0"/>
                <w:sz w:val="22"/>
                <w:lang w:val="en-US" w:eastAsia="zh-CN"/>
              </w:rPr>
              <w:t>当月事件扣款=0元</w:t>
            </w:r>
          </w:p>
          <w:p>
            <w:pPr>
              <w:widowControl/>
              <w:jc w:val="left"/>
              <w:rPr>
                <w:rFonts w:hint="default" w:ascii="宋体"/>
                <w:kern w:val="0"/>
                <w:sz w:val="22"/>
                <w:lang w:val="en-US" w:eastAsia="zh-CN"/>
              </w:rPr>
            </w:pPr>
          </w:p>
        </w:tc>
        <w:tc>
          <w:tcPr>
            <w:tcW w:w="900"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宋体" w:eastAsia="宋体"/>
                <w:kern w:val="0"/>
                <w:sz w:val="22"/>
                <w:lang w:eastAsia="zh-CN"/>
              </w:rPr>
            </w:pPr>
            <w:r>
              <w:rPr>
                <w:rFonts w:hint="eastAsia" w:ascii="宋体"/>
                <w:kern w:val="0"/>
                <w:sz w:val="22"/>
                <w:lang w:eastAsia="zh-CN"/>
              </w:rPr>
              <w:t>最终应结款</w:t>
            </w:r>
          </w:p>
        </w:tc>
        <w:tc>
          <w:tcPr>
            <w:tcW w:w="1800" w:type="dxa"/>
            <w:gridSpan w:val="2"/>
            <w:tcBorders>
              <w:top w:val="single" w:color="auto" w:sz="4" w:space="0"/>
              <w:left w:val="single" w:color="auto" w:sz="4" w:space="0"/>
              <w:bottom w:val="single" w:color="auto" w:sz="4" w:space="0"/>
              <w:right w:val="single" w:color="auto" w:sz="4" w:space="0"/>
            </w:tcBorders>
            <w:vAlign w:val="center"/>
          </w:tcPr>
          <w:p>
            <w:pPr>
              <w:widowControl/>
              <w:jc w:val="center"/>
              <w:rPr>
                <w:rFonts w:hint="default" w:ascii="宋体" w:eastAsia="宋体"/>
                <w:kern w:val="0"/>
                <w:sz w:val="22"/>
                <w:lang w:val="en-US" w:eastAsia="zh-CN"/>
              </w:rPr>
            </w:pPr>
            <w:r>
              <w:rPr>
                <w:rFonts w:hint="eastAsia" w:ascii="宋体"/>
                <w:kern w:val="0"/>
                <w:sz w:val="22"/>
                <w:lang w:val="en-US" w:eastAsia="zh-CN"/>
              </w:rPr>
              <w:t>12606.23</w:t>
            </w:r>
          </w:p>
        </w:tc>
      </w:tr>
    </w:tbl>
    <w:p>
      <w:pPr>
        <w:spacing w:line="360" w:lineRule="auto"/>
        <w:rPr>
          <w:rFonts w:hint="eastAsia" w:ascii="宋体" w:hAnsi="宋体" w:eastAsia="宋体"/>
          <w:lang w:eastAsia="zh-CN"/>
        </w:rPr>
      </w:pPr>
      <w:bookmarkStart w:id="0" w:name="_GoBack"/>
      <w:bookmarkEnd w:id="0"/>
    </w:p>
    <w:p>
      <w:pPr>
        <w:spacing w:line="360" w:lineRule="auto"/>
        <w:rPr>
          <w:rFonts w:hint="default" w:ascii="宋体" w:hAnsi="宋体" w:eastAsia="宋体"/>
          <w:lang w:val="en-US" w:eastAsia="zh-CN"/>
        </w:rPr>
      </w:pPr>
      <w:r>
        <w:rPr>
          <w:rFonts w:hint="eastAsia" w:ascii="宋体" w:hAnsi="宋体"/>
          <w:lang w:eastAsia="zh-CN"/>
        </w:rPr>
        <w:t>甲方签字确认（盖章）：</w:t>
      </w:r>
      <w:r>
        <w:rPr>
          <w:rFonts w:hint="eastAsia" w:ascii="宋体" w:hAnsi="宋体"/>
          <w:lang w:val="en-US" w:eastAsia="zh-CN"/>
        </w:rPr>
        <w:t xml:space="preserve">                          乙方签字确认（盖章）：</w:t>
      </w:r>
    </w:p>
    <w:p>
      <w:pPr>
        <w:spacing w:line="360" w:lineRule="auto"/>
        <w:rPr>
          <w:rFonts w:hint="eastAsia" w:ascii="宋体" w:hAnsi="宋体" w:eastAsia="宋体"/>
          <w:lang w:eastAsia="zh-CN"/>
        </w:rPr>
      </w:pPr>
    </w:p>
    <w:p>
      <w:pPr>
        <w:spacing w:line="360" w:lineRule="auto"/>
        <w:rPr>
          <w:rFonts w:hint="eastAsia" w:ascii="宋体" w:hAnsi="宋体" w:eastAsia="宋体"/>
          <w:lang w:eastAsia="zh-CN"/>
        </w:rPr>
      </w:pPr>
    </w:p>
    <w:p>
      <w:pPr>
        <w:spacing w:line="360" w:lineRule="auto"/>
        <w:rPr>
          <w:rFonts w:hint="eastAsia" w:ascii="宋体" w:hAnsi="宋体" w:eastAsia="宋体"/>
          <w:lang w:eastAsia="zh-CN"/>
        </w:rPr>
      </w:pPr>
    </w:p>
    <w:p>
      <w:pPr>
        <w:spacing w:line="360" w:lineRule="auto"/>
        <w:rPr>
          <w:rFonts w:hint="eastAsia" w:ascii="宋体" w:hAnsi="宋体"/>
          <w:lang w:eastAsia="zh-CN"/>
        </w:rPr>
      </w:pPr>
      <w:r>
        <w:rPr>
          <w:rFonts w:hint="eastAsia" w:ascii="宋体" w:hAnsi="宋体"/>
          <w:lang w:eastAsia="zh-CN"/>
        </w:rPr>
        <w:t>实施办法：</w:t>
      </w:r>
    </w:p>
    <w:p>
      <w:pPr>
        <w:spacing w:line="360" w:lineRule="auto"/>
        <w:rPr>
          <w:rFonts w:ascii="宋体" w:hAnsi="宋体" w:eastAsia="宋体"/>
        </w:rPr>
      </w:pPr>
      <w:r>
        <w:rPr>
          <w:rFonts w:hint="eastAsia" w:ascii="宋体" w:hAnsi="宋体" w:eastAsia="宋体"/>
        </w:rPr>
        <w:t>1、按月进行考核，考核款为每月应结款的30%。</w:t>
      </w:r>
    </w:p>
    <w:p>
      <w:pPr>
        <w:spacing w:line="360" w:lineRule="auto"/>
        <w:rPr>
          <w:rFonts w:ascii="宋体" w:hAnsi="宋体" w:eastAsia="宋体"/>
        </w:rPr>
      </w:pPr>
      <w:r>
        <w:rPr>
          <w:rFonts w:hint="eastAsia" w:ascii="宋体" w:hAnsi="宋体" w:eastAsia="宋体"/>
        </w:rPr>
        <w:t>2、单项考核中有事件扣款的，先扣除事件扣款，事件扣款不受30%影响，考核扣款和事件扣款总金额不超过每月应结款。</w:t>
      </w:r>
    </w:p>
    <w:p>
      <w:pPr>
        <w:spacing w:line="360" w:lineRule="auto"/>
        <w:rPr>
          <w:rFonts w:ascii="宋体" w:hAnsi="宋体" w:eastAsia="宋体"/>
        </w:rPr>
      </w:pPr>
      <w:r>
        <w:rPr>
          <w:rFonts w:hint="eastAsia" w:ascii="宋体" w:hAnsi="宋体" w:eastAsia="宋体"/>
        </w:rPr>
        <w:t>3、扣款原则：在扣除事件扣款的基础上，考评分值达到100分，获得全部考核款，60分以下考核款全部扣除，60分-100分之间线性计算获得的考核款，每月实际结款=每月应结款-考核款*考核扣分/40-事件扣款（扣40分内适用）。</w:t>
      </w:r>
    </w:p>
    <w:p>
      <w:pPr>
        <w:spacing w:line="360" w:lineRule="auto"/>
        <w:rPr>
          <w:rFonts w:ascii="宋体" w:hAnsi="宋体" w:eastAsia="宋体"/>
        </w:rPr>
      </w:pPr>
      <w:r>
        <w:rPr>
          <w:rFonts w:hint="eastAsia" w:ascii="宋体" w:hAnsi="宋体" w:eastAsia="宋体"/>
        </w:rPr>
        <w:t>4、供应商退出机制</w:t>
      </w:r>
    </w:p>
    <w:p>
      <w:pPr>
        <w:spacing w:line="360" w:lineRule="auto"/>
        <w:rPr>
          <w:rFonts w:ascii="宋体" w:hAnsi="宋体" w:eastAsia="宋体"/>
        </w:rPr>
      </w:pPr>
      <w:r>
        <w:rPr>
          <w:rFonts w:hint="eastAsia" w:ascii="宋体" w:hAnsi="宋体" w:eastAsia="宋体"/>
        </w:rPr>
        <w:t xml:space="preserve">    （1）合同考核分低于60分，甲方可以提出终止合同，同时申请中止后续合作关系。</w:t>
      </w:r>
    </w:p>
    <w:p>
      <w:pPr>
        <w:spacing w:line="360" w:lineRule="auto"/>
        <w:rPr>
          <w:rFonts w:ascii="宋体" w:hAnsi="宋体" w:eastAsia="宋体"/>
        </w:rPr>
      </w:pPr>
      <w:r>
        <w:rPr>
          <w:rFonts w:hint="eastAsia" w:ascii="宋体" w:hAnsi="宋体" w:eastAsia="宋体"/>
        </w:rPr>
        <w:t xml:space="preserve">    （2）因乙方人为因素、管理责任等引起重大安全生产故障（一级故障或同等生产故障及以上），甲方可以提出终止合同，并追究损失。</w:t>
      </w:r>
    </w:p>
    <w:p>
      <w:pPr>
        <w:spacing w:line="360" w:lineRule="auto"/>
        <w:rPr>
          <w:rFonts w:ascii="宋体" w:hAnsi="宋体" w:eastAsia="宋体"/>
        </w:rPr>
      </w:pPr>
      <w:r>
        <w:rPr>
          <w:rFonts w:hint="eastAsia" w:ascii="宋体" w:hAnsi="宋体" w:eastAsia="宋体"/>
        </w:rPr>
        <w:t xml:space="preserve">    （3）因乙方人为因素、管理责任引起重大信息安全事件，对公司造成不良社会影响，甲方可以提出终止合同，并追究法律责任。</w:t>
      </w:r>
    </w:p>
    <w:p>
      <w:pPr>
        <w:spacing w:line="360" w:lineRule="auto"/>
        <w:rPr>
          <w:rFonts w:ascii="宋体" w:hAnsi="宋体" w:eastAsia="宋体"/>
        </w:rPr>
      </w:pPr>
      <w:r>
        <w:rPr>
          <w:rFonts w:hint="eastAsia" w:ascii="宋体" w:hAnsi="宋体" w:eastAsia="宋体"/>
        </w:rPr>
        <w:t xml:space="preserve">    （4）如合同终止，在合同交接期间，乙方不配合交接工作、造成不良影响或损失，甲方有权扣除合同余款，违反国家法律的将追究法律责任。</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U2MWNhOGJjNjgyN2I2NzRmNmZmZjdlZmM0YzVlY2IifQ=="/>
  </w:docVars>
  <w:rsids>
    <w:rsidRoot w:val="00B20AE4"/>
    <w:rsid w:val="00240877"/>
    <w:rsid w:val="002D588B"/>
    <w:rsid w:val="00363A35"/>
    <w:rsid w:val="00484807"/>
    <w:rsid w:val="004C083E"/>
    <w:rsid w:val="005F41E6"/>
    <w:rsid w:val="009D6020"/>
    <w:rsid w:val="00B20AE4"/>
    <w:rsid w:val="00CC35B8"/>
    <w:rsid w:val="00DA47CF"/>
    <w:rsid w:val="00DC73BD"/>
    <w:rsid w:val="00EE1FDD"/>
    <w:rsid w:val="05970C59"/>
    <w:rsid w:val="1C800DED"/>
    <w:rsid w:val="41DD3AF6"/>
    <w:rsid w:val="502E76E9"/>
    <w:rsid w:val="60826D0B"/>
    <w:rsid w:val="67F40236"/>
    <w:rsid w:val="69DF0780"/>
    <w:rsid w:val="6D5368F3"/>
    <w:rsid w:val="6DCD25D2"/>
    <w:rsid w:val="761C5E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customStyle="1" w:styleId="6">
    <w:name w:val="页眉 Char"/>
    <w:basedOn w:val="5"/>
    <w:link w:val="3"/>
    <w:semiHidden/>
    <w:qFormat/>
    <w:uiPriority w:val="99"/>
    <w:rPr>
      <w:sz w:val="18"/>
      <w:szCs w:val="18"/>
    </w:rPr>
  </w:style>
  <w:style w:type="character" w:customStyle="1" w:styleId="7">
    <w:name w:val="页脚 Char"/>
    <w:basedOn w:val="5"/>
    <w:link w:val="2"/>
    <w:semiHidden/>
    <w:qFormat/>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2935</Words>
  <Characters>3067</Characters>
  <Lines>21</Lines>
  <Paragraphs>5</Paragraphs>
  <TotalTime>37</TotalTime>
  <ScaleCrop>false</ScaleCrop>
  <LinksUpToDate>false</LinksUpToDate>
  <CharactersWithSpaces>3155</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2015-07-27T05:51:00Z</dcterms:created>
  <dc:creator>keke</dc:creator>
  <cp:lastModifiedBy>哈哈</cp:lastModifiedBy>
  <dcterms:modified xsi:type="dcterms:W3CDTF">2023-04-25T01:51:13Z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3D0FC1B69CAE4B3BA98F1279CFF367ED</vt:lpwstr>
  </property>
</Properties>
</file>