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left="0"/>
        <w:rPr>
          <w:rFonts w:ascii="Times New Roman"/>
          <w:sz w:val="20"/>
        </w:rPr>
      </w:pPr>
    </w:p>
    <w:p>
      <w:pPr>
        <w:pStyle w:val="5"/>
        <w:spacing w:before="3"/>
        <w:ind w:left="0"/>
        <w:rPr>
          <w:rFonts w:ascii="Times New Roman"/>
        </w:rPr>
      </w:pPr>
    </w:p>
    <w:p>
      <w:pPr>
        <w:spacing w:before="65"/>
        <w:ind w:left="5072"/>
        <w:rPr>
          <w:rFonts w:ascii="Times New Roman" w:eastAsia="Times New Roman"/>
          <w:sz w:val="32"/>
          <w:lang w:eastAsia="zh-CN"/>
        </w:rPr>
      </w:pPr>
      <w:r>
        <w:rPr>
          <w:rFonts w:hint="eastAsia" w:ascii="黑体" w:eastAsia="黑体"/>
          <w:sz w:val="32"/>
          <w:lang w:eastAsia="zh-CN"/>
        </w:rPr>
        <w:t>合同编号：</w:t>
      </w:r>
      <w:r>
        <w:rPr>
          <w:rFonts w:ascii="Times New Roman" w:eastAsia="Times New Roman"/>
          <w:sz w:val="32"/>
          <w:lang w:eastAsia="zh-CN"/>
        </w:rPr>
        <w:t xml:space="preserve"> CPO101-2202753</w:t>
      </w:r>
    </w:p>
    <w:p>
      <w:pPr>
        <w:pStyle w:val="5"/>
        <w:ind w:left="0"/>
        <w:rPr>
          <w:rFonts w:ascii="Times New Roman"/>
          <w:sz w:val="34"/>
          <w:lang w:eastAsia="zh-CN"/>
        </w:rPr>
      </w:pPr>
    </w:p>
    <w:p>
      <w:pPr>
        <w:pStyle w:val="5"/>
        <w:ind w:left="0"/>
        <w:rPr>
          <w:rFonts w:ascii="Times New Roman"/>
          <w:sz w:val="34"/>
          <w:lang w:eastAsia="zh-CN"/>
        </w:rPr>
      </w:pPr>
    </w:p>
    <w:p>
      <w:pPr>
        <w:pStyle w:val="5"/>
        <w:ind w:left="0"/>
        <w:rPr>
          <w:rFonts w:ascii="Times New Roman"/>
          <w:sz w:val="34"/>
          <w:lang w:eastAsia="zh-CN"/>
        </w:rPr>
      </w:pPr>
    </w:p>
    <w:p>
      <w:pPr>
        <w:pStyle w:val="5"/>
        <w:ind w:left="0"/>
        <w:rPr>
          <w:rFonts w:ascii="Times New Roman"/>
          <w:sz w:val="34"/>
          <w:lang w:eastAsia="zh-CN"/>
        </w:rPr>
      </w:pPr>
    </w:p>
    <w:p>
      <w:pPr>
        <w:pStyle w:val="5"/>
        <w:ind w:left="0"/>
        <w:rPr>
          <w:rFonts w:ascii="Times New Roman"/>
          <w:sz w:val="34"/>
          <w:lang w:eastAsia="zh-CN"/>
        </w:rPr>
      </w:pPr>
    </w:p>
    <w:p>
      <w:pPr>
        <w:pStyle w:val="5"/>
        <w:ind w:left="0"/>
        <w:rPr>
          <w:rFonts w:ascii="Times New Roman"/>
          <w:sz w:val="34"/>
          <w:lang w:eastAsia="zh-CN"/>
        </w:rPr>
      </w:pPr>
    </w:p>
    <w:p>
      <w:pPr>
        <w:pStyle w:val="5"/>
        <w:ind w:left="0"/>
        <w:rPr>
          <w:rFonts w:ascii="Times New Roman"/>
          <w:sz w:val="34"/>
          <w:lang w:eastAsia="zh-CN"/>
        </w:rPr>
      </w:pPr>
    </w:p>
    <w:p>
      <w:pPr>
        <w:pStyle w:val="5"/>
        <w:ind w:left="0"/>
        <w:rPr>
          <w:rFonts w:ascii="Times New Roman"/>
          <w:sz w:val="34"/>
          <w:lang w:eastAsia="zh-CN"/>
        </w:rPr>
      </w:pPr>
    </w:p>
    <w:p>
      <w:pPr>
        <w:pStyle w:val="5"/>
        <w:spacing w:before="10"/>
        <w:ind w:left="0"/>
        <w:rPr>
          <w:rFonts w:ascii="Times New Roman"/>
          <w:sz w:val="35"/>
          <w:lang w:eastAsia="zh-CN"/>
        </w:rPr>
      </w:pPr>
    </w:p>
    <w:p>
      <w:pPr>
        <w:ind w:left="936" w:right="1296"/>
        <w:jc w:val="center"/>
        <w:rPr>
          <w:rFonts w:ascii="黑体" w:eastAsia="黑体"/>
          <w:sz w:val="44"/>
          <w:lang w:eastAsia="zh-CN"/>
        </w:rPr>
      </w:pPr>
      <w:r>
        <w:rPr>
          <w:rFonts w:hint="eastAsia" w:ascii="黑体" w:eastAsia="黑体"/>
          <w:sz w:val="44"/>
          <w:lang w:eastAsia="zh-CN"/>
        </w:rPr>
        <w:t>辽宁省农村信用社</w:t>
      </w:r>
    </w:p>
    <w:p>
      <w:pPr>
        <w:spacing w:before="128" w:line="242" w:lineRule="auto"/>
        <w:ind w:left="936" w:right="1297"/>
        <w:jc w:val="center"/>
        <w:rPr>
          <w:rFonts w:ascii="黑体" w:eastAsia="黑体"/>
          <w:sz w:val="44"/>
          <w:lang w:eastAsia="zh-CN"/>
        </w:rPr>
      </w:pPr>
      <w:r>
        <w:rPr>
          <w:rFonts w:ascii="Times New Roman" w:eastAsia="Times New Roman"/>
          <w:sz w:val="44"/>
          <w:lang w:eastAsia="zh-CN"/>
        </w:rPr>
        <w:t xml:space="preserve">2022 </w:t>
      </w:r>
      <w:r>
        <w:rPr>
          <w:rFonts w:hint="eastAsia" w:ascii="黑体" w:eastAsia="黑体"/>
          <w:sz w:val="44"/>
          <w:lang w:eastAsia="zh-CN"/>
        </w:rPr>
        <w:t>年数据中心服务器及存储等设备更新项目（</w:t>
      </w:r>
      <w:r>
        <w:rPr>
          <w:rFonts w:ascii="Times New Roman" w:eastAsia="Times New Roman"/>
          <w:sz w:val="44"/>
          <w:lang w:eastAsia="zh-CN"/>
        </w:rPr>
        <w:t xml:space="preserve">A </w:t>
      </w:r>
      <w:r>
        <w:rPr>
          <w:rFonts w:hint="eastAsia" w:ascii="黑体" w:eastAsia="黑体"/>
          <w:sz w:val="44"/>
          <w:lang w:eastAsia="zh-CN"/>
        </w:rPr>
        <w:t>包）</w:t>
      </w:r>
    </w:p>
    <w:p>
      <w:pPr>
        <w:spacing w:before="121"/>
        <w:ind w:left="936" w:right="1296"/>
        <w:jc w:val="center"/>
        <w:rPr>
          <w:rFonts w:ascii="黑体" w:eastAsia="黑体"/>
          <w:sz w:val="44"/>
          <w:lang w:eastAsia="zh-CN"/>
        </w:rPr>
      </w:pPr>
      <w:r>
        <w:rPr>
          <w:rFonts w:hint="eastAsia" w:ascii="黑体" w:eastAsia="黑体"/>
          <w:sz w:val="44"/>
          <w:lang w:eastAsia="zh-CN"/>
        </w:rPr>
        <w:t>技术服务采购合同</w:t>
      </w:r>
    </w:p>
    <w:p>
      <w:pPr>
        <w:pStyle w:val="5"/>
        <w:ind w:left="0"/>
        <w:rPr>
          <w:rFonts w:ascii="黑体"/>
          <w:sz w:val="44"/>
          <w:lang w:eastAsia="zh-CN"/>
        </w:rPr>
      </w:pPr>
    </w:p>
    <w:p>
      <w:pPr>
        <w:pStyle w:val="5"/>
        <w:ind w:left="0"/>
        <w:rPr>
          <w:rFonts w:ascii="黑体"/>
          <w:sz w:val="44"/>
          <w:lang w:eastAsia="zh-CN"/>
        </w:rPr>
      </w:pPr>
    </w:p>
    <w:p>
      <w:pPr>
        <w:pStyle w:val="5"/>
        <w:ind w:left="0"/>
        <w:rPr>
          <w:rFonts w:ascii="黑体"/>
          <w:sz w:val="44"/>
          <w:lang w:eastAsia="zh-CN"/>
        </w:rPr>
      </w:pPr>
    </w:p>
    <w:p>
      <w:pPr>
        <w:pStyle w:val="5"/>
        <w:ind w:left="0"/>
        <w:rPr>
          <w:rFonts w:ascii="黑体"/>
          <w:sz w:val="44"/>
          <w:lang w:eastAsia="zh-CN"/>
        </w:rPr>
      </w:pPr>
    </w:p>
    <w:p>
      <w:pPr>
        <w:pStyle w:val="5"/>
        <w:ind w:left="0"/>
        <w:rPr>
          <w:rFonts w:ascii="黑体"/>
          <w:sz w:val="44"/>
          <w:lang w:eastAsia="zh-CN"/>
        </w:rPr>
      </w:pPr>
    </w:p>
    <w:p>
      <w:pPr>
        <w:spacing w:line="364" w:lineRule="auto"/>
        <w:ind w:left="800" w:right="4023"/>
        <w:rPr>
          <w:rFonts w:ascii="黑体" w:eastAsia="黑体"/>
          <w:sz w:val="32"/>
          <w:lang w:eastAsia="zh-CN"/>
        </w:rPr>
      </w:pPr>
    </w:p>
    <w:p>
      <w:pPr>
        <w:spacing w:line="364" w:lineRule="auto"/>
        <w:ind w:left="800" w:right="4023"/>
        <w:rPr>
          <w:rFonts w:ascii="黑体" w:eastAsia="黑体"/>
          <w:spacing w:val="-1"/>
          <w:sz w:val="32"/>
          <w:lang w:eastAsia="zh-CN"/>
        </w:rPr>
      </w:pPr>
      <w:r>
        <w:rPr>
          <w:rFonts w:hint="eastAsia" w:ascii="黑体" w:eastAsia="黑体"/>
          <w:sz w:val="32"/>
          <w:lang w:eastAsia="zh-CN"/>
        </w:rPr>
        <w:t>合同买方：</w:t>
      </w:r>
      <w:r>
        <w:rPr>
          <w:rFonts w:hint="eastAsia" w:ascii="黑体" w:eastAsia="黑体"/>
          <w:spacing w:val="-1"/>
          <w:sz w:val="32"/>
          <w:lang w:eastAsia="zh-CN"/>
        </w:rPr>
        <w:t>荣联科技集团股份有限公司合同卖方：北京创联致信科技有限公司</w:t>
      </w:r>
    </w:p>
    <w:p>
      <w:pPr>
        <w:spacing w:line="364" w:lineRule="auto"/>
        <w:ind w:left="800" w:right="4023"/>
        <w:rPr>
          <w:rFonts w:ascii="黑体" w:eastAsia="黑体"/>
          <w:sz w:val="32"/>
          <w:lang w:eastAsia="zh-CN"/>
        </w:rPr>
      </w:pPr>
      <w:r>
        <w:rPr>
          <w:rFonts w:hint="eastAsia" w:ascii="黑体" w:eastAsia="黑体"/>
          <w:sz w:val="32"/>
          <w:lang w:eastAsia="zh-CN"/>
        </w:rPr>
        <w:t>最终用户：辽宁省农村信用社联合社</w:t>
      </w:r>
    </w:p>
    <w:p>
      <w:pPr>
        <w:spacing w:line="364" w:lineRule="auto"/>
        <w:ind w:left="800" w:right="4023"/>
        <w:rPr>
          <w:rFonts w:ascii="黑体" w:eastAsia="黑体"/>
          <w:sz w:val="32"/>
          <w:lang w:eastAsia="zh-CN"/>
        </w:rPr>
      </w:pPr>
      <w:r>
        <w:rPr>
          <w:rFonts w:hint="eastAsia" w:ascii="黑体" w:eastAsia="黑体"/>
          <w:sz w:val="32"/>
          <w:lang w:eastAsia="zh-CN"/>
        </w:rPr>
        <w:t>签订地点：辽宁 沈阳</w:t>
      </w:r>
    </w:p>
    <w:p>
      <w:pPr>
        <w:spacing w:line="364" w:lineRule="auto"/>
        <w:rPr>
          <w:rFonts w:ascii="黑体" w:eastAsia="黑体"/>
          <w:sz w:val="32"/>
          <w:lang w:eastAsia="zh-CN"/>
        </w:rPr>
        <w:sectPr>
          <w:footerReference r:id="rId3" w:type="default"/>
          <w:type w:val="continuous"/>
          <w:pgSz w:w="11910" w:h="16840"/>
          <w:pgMar w:top="1580" w:right="640" w:bottom="280" w:left="1000" w:header="720" w:footer="720" w:gutter="0"/>
          <w:cols w:space="720" w:num="1"/>
        </w:sectPr>
      </w:pPr>
    </w:p>
    <w:p>
      <w:pPr>
        <w:pStyle w:val="5"/>
        <w:ind w:left="0"/>
        <w:rPr>
          <w:rFonts w:ascii="黑体"/>
          <w:sz w:val="20"/>
          <w:lang w:eastAsia="zh-CN"/>
        </w:rPr>
      </w:pPr>
    </w:p>
    <w:p>
      <w:pPr>
        <w:pStyle w:val="5"/>
        <w:spacing w:before="9"/>
        <w:ind w:left="0"/>
        <w:rPr>
          <w:rFonts w:ascii="黑体"/>
          <w:sz w:val="15"/>
          <w:lang w:eastAsia="zh-CN"/>
        </w:rPr>
      </w:pPr>
    </w:p>
    <w:p>
      <w:pPr>
        <w:pStyle w:val="2"/>
        <w:ind w:left="935" w:right="1297"/>
        <w:jc w:val="center"/>
        <w:rPr>
          <w:rFonts w:ascii="仿宋" w:eastAsia="仿宋"/>
          <w:lang w:eastAsia="zh-CN"/>
        </w:rPr>
      </w:pPr>
      <w:r>
        <w:rPr>
          <w:rFonts w:hint="eastAsia" w:ascii="仿宋" w:eastAsia="仿宋"/>
          <w:lang w:eastAsia="zh-CN"/>
        </w:rPr>
        <w:t>合同的主要条款内容</w:t>
      </w:r>
    </w:p>
    <w:p>
      <w:pPr>
        <w:pStyle w:val="5"/>
        <w:spacing w:before="3"/>
        <w:ind w:left="0"/>
        <w:rPr>
          <w:b/>
          <w:sz w:val="45"/>
          <w:lang w:eastAsia="zh-CN"/>
        </w:rPr>
      </w:pPr>
    </w:p>
    <w:p>
      <w:pPr>
        <w:pStyle w:val="5"/>
        <w:spacing w:line="364" w:lineRule="auto"/>
        <w:ind w:right="1157" w:firstLine="480"/>
        <w:jc w:val="both"/>
        <w:rPr>
          <w:lang w:eastAsia="zh-CN"/>
        </w:rPr>
      </w:pPr>
      <w:r>
        <w:rPr>
          <w:spacing w:val="-10"/>
          <w:lang w:eastAsia="zh-CN"/>
        </w:rPr>
        <w:t>依据《中华人民共和国民法典》及其他有关法律、行政法规的规定，遵循平</w:t>
      </w:r>
      <w:r>
        <w:rPr>
          <w:spacing w:val="-2"/>
          <w:lang w:eastAsia="zh-CN"/>
        </w:rPr>
        <w:t>等、自愿、公平和诚实信用的原则，双方就</w:t>
      </w:r>
      <w:r>
        <w:rPr>
          <w:rFonts w:hint="eastAsia"/>
          <w:spacing w:val="-2"/>
          <w:lang w:eastAsia="zh-CN"/>
        </w:rPr>
        <w:t>买方最中客户</w:t>
      </w:r>
      <w:r>
        <w:rPr>
          <w:spacing w:val="-2"/>
          <w:lang w:eastAsia="zh-CN"/>
        </w:rPr>
        <w:t xml:space="preserve">辽宁省农村信用社 </w:t>
      </w:r>
      <w:r>
        <w:rPr>
          <w:rFonts w:ascii="Times New Roman" w:eastAsia="Times New Roman"/>
          <w:u w:val="single"/>
          <w:lang w:eastAsia="zh-CN"/>
        </w:rPr>
        <w:t xml:space="preserve">2022 </w:t>
      </w:r>
      <w:r>
        <w:rPr>
          <w:spacing w:val="-3"/>
          <w:u w:val="single"/>
          <w:lang w:eastAsia="zh-CN"/>
        </w:rPr>
        <w:t>年数据中心</w:t>
      </w:r>
      <w:r>
        <w:rPr>
          <w:spacing w:val="-220"/>
          <w:u w:val="single"/>
          <w:lang w:eastAsia="zh-CN"/>
        </w:rPr>
        <w:t>服</w:t>
      </w:r>
      <w:r>
        <w:rPr>
          <w:spacing w:val="-3"/>
          <w:u w:val="single"/>
          <w:lang w:eastAsia="zh-CN"/>
        </w:rPr>
        <w:t>务器及存储等设备更新项目</w:t>
      </w:r>
      <w:r>
        <w:rPr>
          <w:u w:val="single"/>
          <w:lang w:eastAsia="zh-CN"/>
        </w:rPr>
        <w:t>（</w:t>
      </w:r>
      <w:r>
        <w:rPr>
          <w:rFonts w:ascii="Times New Roman" w:eastAsia="Times New Roman"/>
          <w:u w:val="single"/>
          <w:lang w:eastAsia="zh-CN"/>
        </w:rPr>
        <w:t xml:space="preserve">A </w:t>
      </w:r>
      <w:r>
        <w:rPr>
          <w:u w:val="single"/>
          <w:lang w:eastAsia="zh-CN"/>
        </w:rPr>
        <w:t>包</w:t>
      </w:r>
      <w:r>
        <w:rPr>
          <w:spacing w:val="-32"/>
          <w:u w:val="single"/>
          <w:lang w:eastAsia="zh-CN"/>
        </w:rPr>
        <w:t>）</w:t>
      </w:r>
      <w:r>
        <w:rPr>
          <w:lang w:eastAsia="zh-CN"/>
        </w:rPr>
        <w:t>事项协商一致</w:t>
      </w:r>
      <w:r>
        <w:rPr>
          <w:b/>
          <w:spacing w:val="-27"/>
          <w:lang w:eastAsia="zh-CN"/>
        </w:rPr>
        <w:t>，</w:t>
      </w:r>
      <w:r>
        <w:rPr>
          <w:lang w:eastAsia="zh-CN"/>
        </w:rPr>
        <w:t>同意按下述条款和条件签署本合同及附件。</w:t>
      </w:r>
    </w:p>
    <w:p>
      <w:pPr>
        <w:pStyle w:val="4"/>
        <w:spacing w:before="3"/>
        <w:ind w:left="1280"/>
        <w:jc w:val="left"/>
      </w:pPr>
      <w:r>
        <w:t>说明和要求：</w:t>
      </w:r>
    </w:p>
    <w:p>
      <w:pPr>
        <w:pStyle w:val="11"/>
        <w:numPr>
          <w:ilvl w:val="0"/>
          <w:numId w:val="1"/>
        </w:numPr>
        <w:tabs>
          <w:tab w:val="left" w:pos="1641"/>
        </w:tabs>
        <w:spacing w:before="160" w:line="364" w:lineRule="auto"/>
        <w:ind w:right="1037" w:firstLine="480"/>
        <w:rPr>
          <w:sz w:val="24"/>
          <w:lang w:eastAsia="zh-CN"/>
        </w:rPr>
      </w:pPr>
      <w:r>
        <w:rPr>
          <w:rFonts w:hint="eastAsia"/>
          <w:sz w:val="24"/>
          <w:lang w:eastAsia="zh-CN"/>
        </w:rPr>
        <w:t>最终客户</w:t>
      </w:r>
      <w:r>
        <w:rPr>
          <w:sz w:val="24"/>
          <w:lang w:eastAsia="zh-CN"/>
        </w:rPr>
        <w:t>《招标文件</w:t>
      </w:r>
      <w:r>
        <w:rPr>
          <w:spacing w:val="-168"/>
          <w:sz w:val="24"/>
          <w:lang w:eastAsia="zh-CN"/>
        </w:rPr>
        <w:t>》</w:t>
      </w:r>
      <w:r>
        <w:rPr>
          <w:sz w:val="24"/>
          <w:lang w:eastAsia="zh-CN"/>
        </w:rPr>
        <w:t>（</w:t>
      </w:r>
      <w:r>
        <w:rPr>
          <w:spacing w:val="-1"/>
          <w:sz w:val="24"/>
          <w:lang w:eastAsia="zh-CN"/>
        </w:rPr>
        <w:t>招标编号：</w:t>
      </w:r>
      <w:r>
        <w:rPr>
          <w:rFonts w:ascii="Times New Roman" w:eastAsia="Times New Roman"/>
          <w:spacing w:val="-5"/>
          <w:sz w:val="24"/>
          <w:lang w:eastAsia="zh-CN"/>
        </w:rPr>
        <w:t>LNZB02-2022-01060-02</w:t>
      </w:r>
      <w:r>
        <w:rPr>
          <w:spacing w:val="-5"/>
          <w:sz w:val="24"/>
          <w:lang w:eastAsia="zh-CN"/>
        </w:rPr>
        <w:t>）</w:t>
      </w:r>
      <w:r>
        <w:rPr>
          <w:sz w:val="24"/>
          <w:lang w:eastAsia="zh-CN"/>
        </w:rPr>
        <w:t>及其澄清和修改文件</w:t>
      </w:r>
      <w:r>
        <w:rPr>
          <w:spacing w:val="-9"/>
          <w:sz w:val="24"/>
          <w:lang w:eastAsia="zh-CN"/>
        </w:rPr>
        <w:t xml:space="preserve">、中标人的投标文件及最终报价及承诺、中标通知书均为本合同不可分割部分， </w:t>
      </w:r>
      <w:r>
        <w:rPr>
          <w:sz w:val="24"/>
          <w:lang w:eastAsia="zh-CN"/>
        </w:rPr>
        <w:t>具有同等法律效力。</w:t>
      </w:r>
    </w:p>
    <w:p>
      <w:pPr>
        <w:pStyle w:val="11"/>
        <w:numPr>
          <w:ilvl w:val="0"/>
          <w:numId w:val="1"/>
        </w:numPr>
        <w:tabs>
          <w:tab w:val="left" w:pos="1641"/>
        </w:tabs>
        <w:spacing w:before="2"/>
        <w:ind w:left="1641"/>
        <w:rPr>
          <w:sz w:val="24"/>
          <w:lang w:eastAsia="zh-CN"/>
        </w:rPr>
      </w:pPr>
      <w:r>
        <w:rPr>
          <w:sz w:val="24"/>
          <w:lang w:eastAsia="zh-CN"/>
        </w:rPr>
        <w:t>本合同内容受中华人民共和国的法律保护和制约。</w:t>
      </w:r>
    </w:p>
    <w:p>
      <w:pPr>
        <w:pStyle w:val="11"/>
        <w:numPr>
          <w:ilvl w:val="0"/>
          <w:numId w:val="1"/>
        </w:numPr>
        <w:tabs>
          <w:tab w:val="left" w:pos="1641"/>
        </w:tabs>
        <w:spacing w:before="160" w:line="364" w:lineRule="auto"/>
        <w:ind w:right="1160" w:firstLine="480"/>
        <w:rPr>
          <w:sz w:val="24"/>
          <w:lang w:eastAsia="zh-CN"/>
        </w:rPr>
      </w:pPr>
      <w:r>
        <w:rPr>
          <w:spacing w:val="-1"/>
          <w:sz w:val="24"/>
          <w:lang w:eastAsia="zh-CN"/>
        </w:rPr>
        <w:t>本合同术语的定义按《中华人民共和国民法典》和《招标文件》有关条</w:t>
      </w:r>
      <w:r>
        <w:rPr>
          <w:sz w:val="24"/>
          <w:lang w:eastAsia="zh-CN"/>
        </w:rPr>
        <w:t>款解释。</w:t>
      </w:r>
    </w:p>
    <w:p>
      <w:pPr>
        <w:pStyle w:val="5"/>
        <w:spacing w:before="2"/>
        <w:ind w:left="1280"/>
        <w:rPr>
          <w:lang w:eastAsia="zh-CN"/>
        </w:rPr>
      </w:pPr>
      <w:r>
        <w:rPr>
          <w:lang w:eastAsia="zh-CN"/>
        </w:rPr>
        <w:t>本合同下列术语应解释为：</w:t>
      </w:r>
    </w:p>
    <w:p>
      <w:pPr>
        <w:pStyle w:val="5"/>
        <w:spacing w:before="160" w:line="364" w:lineRule="auto"/>
        <w:ind w:right="1090" w:firstLine="480"/>
        <w:rPr>
          <w:lang w:eastAsia="zh-CN"/>
        </w:rPr>
      </w:pPr>
      <w:r>
        <w:rPr>
          <w:rFonts w:hint="eastAsia" w:ascii="宋体" w:hAnsi="宋体" w:eastAsia="宋体"/>
          <w:lang w:eastAsia="zh-CN"/>
        </w:rPr>
        <w:t>⑴</w:t>
      </w:r>
      <w:r>
        <w:rPr>
          <w:rFonts w:ascii="Times New Roman" w:hAnsi="Times New Roman" w:eastAsia="Times New Roman"/>
          <w:lang w:eastAsia="zh-CN"/>
        </w:rPr>
        <w:t>“</w:t>
      </w:r>
      <w:r>
        <w:rPr>
          <w:lang w:eastAsia="zh-CN"/>
        </w:rPr>
        <w:t>合同</w:t>
      </w:r>
      <w:r>
        <w:rPr>
          <w:rFonts w:ascii="Times New Roman" w:hAnsi="Times New Roman" w:eastAsia="Times New Roman"/>
          <w:lang w:eastAsia="zh-CN"/>
        </w:rPr>
        <w:t>”</w:t>
      </w:r>
      <w:r>
        <w:rPr>
          <w:lang w:eastAsia="zh-CN"/>
        </w:rPr>
        <w:t>系指买卖双方签署的、合同格式中载明的买卖双方所达成的协议， 包括所有的附件、附录和上述文件所提到的构成合同的所有文件。</w:t>
      </w:r>
    </w:p>
    <w:p>
      <w:pPr>
        <w:pStyle w:val="5"/>
        <w:spacing w:before="1" w:line="364" w:lineRule="auto"/>
        <w:ind w:right="1160" w:firstLine="480"/>
        <w:rPr>
          <w:lang w:eastAsia="zh-CN"/>
        </w:rPr>
      </w:pPr>
      <w:r>
        <w:rPr>
          <w:rFonts w:hint="eastAsia" w:ascii="宋体" w:hAnsi="宋体" w:eastAsia="宋体"/>
          <w:lang w:eastAsia="zh-CN"/>
        </w:rPr>
        <w:t>⑵</w:t>
      </w:r>
      <w:r>
        <w:rPr>
          <w:rFonts w:ascii="Times New Roman" w:hAnsi="Times New Roman" w:eastAsia="Times New Roman"/>
          <w:lang w:eastAsia="zh-CN"/>
        </w:rPr>
        <w:t>“</w:t>
      </w:r>
      <w:r>
        <w:rPr>
          <w:lang w:eastAsia="zh-CN"/>
        </w:rPr>
        <w:t>合同价</w:t>
      </w:r>
      <w:r>
        <w:rPr>
          <w:rFonts w:ascii="Times New Roman" w:hAnsi="Times New Roman" w:eastAsia="Times New Roman"/>
          <w:lang w:eastAsia="zh-CN"/>
        </w:rPr>
        <w:t>”</w:t>
      </w:r>
      <w:r>
        <w:rPr>
          <w:lang w:eastAsia="zh-CN"/>
        </w:rPr>
        <w:t>系指根据合同约定在卖方完全履行合同义务后买方应支付给卖方的价格。</w:t>
      </w:r>
    </w:p>
    <w:p>
      <w:pPr>
        <w:pStyle w:val="5"/>
        <w:spacing w:before="1"/>
        <w:ind w:left="1280"/>
        <w:rPr>
          <w:lang w:eastAsia="zh-CN"/>
        </w:rPr>
      </w:pPr>
      <w:r>
        <w:rPr>
          <w:rFonts w:hint="eastAsia" w:ascii="宋体" w:hAnsi="宋体" w:eastAsia="宋体"/>
          <w:lang w:eastAsia="zh-CN"/>
        </w:rPr>
        <w:t>⑶</w:t>
      </w:r>
      <w:r>
        <w:rPr>
          <w:rFonts w:ascii="Times New Roman" w:hAnsi="Times New Roman" w:eastAsia="Times New Roman"/>
          <w:lang w:eastAsia="zh-CN"/>
        </w:rPr>
        <w:t>“</w:t>
      </w:r>
      <w:r>
        <w:rPr>
          <w:lang w:eastAsia="zh-CN"/>
        </w:rPr>
        <w:t>货物</w:t>
      </w:r>
      <w:r>
        <w:rPr>
          <w:rFonts w:ascii="Times New Roman" w:hAnsi="Times New Roman" w:eastAsia="Times New Roman"/>
          <w:lang w:eastAsia="zh-CN"/>
        </w:rPr>
        <w:t>”</w:t>
      </w:r>
      <w:r>
        <w:rPr>
          <w:lang w:eastAsia="zh-CN"/>
        </w:rPr>
        <w:t>系指卖方根据合同约定须向买方提供的设备及软件产品等。</w:t>
      </w:r>
    </w:p>
    <w:p>
      <w:pPr>
        <w:pStyle w:val="5"/>
        <w:spacing w:before="161" w:line="364" w:lineRule="auto"/>
        <w:ind w:right="917" w:firstLine="480"/>
        <w:rPr>
          <w:lang w:eastAsia="zh-CN"/>
        </w:rPr>
      </w:pPr>
      <w:r>
        <w:rPr>
          <w:rFonts w:hint="eastAsia" w:ascii="宋体" w:hAnsi="宋体" w:eastAsia="宋体"/>
          <w:lang w:eastAsia="zh-CN"/>
        </w:rPr>
        <w:t>⑷</w:t>
      </w:r>
      <w:r>
        <w:rPr>
          <w:rFonts w:ascii="Times New Roman" w:hAnsi="Times New Roman" w:eastAsia="Times New Roman"/>
          <w:lang w:eastAsia="zh-CN"/>
        </w:rPr>
        <w:t>“</w:t>
      </w:r>
      <w:r>
        <w:rPr>
          <w:lang w:eastAsia="zh-CN"/>
        </w:rPr>
        <w:t>服务</w:t>
      </w:r>
      <w:r>
        <w:rPr>
          <w:rFonts w:ascii="Times New Roman" w:hAnsi="Times New Roman" w:eastAsia="Times New Roman"/>
          <w:lang w:eastAsia="zh-CN"/>
        </w:rPr>
        <w:t>”</w:t>
      </w:r>
      <w:r>
        <w:rPr>
          <w:spacing w:val="-4"/>
          <w:lang w:eastAsia="zh-CN"/>
        </w:rPr>
        <w:t>系指根据合同约定卖方承担与供货有关的辅助服务，包括安装调试、</w:t>
      </w:r>
      <w:r>
        <w:rPr>
          <w:spacing w:val="-10"/>
          <w:lang w:eastAsia="zh-CN"/>
        </w:rPr>
        <w:t>系统集成、运输、保险以及其它的伴随服务，包括提供技术援助、培训和合同中 约定的卖方应承担的其它义务。</w:t>
      </w:r>
    </w:p>
    <w:p>
      <w:pPr>
        <w:pStyle w:val="5"/>
        <w:spacing w:before="2"/>
        <w:ind w:left="1280"/>
        <w:rPr>
          <w:lang w:eastAsia="zh-CN"/>
        </w:rPr>
      </w:pPr>
      <w:r>
        <w:rPr>
          <w:rFonts w:hint="eastAsia" w:ascii="宋体" w:hAnsi="宋体" w:eastAsia="宋体"/>
          <w:lang w:eastAsia="zh-CN"/>
        </w:rPr>
        <w:t>⑸</w:t>
      </w:r>
      <w:r>
        <w:rPr>
          <w:rFonts w:ascii="Times New Roman" w:hAnsi="Times New Roman" w:eastAsia="Times New Roman"/>
          <w:lang w:eastAsia="zh-CN"/>
        </w:rPr>
        <w:t>“</w:t>
      </w:r>
      <w:r>
        <w:rPr>
          <w:lang w:eastAsia="zh-CN"/>
        </w:rPr>
        <w:t>买方</w:t>
      </w:r>
      <w:r>
        <w:rPr>
          <w:rFonts w:ascii="Times New Roman" w:hAnsi="Times New Roman" w:eastAsia="Times New Roman"/>
          <w:lang w:eastAsia="zh-CN"/>
        </w:rPr>
        <w:t>”</w:t>
      </w:r>
      <w:r>
        <w:rPr>
          <w:lang w:eastAsia="zh-CN"/>
        </w:rPr>
        <w:t>系指荣联科技集团股份有限公司。</w:t>
      </w:r>
    </w:p>
    <w:p>
      <w:pPr>
        <w:pStyle w:val="5"/>
        <w:spacing w:before="160"/>
        <w:ind w:left="1280"/>
        <w:rPr>
          <w:lang w:eastAsia="zh-CN"/>
        </w:rPr>
      </w:pPr>
      <w:r>
        <w:rPr>
          <w:rFonts w:hint="eastAsia" w:ascii="宋体" w:hAnsi="宋体" w:eastAsia="宋体"/>
          <w:lang w:eastAsia="zh-CN"/>
        </w:rPr>
        <w:t>⑹</w:t>
      </w:r>
      <w:r>
        <w:rPr>
          <w:rFonts w:ascii="Times New Roman" w:hAnsi="Times New Roman" w:eastAsia="Times New Roman"/>
          <w:lang w:eastAsia="zh-CN"/>
        </w:rPr>
        <w:t>“</w:t>
      </w:r>
      <w:r>
        <w:rPr>
          <w:lang w:eastAsia="zh-CN"/>
        </w:rPr>
        <w:t>卖方</w:t>
      </w:r>
      <w:r>
        <w:rPr>
          <w:rFonts w:ascii="Times New Roman" w:hAnsi="Times New Roman" w:eastAsia="Times New Roman"/>
          <w:lang w:eastAsia="zh-CN"/>
        </w:rPr>
        <w:t>”</w:t>
      </w:r>
      <w:r>
        <w:rPr>
          <w:lang w:eastAsia="zh-CN"/>
        </w:rPr>
        <w:t>系指</w:t>
      </w:r>
      <w:r>
        <w:rPr>
          <w:rFonts w:hint="eastAsia"/>
          <w:lang w:eastAsia="zh-CN"/>
        </w:rPr>
        <w:t>北京创联致信科技有限公司</w:t>
      </w:r>
      <w:r>
        <w:rPr>
          <w:lang w:eastAsia="zh-CN"/>
        </w:rPr>
        <w:t>。</w:t>
      </w:r>
    </w:p>
    <w:p>
      <w:pPr>
        <w:pStyle w:val="5"/>
        <w:spacing w:before="161"/>
        <w:ind w:left="1280"/>
        <w:rPr>
          <w:lang w:eastAsia="zh-CN"/>
        </w:rPr>
      </w:pPr>
      <w:r>
        <w:rPr>
          <w:rFonts w:hint="eastAsia" w:ascii="宋体" w:hAnsi="宋体" w:eastAsia="宋体"/>
          <w:lang w:eastAsia="zh-CN"/>
        </w:rPr>
        <w:t>⑺</w:t>
      </w:r>
      <w:r>
        <w:rPr>
          <w:rFonts w:ascii="Times New Roman" w:hAnsi="Times New Roman" w:eastAsia="Times New Roman"/>
          <w:lang w:eastAsia="zh-CN"/>
        </w:rPr>
        <w:t>“</w:t>
      </w:r>
      <w:r>
        <w:rPr>
          <w:lang w:eastAsia="zh-CN"/>
        </w:rPr>
        <w:t>天</w:t>
      </w:r>
      <w:r>
        <w:rPr>
          <w:rFonts w:ascii="Times New Roman" w:hAnsi="Times New Roman" w:eastAsia="Times New Roman"/>
          <w:lang w:eastAsia="zh-CN"/>
        </w:rPr>
        <w:t>”</w:t>
      </w:r>
      <w:r>
        <w:rPr>
          <w:lang w:eastAsia="zh-CN"/>
        </w:rPr>
        <w:t>指日历天数（如无特别说明）</w:t>
      </w:r>
    </w:p>
    <w:p>
      <w:pPr>
        <w:pStyle w:val="5"/>
        <w:spacing w:before="160" w:line="364" w:lineRule="auto"/>
        <w:ind w:right="1157" w:firstLine="480"/>
        <w:rPr>
          <w:lang w:eastAsia="zh-CN"/>
        </w:rPr>
      </w:pPr>
      <w:r>
        <w:rPr>
          <w:rFonts w:ascii="Times New Roman" w:eastAsia="Times New Roman"/>
          <w:lang w:eastAsia="zh-CN"/>
        </w:rPr>
        <w:t>(8)</w:t>
      </w:r>
      <w:r>
        <w:rPr>
          <w:lang w:eastAsia="zh-CN"/>
        </w:rPr>
        <w:t>本合同中的辽宁省农村信用社指的是辽宁省农村信用社联合社及下属服务指导范围内的各农村商业银行、县级联社。</w:t>
      </w:r>
    </w:p>
    <w:p>
      <w:pPr>
        <w:pStyle w:val="11"/>
        <w:numPr>
          <w:ilvl w:val="0"/>
          <w:numId w:val="1"/>
        </w:numPr>
        <w:tabs>
          <w:tab w:val="left" w:pos="1641"/>
        </w:tabs>
        <w:ind w:left="1641"/>
        <w:rPr>
          <w:sz w:val="24"/>
          <w:lang w:eastAsia="zh-CN"/>
        </w:rPr>
      </w:pPr>
      <w:r>
        <w:rPr>
          <w:sz w:val="24"/>
          <w:lang w:eastAsia="zh-CN"/>
        </w:rPr>
        <w:t>本合同项下全部内容均不得转让、不得分包、不得转包和变相转包、不</w:t>
      </w:r>
    </w:p>
    <w:p>
      <w:pPr>
        <w:rPr>
          <w:sz w:val="24"/>
          <w:lang w:eastAsia="zh-CN"/>
        </w:rPr>
        <w:sectPr>
          <w:pgSz w:w="11910" w:h="16840"/>
          <w:pgMar w:top="1580" w:right="640" w:bottom="280" w:left="1000" w:header="720" w:footer="720" w:gutter="0"/>
          <w:cols w:space="720" w:num="1"/>
        </w:sectPr>
      </w:pPr>
    </w:p>
    <w:p>
      <w:pPr>
        <w:pStyle w:val="5"/>
        <w:spacing w:before="42" w:line="364" w:lineRule="auto"/>
        <w:ind w:right="1065"/>
        <w:rPr>
          <w:lang w:eastAsia="zh-CN"/>
        </w:rPr>
      </w:pPr>
      <w:r>
        <w:rPr>
          <w:lang w:eastAsia="zh-CN"/>
        </w:rPr>
        <w:t>得挂靠，禁止挂牌企业参与竞争，如买方在合同签订后发现卖方有上述行为的， 将取消其中标资格，且不支付任何费用。</w:t>
      </w:r>
    </w:p>
    <w:p>
      <w:pPr>
        <w:pStyle w:val="11"/>
        <w:numPr>
          <w:ilvl w:val="0"/>
          <w:numId w:val="1"/>
        </w:numPr>
        <w:tabs>
          <w:tab w:val="left" w:pos="1641"/>
        </w:tabs>
        <w:spacing w:line="364" w:lineRule="auto"/>
        <w:ind w:right="1157" w:firstLine="480"/>
        <w:jc w:val="both"/>
        <w:rPr>
          <w:sz w:val="24"/>
          <w:lang w:eastAsia="zh-CN"/>
        </w:rPr>
      </w:pPr>
      <w:r>
        <w:rPr>
          <w:spacing w:val="-1"/>
          <w:sz w:val="24"/>
          <w:lang w:eastAsia="zh-CN"/>
        </w:rPr>
        <w:t>卖方必须遵守国家安全主管部门和质量监督检验部门颁布的现行有效的</w:t>
      </w:r>
      <w:r>
        <w:rPr>
          <w:spacing w:val="-11"/>
          <w:sz w:val="24"/>
          <w:lang w:eastAsia="zh-CN"/>
        </w:rPr>
        <w:t>有关规定，保证提供的设备、材料、服务的全部内容严格按照招标文件的要求和投标文件的承诺执行，并完全符合国家标准和质量监督检验部门规定的验收标准</w:t>
      </w:r>
      <w:r>
        <w:rPr>
          <w:sz w:val="24"/>
          <w:lang w:eastAsia="zh-CN"/>
        </w:rPr>
        <w:t>要求。</w:t>
      </w:r>
    </w:p>
    <w:p>
      <w:pPr>
        <w:pStyle w:val="11"/>
        <w:numPr>
          <w:ilvl w:val="0"/>
          <w:numId w:val="1"/>
        </w:numPr>
        <w:tabs>
          <w:tab w:val="left" w:pos="1641"/>
        </w:tabs>
        <w:spacing w:before="2"/>
        <w:ind w:left="1641"/>
        <w:rPr>
          <w:sz w:val="24"/>
          <w:lang w:eastAsia="zh-CN"/>
        </w:rPr>
      </w:pPr>
      <w:r>
        <w:rPr>
          <w:sz w:val="24"/>
          <w:lang w:eastAsia="zh-CN"/>
        </w:rPr>
        <w:t>卖方的交货进度应服从买方的工程总体进度安排和需要。</w:t>
      </w:r>
    </w:p>
    <w:p>
      <w:pPr>
        <w:pStyle w:val="11"/>
        <w:numPr>
          <w:ilvl w:val="0"/>
          <w:numId w:val="1"/>
        </w:numPr>
        <w:tabs>
          <w:tab w:val="left" w:pos="1641"/>
        </w:tabs>
        <w:spacing w:before="161" w:line="364" w:lineRule="auto"/>
        <w:ind w:right="1157" w:firstLine="480"/>
        <w:jc w:val="both"/>
        <w:rPr>
          <w:sz w:val="24"/>
          <w:lang w:eastAsia="zh-CN"/>
        </w:rPr>
      </w:pPr>
      <w:r>
        <w:rPr>
          <w:spacing w:val="-5"/>
          <w:sz w:val="24"/>
          <w:lang w:eastAsia="zh-CN"/>
        </w:rPr>
        <w:t xml:space="preserve">在本合同期限内及合同终止后 </w:t>
      </w:r>
      <w:r>
        <w:rPr>
          <w:rFonts w:ascii="Times New Roman" w:eastAsia="Times New Roman"/>
          <w:sz w:val="24"/>
          <w:lang w:eastAsia="zh-CN"/>
        </w:rPr>
        <w:t xml:space="preserve">10 </w:t>
      </w:r>
      <w:r>
        <w:rPr>
          <w:spacing w:val="-7"/>
          <w:sz w:val="24"/>
          <w:lang w:eastAsia="zh-CN"/>
        </w:rPr>
        <w:t>年内，卖方应保留完整且准确的与本</w:t>
      </w:r>
      <w:r>
        <w:rPr>
          <w:spacing w:val="-10"/>
          <w:sz w:val="24"/>
          <w:lang w:eastAsia="zh-CN"/>
        </w:rPr>
        <w:t xml:space="preserve">合同有关的全部财务记录、业务记录和信息安全保护规则及信息安全工作报告， </w:t>
      </w:r>
      <w:r>
        <w:rPr>
          <w:spacing w:val="-8"/>
          <w:sz w:val="24"/>
          <w:lang w:eastAsia="zh-CN"/>
        </w:rPr>
        <w:t>经提前二十四</w:t>
      </w:r>
      <w:r>
        <w:rPr>
          <w:spacing w:val="-6"/>
          <w:sz w:val="24"/>
          <w:lang w:eastAsia="zh-CN"/>
        </w:rPr>
        <w:t>（</w:t>
      </w:r>
      <w:r>
        <w:rPr>
          <w:rFonts w:ascii="Times New Roman" w:eastAsia="Times New Roman"/>
          <w:spacing w:val="-6"/>
          <w:sz w:val="24"/>
          <w:lang w:eastAsia="zh-CN"/>
        </w:rPr>
        <w:t>24</w:t>
      </w:r>
      <w:r>
        <w:rPr>
          <w:spacing w:val="-6"/>
          <w:sz w:val="24"/>
          <w:lang w:eastAsia="zh-CN"/>
        </w:rPr>
        <w:t>）小时通知，买方及买方内部审计部门、外部监管机构或审计</w:t>
      </w:r>
      <w:r>
        <w:rPr>
          <w:spacing w:val="-8"/>
          <w:sz w:val="24"/>
          <w:lang w:eastAsia="zh-CN"/>
        </w:rPr>
        <w:t>公司有权对上述内容进行审计、检查</w:t>
      </w:r>
      <w:r>
        <w:rPr>
          <w:sz w:val="24"/>
          <w:lang w:eastAsia="zh-CN"/>
        </w:rPr>
        <w:t>（书面或现场</w:t>
      </w:r>
      <w:r>
        <w:rPr>
          <w:spacing w:val="-24"/>
          <w:sz w:val="24"/>
          <w:lang w:eastAsia="zh-CN"/>
        </w:rPr>
        <w:t>）</w:t>
      </w:r>
      <w:r>
        <w:rPr>
          <w:spacing w:val="-5"/>
          <w:sz w:val="24"/>
          <w:lang w:eastAsia="zh-CN"/>
        </w:rPr>
        <w:t>和监督，以证明卖方遵守了</w:t>
      </w:r>
      <w:r>
        <w:rPr>
          <w:spacing w:val="-11"/>
          <w:sz w:val="24"/>
          <w:lang w:eastAsia="zh-CN"/>
        </w:rPr>
        <w:t xml:space="preserve">本合同的条款和条件。买方在审计或检查过程中所发生的费用由买方自行承担， </w:t>
      </w:r>
      <w:r>
        <w:rPr>
          <w:spacing w:val="-8"/>
          <w:sz w:val="24"/>
          <w:lang w:eastAsia="zh-CN"/>
        </w:rPr>
        <w:t>但如经审计或检查发现卖方未严格遵守本合同条款和条件，则卖方应承担全部审</w:t>
      </w:r>
      <w:r>
        <w:rPr>
          <w:spacing w:val="-10"/>
          <w:sz w:val="24"/>
          <w:lang w:eastAsia="zh-CN"/>
        </w:rPr>
        <w:t>计检查费用。经买方审计或检查，卖方未能遵守本合同的条款或条件的，买方有</w:t>
      </w:r>
      <w:r>
        <w:rPr>
          <w:spacing w:val="-11"/>
          <w:sz w:val="24"/>
          <w:lang w:eastAsia="zh-CN"/>
        </w:rPr>
        <w:t>权要求卖方立即更正，因此导致项目迟延或者给买方及客户造成损失的，卖方需</w:t>
      </w:r>
      <w:r>
        <w:rPr>
          <w:spacing w:val="-4"/>
          <w:sz w:val="24"/>
          <w:lang w:eastAsia="zh-CN"/>
        </w:rPr>
        <w:t>承担违约责任并赔偿由此造成的一切损失。</w:t>
      </w:r>
    </w:p>
    <w:p>
      <w:pPr>
        <w:pStyle w:val="11"/>
        <w:numPr>
          <w:ilvl w:val="0"/>
          <w:numId w:val="1"/>
        </w:numPr>
        <w:tabs>
          <w:tab w:val="left" w:pos="1580"/>
        </w:tabs>
        <w:spacing w:before="5" w:line="568" w:lineRule="auto"/>
        <w:ind w:left="3264" w:right="1725" w:hanging="1985"/>
        <w:jc w:val="both"/>
        <w:rPr>
          <w:b/>
          <w:sz w:val="24"/>
          <w:lang w:eastAsia="zh-CN"/>
        </w:rPr>
      </w:pPr>
      <w:r>
        <w:rPr>
          <w:spacing w:val="-1"/>
          <w:sz w:val="24"/>
          <w:lang w:eastAsia="zh-CN"/>
        </w:rPr>
        <w:t>在未经买方许可的情况下，卖方不得以买方的名义开展任何活动。</w:t>
      </w:r>
      <w:bookmarkStart w:id="0" w:name="第一条合同范围和项目完成时间"/>
      <w:bookmarkEnd w:id="0"/>
      <w:r>
        <w:rPr>
          <w:b/>
          <w:sz w:val="24"/>
          <w:lang w:eastAsia="zh-CN"/>
        </w:rPr>
        <w:t>第一条合同范围和项目完成时间</w:t>
      </w:r>
    </w:p>
    <w:p>
      <w:pPr>
        <w:pStyle w:val="11"/>
        <w:numPr>
          <w:ilvl w:val="0"/>
          <w:numId w:val="2"/>
        </w:numPr>
        <w:tabs>
          <w:tab w:val="left" w:pos="1461"/>
        </w:tabs>
        <w:spacing w:before="0" w:line="364" w:lineRule="auto"/>
        <w:ind w:right="1065" w:firstLine="480"/>
        <w:jc w:val="both"/>
        <w:rPr>
          <w:sz w:val="24"/>
          <w:lang w:eastAsia="zh-CN"/>
        </w:rPr>
      </w:pPr>
      <w:r>
        <w:rPr>
          <w:spacing w:val="-4"/>
          <w:sz w:val="24"/>
          <w:lang w:eastAsia="zh-CN"/>
        </w:rPr>
        <w:t>买方同意从卖方购买、卖方同意向买方出售和提供《招标文件》中规定的辽宁省农村信用社</w:t>
      </w:r>
      <w:r>
        <w:rPr>
          <w:rFonts w:ascii="Times New Roman" w:eastAsia="Times New Roman"/>
          <w:spacing w:val="-4"/>
          <w:sz w:val="24"/>
          <w:u w:val="single"/>
          <w:lang w:eastAsia="zh-CN"/>
        </w:rPr>
        <w:t>2022</w:t>
      </w:r>
      <w:r>
        <w:rPr>
          <w:spacing w:val="-5"/>
          <w:sz w:val="24"/>
          <w:u w:val="single"/>
          <w:lang w:eastAsia="zh-CN"/>
        </w:rPr>
        <w:t>年数据中心服务器及存储等设备更新项目</w:t>
      </w:r>
      <w:r>
        <w:rPr>
          <w:sz w:val="24"/>
          <w:u w:val="single"/>
          <w:lang w:eastAsia="zh-CN"/>
        </w:rPr>
        <w:t>（</w:t>
      </w:r>
      <w:r>
        <w:rPr>
          <w:rFonts w:ascii="Times New Roman" w:eastAsia="Times New Roman"/>
          <w:sz w:val="24"/>
          <w:u w:val="single"/>
          <w:lang w:eastAsia="zh-CN"/>
        </w:rPr>
        <w:t>A</w:t>
      </w:r>
      <w:r>
        <w:rPr>
          <w:sz w:val="24"/>
          <w:u w:val="single"/>
          <w:lang w:eastAsia="zh-CN"/>
        </w:rPr>
        <w:t>包</w:t>
      </w:r>
      <w:r>
        <w:rPr>
          <w:spacing w:val="-12"/>
          <w:sz w:val="24"/>
          <w:u w:val="single"/>
          <w:lang w:eastAsia="zh-CN"/>
        </w:rPr>
        <w:t>）</w:t>
      </w:r>
      <w:r>
        <w:rPr>
          <w:sz w:val="24"/>
          <w:u w:val="single"/>
          <w:lang w:eastAsia="zh-CN"/>
        </w:rPr>
        <w:t>设备</w:t>
      </w:r>
      <w:r>
        <w:rPr>
          <w:sz w:val="24"/>
          <w:lang w:eastAsia="zh-CN"/>
        </w:rPr>
        <w:t>的</w:t>
      </w:r>
      <w:r>
        <w:rPr>
          <w:spacing w:val="-1"/>
          <w:sz w:val="24"/>
          <w:lang w:eastAsia="zh-CN"/>
        </w:rPr>
        <w:t>安装调试、系统集成、验收、培训等。</w:t>
      </w:r>
    </w:p>
    <w:p>
      <w:pPr>
        <w:pStyle w:val="11"/>
        <w:numPr>
          <w:ilvl w:val="0"/>
          <w:numId w:val="2"/>
        </w:numPr>
        <w:tabs>
          <w:tab w:val="left" w:pos="1465"/>
        </w:tabs>
        <w:spacing w:before="161" w:line="364" w:lineRule="auto"/>
        <w:ind w:right="1160" w:firstLine="480"/>
        <w:rPr>
          <w:sz w:val="24"/>
          <w:lang w:eastAsia="zh-CN"/>
        </w:rPr>
      </w:pPr>
      <w:r>
        <w:rPr>
          <w:spacing w:val="3"/>
          <w:sz w:val="24"/>
          <w:lang w:eastAsia="zh-CN"/>
        </w:rPr>
        <w:t>卖方所提供的本合同中的服务应在规定的项目完成时间内按时全部送达项目现场，并实施完成。</w:t>
      </w:r>
    </w:p>
    <w:p>
      <w:pPr>
        <w:pStyle w:val="11"/>
        <w:numPr>
          <w:ilvl w:val="0"/>
          <w:numId w:val="2"/>
        </w:numPr>
        <w:tabs>
          <w:tab w:val="left" w:pos="1461"/>
        </w:tabs>
        <w:spacing w:line="364" w:lineRule="auto"/>
        <w:ind w:right="1157" w:firstLine="480"/>
        <w:rPr>
          <w:sz w:val="24"/>
          <w:lang w:eastAsia="zh-CN"/>
        </w:rPr>
      </w:pPr>
      <w:r>
        <w:rPr>
          <w:spacing w:val="-3"/>
          <w:sz w:val="24"/>
          <w:lang w:eastAsia="zh-CN"/>
        </w:rPr>
        <w:t>项目完成时间：自</w:t>
      </w:r>
      <w:r>
        <w:rPr>
          <w:rFonts w:hint="eastAsia"/>
          <w:spacing w:val="-3"/>
          <w:sz w:val="24"/>
          <w:lang w:eastAsia="zh-CN"/>
        </w:rPr>
        <w:t>合同签署之日起</w:t>
      </w:r>
      <w:r>
        <w:rPr>
          <w:spacing w:val="-4"/>
          <w:sz w:val="24"/>
          <w:lang w:eastAsia="zh-CN"/>
        </w:rPr>
        <w:t>，完成</w:t>
      </w:r>
      <w:r>
        <w:rPr>
          <w:sz w:val="24"/>
          <w:lang w:eastAsia="zh-CN"/>
        </w:rPr>
        <w:t>系统集成工作，并完成设备投产试运行和验收工作。</w:t>
      </w:r>
    </w:p>
    <w:p>
      <w:pPr>
        <w:spacing w:line="364" w:lineRule="auto"/>
        <w:rPr>
          <w:sz w:val="24"/>
          <w:lang w:eastAsia="zh-CN"/>
        </w:rPr>
        <w:sectPr>
          <w:pgSz w:w="11910" w:h="16840"/>
          <w:pgMar w:top="1460" w:right="640" w:bottom="280" w:left="1000" w:header="720" w:footer="720" w:gutter="0"/>
          <w:cols w:space="720" w:num="1"/>
        </w:sectPr>
      </w:pPr>
    </w:p>
    <w:p>
      <w:pPr>
        <w:pStyle w:val="4"/>
        <w:spacing w:before="42"/>
        <w:ind w:left="3800"/>
        <w:jc w:val="left"/>
        <w:rPr>
          <w:lang w:eastAsia="zh-CN"/>
        </w:rPr>
      </w:pPr>
      <w:bookmarkStart w:id="1" w:name="第二条实施地点"/>
      <w:bookmarkEnd w:id="1"/>
      <w:r>
        <w:rPr>
          <w:lang w:eastAsia="zh-CN"/>
        </w:rPr>
        <w:t>第二条实施地点</w:t>
      </w:r>
    </w:p>
    <w:p>
      <w:pPr>
        <w:pStyle w:val="5"/>
        <w:spacing w:before="2"/>
        <w:ind w:left="0"/>
        <w:rPr>
          <w:b/>
          <w:sz w:val="28"/>
          <w:lang w:eastAsia="zh-CN"/>
        </w:rPr>
      </w:pPr>
    </w:p>
    <w:p>
      <w:pPr>
        <w:ind w:left="1220"/>
        <w:rPr>
          <w:sz w:val="21"/>
          <w:lang w:eastAsia="zh-CN"/>
        </w:rPr>
      </w:pPr>
      <w:r>
        <w:rPr>
          <w:sz w:val="21"/>
          <w:lang w:eastAsia="zh-CN"/>
        </w:rPr>
        <w:t>项目实施现场：辽宁省农村信用社。</w:t>
      </w:r>
    </w:p>
    <w:p>
      <w:pPr>
        <w:pStyle w:val="5"/>
        <w:spacing w:before="4"/>
        <w:ind w:left="0"/>
        <w:rPr>
          <w:sz w:val="28"/>
          <w:lang w:eastAsia="zh-CN"/>
        </w:rPr>
      </w:pPr>
    </w:p>
    <w:p>
      <w:pPr>
        <w:pStyle w:val="4"/>
        <w:spacing w:before="1"/>
        <w:ind w:left="3869"/>
        <w:jc w:val="left"/>
      </w:pPr>
      <w:bookmarkStart w:id="2" w:name="第三条合同价及发票"/>
      <w:bookmarkEnd w:id="2"/>
      <w:r>
        <w:t>第三条合同价及发票</w:t>
      </w:r>
    </w:p>
    <w:p>
      <w:pPr>
        <w:pStyle w:val="5"/>
        <w:spacing w:before="9"/>
        <w:ind w:left="0"/>
        <w:rPr>
          <w:b/>
          <w:sz w:val="32"/>
        </w:rPr>
      </w:pPr>
    </w:p>
    <w:p>
      <w:pPr>
        <w:pStyle w:val="11"/>
        <w:numPr>
          <w:ilvl w:val="0"/>
          <w:numId w:val="3"/>
        </w:numPr>
        <w:tabs>
          <w:tab w:val="left" w:pos="1461"/>
        </w:tabs>
        <w:spacing w:before="0"/>
        <w:rPr>
          <w:rFonts w:ascii="Times New Roman" w:hAnsi="Times New Roman" w:eastAsia="Times New Roman"/>
          <w:b/>
          <w:sz w:val="24"/>
          <w:lang w:eastAsia="zh-CN"/>
        </w:rPr>
      </w:pPr>
      <w:r>
        <w:rPr>
          <w:spacing w:val="-7"/>
          <w:sz w:val="24"/>
          <w:lang w:eastAsia="zh-CN"/>
        </w:rPr>
        <w:t>本合同项下的合同总价款为</w:t>
      </w:r>
      <w:r>
        <w:rPr>
          <w:spacing w:val="-3"/>
          <w:sz w:val="24"/>
          <w:lang w:eastAsia="zh-CN"/>
        </w:rPr>
        <w:t>（</w:t>
      </w:r>
      <w:r>
        <w:rPr>
          <w:sz w:val="24"/>
          <w:lang w:eastAsia="zh-CN"/>
        </w:rPr>
        <w:t>大写</w:t>
      </w:r>
      <w:r>
        <w:rPr>
          <w:spacing w:val="-77"/>
          <w:sz w:val="24"/>
          <w:lang w:eastAsia="zh-CN"/>
        </w:rPr>
        <w:t>）</w:t>
      </w:r>
      <w:r>
        <w:rPr>
          <w:rFonts w:hint="eastAsia"/>
          <w:b/>
          <w:spacing w:val="-8"/>
          <w:sz w:val="24"/>
          <w:u w:val="single"/>
          <w:lang w:eastAsia="zh-CN"/>
        </w:rPr>
        <w:t>贰佰贰拾捌万</w:t>
      </w:r>
      <w:r>
        <w:rPr>
          <w:b/>
          <w:spacing w:val="-8"/>
          <w:sz w:val="24"/>
          <w:u w:val="single"/>
          <w:lang w:eastAsia="zh-CN"/>
        </w:rPr>
        <w:t>元整</w:t>
      </w:r>
      <w:r>
        <w:rPr>
          <w:b/>
          <w:sz w:val="24"/>
          <w:u w:val="single"/>
          <w:lang w:eastAsia="zh-CN"/>
        </w:rPr>
        <w:t>（</w:t>
      </w:r>
      <w:r>
        <w:rPr>
          <w:rFonts w:ascii="Times New Roman" w:hAnsi="Times New Roman" w:eastAsia="Times New Roman"/>
          <w:b/>
          <w:sz w:val="24"/>
          <w:u w:val="single"/>
          <w:lang w:eastAsia="zh-CN"/>
        </w:rPr>
        <w:t>¥2,280,000.00</w:t>
      </w:r>
    </w:p>
    <w:p>
      <w:pPr>
        <w:spacing w:before="161"/>
        <w:ind w:left="800"/>
        <w:rPr>
          <w:b/>
          <w:sz w:val="24"/>
          <w:lang w:eastAsia="zh-CN"/>
        </w:rPr>
      </w:pPr>
      <w:r>
        <w:rPr>
          <w:b/>
          <w:sz w:val="24"/>
          <w:u w:val="single"/>
          <w:lang w:eastAsia="zh-CN"/>
        </w:rPr>
        <w:t>元）。</w:t>
      </w:r>
      <w:r>
        <w:rPr>
          <w:rFonts w:hint="eastAsia"/>
          <w:b/>
          <w:sz w:val="24"/>
          <w:u w:val="single"/>
          <w:lang w:eastAsia="zh-CN"/>
        </w:rPr>
        <w:t>其中未税金额</w:t>
      </w:r>
      <w:r>
        <w:rPr>
          <w:b/>
          <w:sz w:val="24"/>
          <w:u w:val="single"/>
          <w:lang w:eastAsia="zh-CN"/>
        </w:rPr>
        <w:t>2,150,943.40</w:t>
      </w:r>
      <w:r>
        <w:rPr>
          <w:rFonts w:hint="eastAsia"/>
          <w:b/>
          <w:sz w:val="24"/>
          <w:u w:val="single"/>
          <w:lang w:eastAsia="zh-CN"/>
        </w:rPr>
        <w:t>，税额</w:t>
      </w:r>
      <w:r>
        <w:rPr>
          <w:b/>
          <w:sz w:val="24"/>
          <w:u w:val="single"/>
          <w:lang w:eastAsia="zh-CN"/>
        </w:rPr>
        <w:t>129,056.60</w:t>
      </w:r>
      <w:r>
        <w:rPr>
          <w:rFonts w:hint="eastAsia"/>
          <w:b/>
          <w:sz w:val="24"/>
          <w:u w:val="single"/>
          <w:lang w:eastAsia="zh-CN"/>
        </w:rPr>
        <w:t>，税率6%</w:t>
      </w:r>
    </w:p>
    <w:p>
      <w:pPr>
        <w:pStyle w:val="11"/>
        <w:numPr>
          <w:ilvl w:val="0"/>
          <w:numId w:val="3"/>
        </w:numPr>
        <w:tabs>
          <w:tab w:val="left" w:pos="1461"/>
        </w:tabs>
        <w:spacing w:before="160" w:line="364" w:lineRule="auto"/>
        <w:ind w:left="800" w:right="917" w:firstLine="480"/>
        <w:rPr>
          <w:sz w:val="24"/>
          <w:lang w:eastAsia="zh-CN"/>
        </w:rPr>
      </w:pPr>
      <w:r>
        <w:rPr>
          <w:spacing w:val="-3"/>
          <w:sz w:val="24"/>
          <w:lang w:eastAsia="zh-CN"/>
        </w:rPr>
        <w:t>该合同价格为卖方履行其在本合同项下的义务所需的全部费用，包括</w:t>
      </w:r>
      <w:r>
        <w:rPr>
          <w:sz w:val="24"/>
          <w:lang w:eastAsia="zh-CN"/>
        </w:rPr>
        <w:t>材料、包装、运输及装卸、保险、安装调试、系统集成、整个项目调试、验收</w:t>
      </w:r>
      <w:r>
        <w:rPr>
          <w:spacing w:val="-9"/>
          <w:sz w:val="24"/>
          <w:lang w:eastAsia="zh-CN"/>
        </w:rPr>
        <w:t>、专用工具、技术资料、技术服务和技术培训、售后服务以及税金。未经双方协商一致，该价格不得变更。</w:t>
      </w:r>
    </w:p>
    <w:p>
      <w:pPr>
        <w:pStyle w:val="11"/>
        <w:numPr>
          <w:ilvl w:val="0"/>
          <w:numId w:val="3"/>
        </w:numPr>
        <w:tabs>
          <w:tab w:val="left" w:pos="1580"/>
        </w:tabs>
        <w:spacing w:before="3"/>
        <w:ind w:left="1580" w:hanging="300"/>
        <w:rPr>
          <w:sz w:val="24"/>
        </w:rPr>
      </w:pPr>
      <w:r>
        <w:rPr>
          <w:sz w:val="24"/>
        </w:rPr>
        <w:t>发票开具要求及责任</w:t>
      </w:r>
    </w:p>
    <w:p>
      <w:pPr>
        <w:pStyle w:val="11"/>
        <w:numPr>
          <w:ilvl w:val="0"/>
          <w:numId w:val="4"/>
        </w:numPr>
        <w:tabs>
          <w:tab w:val="left" w:pos="1881"/>
        </w:tabs>
        <w:spacing w:before="160" w:line="364" w:lineRule="auto"/>
        <w:ind w:right="1157" w:firstLine="480"/>
        <w:jc w:val="both"/>
        <w:rPr>
          <w:sz w:val="24"/>
          <w:lang w:eastAsia="zh-CN"/>
        </w:rPr>
      </w:pPr>
      <w:r>
        <w:rPr>
          <w:spacing w:val="-1"/>
          <w:sz w:val="24"/>
          <w:lang w:eastAsia="zh-CN"/>
        </w:rPr>
        <w:t>在买方按照合同约定条件付款前，卖方应向买方提供合法有效的增值</w:t>
      </w:r>
      <w:r>
        <w:rPr>
          <w:spacing w:val="-7"/>
          <w:sz w:val="24"/>
          <w:lang w:eastAsia="zh-CN"/>
        </w:rPr>
        <w:t>税专用发票。卖方应在开票之后</w:t>
      </w:r>
      <w:r>
        <w:rPr>
          <w:rFonts w:ascii="Times New Roman" w:eastAsia="Times New Roman"/>
          <w:sz w:val="24"/>
          <w:lang w:eastAsia="zh-CN"/>
        </w:rPr>
        <w:t>30</w:t>
      </w:r>
      <w:r>
        <w:rPr>
          <w:spacing w:val="-5"/>
          <w:sz w:val="24"/>
          <w:lang w:eastAsia="zh-CN"/>
        </w:rPr>
        <w:t>个工作日内将发票送达买方，买方签收发票的</w:t>
      </w:r>
      <w:r>
        <w:rPr>
          <w:sz w:val="24"/>
          <w:lang w:eastAsia="zh-CN"/>
        </w:rPr>
        <w:t>日期为发票的送达日期。</w:t>
      </w:r>
    </w:p>
    <w:p>
      <w:pPr>
        <w:pStyle w:val="11"/>
        <w:numPr>
          <w:ilvl w:val="0"/>
          <w:numId w:val="4"/>
        </w:numPr>
        <w:tabs>
          <w:tab w:val="left" w:pos="1881"/>
        </w:tabs>
        <w:spacing w:before="2" w:line="364" w:lineRule="auto"/>
        <w:ind w:right="1160" w:firstLine="480"/>
        <w:rPr>
          <w:sz w:val="24"/>
          <w:lang w:eastAsia="zh-CN"/>
        </w:rPr>
      </w:pPr>
      <w:r>
        <w:rPr>
          <w:sz w:val="24"/>
          <w:lang w:eastAsia="zh-CN"/>
        </w:rPr>
        <w:t>买方应在收到卖方提供的合规发票之日起</w:t>
      </w:r>
      <w:r>
        <w:rPr>
          <w:rFonts w:ascii="Times New Roman" w:eastAsia="Times New Roman"/>
          <w:sz w:val="24"/>
          <w:lang w:eastAsia="zh-CN"/>
        </w:rPr>
        <w:t>20</w:t>
      </w:r>
      <w:r>
        <w:rPr>
          <w:spacing w:val="-2"/>
          <w:sz w:val="24"/>
          <w:lang w:eastAsia="zh-CN"/>
        </w:rPr>
        <w:t>个工作日内以汇款方式向</w:t>
      </w:r>
      <w:r>
        <w:rPr>
          <w:sz w:val="24"/>
          <w:lang w:eastAsia="zh-CN"/>
        </w:rPr>
        <w:t>卖方支付相应的合同价款。</w:t>
      </w:r>
    </w:p>
    <w:p>
      <w:pPr>
        <w:pStyle w:val="11"/>
        <w:numPr>
          <w:ilvl w:val="0"/>
          <w:numId w:val="4"/>
        </w:numPr>
        <w:tabs>
          <w:tab w:val="left" w:pos="1881"/>
        </w:tabs>
        <w:spacing w:line="364" w:lineRule="auto"/>
        <w:ind w:right="1160" w:firstLine="480"/>
        <w:rPr>
          <w:sz w:val="24"/>
          <w:lang w:eastAsia="zh-CN"/>
        </w:rPr>
      </w:pPr>
      <w:r>
        <w:rPr>
          <w:sz w:val="24"/>
          <w:lang w:eastAsia="zh-CN"/>
        </w:rPr>
        <w:t>卖方应当按照买方的要求开具相应金额的增值税专用发票（</w:t>
      </w:r>
      <w:r>
        <w:rPr>
          <w:spacing w:val="-4"/>
          <w:sz w:val="24"/>
          <w:lang w:eastAsia="zh-CN"/>
        </w:rPr>
        <w:t>小规模纳</w:t>
      </w:r>
      <w:r>
        <w:rPr>
          <w:sz w:val="24"/>
          <w:lang w:eastAsia="zh-CN"/>
        </w:rPr>
        <w:t>税人需开具由税务局代开的增值税专用发票）。</w:t>
      </w:r>
    </w:p>
    <w:p>
      <w:pPr>
        <w:pStyle w:val="11"/>
        <w:numPr>
          <w:ilvl w:val="0"/>
          <w:numId w:val="4"/>
        </w:numPr>
        <w:tabs>
          <w:tab w:val="left" w:pos="1881"/>
        </w:tabs>
        <w:spacing w:line="364" w:lineRule="auto"/>
        <w:ind w:right="1157" w:firstLine="480"/>
        <w:jc w:val="both"/>
        <w:rPr>
          <w:sz w:val="24"/>
          <w:lang w:eastAsia="zh-CN"/>
        </w:rPr>
      </w:pPr>
      <w:r>
        <w:rPr>
          <w:spacing w:val="-1"/>
          <w:sz w:val="24"/>
          <w:lang w:eastAsia="zh-CN"/>
        </w:rPr>
        <w:t>卖方开具的发票不合格的，应及时采取补救措施，买方有权暂缓支付</w:t>
      </w:r>
      <w:r>
        <w:rPr>
          <w:spacing w:val="-10"/>
          <w:sz w:val="24"/>
          <w:lang w:eastAsia="zh-CN"/>
        </w:rPr>
        <w:t>应付款项，且不承担任何违约责任，卖方仍应按照合同的约定履行各项义务。发</w:t>
      </w:r>
      <w:r>
        <w:rPr>
          <w:spacing w:val="-8"/>
          <w:sz w:val="24"/>
          <w:lang w:eastAsia="zh-CN"/>
        </w:rPr>
        <w:t>票不合格包括但不限于以下情形：开具虚假、作废等无效发票或者违反国家法律</w:t>
      </w:r>
      <w:r>
        <w:rPr>
          <w:spacing w:val="-12"/>
          <w:sz w:val="24"/>
          <w:lang w:eastAsia="zh-CN"/>
        </w:rPr>
        <w:t>规定、法规的开具、提供发票的；开具发票种类错误的；开具发票税率与合同约</w:t>
      </w:r>
      <w:r>
        <w:rPr>
          <w:spacing w:val="-11"/>
          <w:sz w:val="24"/>
          <w:lang w:eastAsia="zh-CN"/>
        </w:rPr>
        <w:t>定不符的；发票上的信息错误的；因卖方迟延送达、开具错误等原因造成发票认</w:t>
      </w:r>
      <w:r>
        <w:rPr>
          <w:sz w:val="24"/>
          <w:lang w:eastAsia="zh-CN"/>
        </w:rPr>
        <w:t>证失败的，等等。</w:t>
      </w:r>
    </w:p>
    <w:p>
      <w:pPr>
        <w:pStyle w:val="11"/>
        <w:numPr>
          <w:ilvl w:val="0"/>
          <w:numId w:val="4"/>
        </w:numPr>
        <w:tabs>
          <w:tab w:val="left" w:pos="1881"/>
        </w:tabs>
        <w:spacing w:before="4" w:line="364" w:lineRule="auto"/>
        <w:ind w:right="1037" w:firstLine="480"/>
        <w:rPr>
          <w:sz w:val="24"/>
          <w:lang w:eastAsia="zh-CN"/>
        </w:rPr>
      </w:pPr>
      <w:r>
        <w:rPr>
          <w:sz w:val="24"/>
          <w:lang w:eastAsia="zh-CN"/>
        </w:rPr>
        <w:t xml:space="preserve">卖方必须将其开具的增值税专用发票交由买方指定专门人员，由买方指定专门人员办理发票交接手续并签字确认。无买方指定专门人员签字确认的， </w:t>
      </w:r>
      <w:r>
        <w:rPr>
          <w:spacing w:val="-13"/>
          <w:sz w:val="24"/>
          <w:lang w:eastAsia="zh-CN"/>
        </w:rPr>
        <w:t>视为卖方未提供增值税专用发票，如发生增值税专用发票丢失，由卖方承担责任。</w:t>
      </w:r>
    </w:p>
    <w:p>
      <w:pPr>
        <w:pStyle w:val="11"/>
        <w:numPr>
          <w:ilvl w:val="0"/>
          <w:numId w:val="4"/>
        </w:numPr>
        <w:tabs>
          <w:tab w:val="left" w:pos="1881"/>
        </w:tabs>
        <w:spacing w:before="2" w:line="364" w:lineRule="auto"/>
        <w:ind w:right="1157" w:firstLine="480"/>
        <w:rPr>
          <w:sz w:val="24"/>
          <w:lang w:eastAsia="zh-CN"/>
        </w:rPr>
      </w:pPr>
      <w:r>
        <w:rPr>
          <w:spacing w:val="-1"/>
          <w:sz w:val="24"/>
          <w:lang w:eastAsia="zh-CN"/>
        </w:rPr>
        <w:t>因卖方迟延送达、开具错误等原因导致其提供的增值税专用发票没有</w:t>
      </w:r>
      <w:r>
        <w:rPr>
          <w:spacing w:val="-10"/>
          <w:sz w:val="24"/>
          <w:lang w:eastAsia="zh-CN"/>
        </w:rPr>
        <w:t>通过税务部门认证、造成买方不能抵扣的，卖方应向买方另外支付双倍的应抵未</w:t>
      </w:r>
    </w:p>
    <w:p>
      <w:pPr>
        <w:spacing w:line="364" w:lineRule="auto"/>
        <w:rPr>
          <w:sz w:val="24"/>
          <w:lang w:eastAsia="zh-CN"/>
        </w:rPr>
        <w:sectPr>
          <w:pgSz w:w="11910" w:h="16840"/>
          <w:pgMar w:top="1460" w:right="640" w:bottom="280" w:left="1000" w:header="720" w:footer="720" w:gutter="0"/>
          <w:cols w:space="720" w:num="1"/>
        </w:sectPr>
      </w:pPr>
    </w:p>
    <w:p>
      <w:pPr>
        <w:pStyle w:val="5"/>
        <w:spacing w:before="42" w:line="364" w:lineRule="auto"/>
        <w:ind w:right="1157"/>
        <w:rPr>
          <w:lang w:eastAsia="zh-CN"/>
        </w:rPr>
      </w:pPr>
      <w:r>
        <w:rPr>
          <w:spacing w:val="-7"/>
          <w:lang w:eastAsia="zh-CN"/>
        </w:rPr>
        <w:t>抵增值税额作为违约金。违约金不足以弥补买方损失的，卖方应予赔偿。卖方不</w:t>
      </w:r>
      <w:r>
        <w:rPr>
          <w:lang w:eastAsia="zh-CN"/>
        </w:rPr>
        <w:t>支付违约金或不予赔偿的，买方有权解除合同。</w:t>
      </w:r>
    </w:p>
    <w:p>
      <w:pPr>
        <w:pStyle w:val="11"/>
        <w:numPr>
          <w:ilvl w:val="0"/>
          <w:numId w:val="4"/>
        </w:numPr>
        <w:tabs>
          <w:tab w:val="left" w:pos="1881"/>
        </w:tabs>
        <w:spacing w:line="364" w:lineRule="auto"/>
        <w:ind w:right="1065" w:firstLine="480"/>
        <w:rPr>
          <w:sz w:val="24"/>
          <w:lang w:eastAsia="zh-CN"/>
        </w:rPr>
      </w:pPr>
      <w:r>
        <w:rPr>
          <w:sz w:val="24"/>
          <w:lang w:eastAsia="zh-CN"/>
        </w:rPr>
        <w:t>卖方未按合同约定开具增值税专用发票或实际开具的增值税专用发票</w:t>
      </w:r>
      <w:r>
        <w:rPr>
          <w:spacing w:val="-1"/>
          <w:sz w:val="24"/>
          <w:lang w:eastAsia="zh-CN"/>
        </w:rPr>
        <w:t xml:space="preserve">税率低于合同中约定税率的，卖方除应向买方支付无法抵扣部分的税款金额外， </w:t>
      </w:r>
      <w:r>
        <w:rPr>
          <w:sz w:val="24"/>
          <w:lang w:eastAsia="zh-CN"/>
        </w:rPr>
        <w:t>还应向买方支付合同总价款百分之五（</w:t>
      </w:r>
      <w:r>
        <w:rPr>
          <w:rFonts w:ascii="Times New Roman" w:eastAsia="Times New Roman"/>
          <w:sz w:val="24"/>
          <w:lang w:eastAsia="zh-CN"/>
        </w:rPr>
        <w:t>5%</w:t>
      </w:r>
      <w:r>
        <w:rPr>
          <w:sz w:val="24"/>
          <w:lang w:eastAsia="zh-CN"/>
        </w:rPr>
        <w:t>）的违约金，违约金不足以弥补买方损失的，卖方应予赔偿。</w:t>
      </w:r>
    </w:p>
    <w:p>
      <w:pPr>
        <w:pStyle w:val="11"/>
        <w:numPr>
          <w:ilvl w:val="0"/>
          <w:numId w:val="4"/>
        </w:numPr>
        <w:tabs>
          <w:tab w:val="left" w:pos="1881"/>
        </w:tabs>
        <w:spacing w:before="2" w:line="364" w:lineRule="auto"/>
        <w:ind w:right="1037" w:firstLine="480"/>
        <w:rPr>
          <w:sz w:val="24"/>
          <w:lang w:eastAsia="zh-CN"/>
        </w:rPr>
      </w:pPr>
      <w:r>
        <w:rPr>
          <w:sz w:val="24"/>
          <w:lang w:eastAsia="zh-CN"/>
        </w:rPr>
        <w:t>卖方开具虚假、作废等无效发票或者违反国家法律法规开具、提供发</w:t>
      </w:r>
      <w:r>
        <w:rPr>
          <w:spacing w:val="-13"/>
          <w:sz w:val="24"/>
          <w:lang w:eastAsia="zh-CN"/>
        </w:rPr>
        <w:t>票的，卖方应自行承担相应法律责任，并应向买方支付合同总价百分之五</w:t>
      </w:r>
      <w:r>
        <w:rPr>
          <w:sz w:val="24"/>
          <w:lang w:eastAsia="zh-CN"/>
        </w:rPr>
        <w:t>（</w:t>
      </w:r>
      <w:r>
        <w:rPr>
          <w:rFonts w:ascii="Times New Roman" w:eastAsia="Times New Roman"/>
          <w:sz w:val="24"/>
          <w:lang w:eastAsia="zh-CN"/>
        </w:rPr>
        <w:t>5%</w:t>
      </w:r>
      <w:r>
        <w:rPr>
          <w:rFonts w:ascii="Times New Roman" w:eastAsia="Times New Roman"/>
          <w:spacing w:val="58"/>
          <w:sz w:val="24"/>
          <w:lang w:eastAsia="zh-CN"/>
        </w:rPr>
        <w:t xml:space="preserve"> </w:t>
      </w:r>
      <w:r>
        <w:rPr>
          <w:spacing w:val="-15"/>
          <w:sz w:val="24"/>
          <w:lang w:eastAsia="zh-CN"/>
        </w:rPr>
        <w:t xml:space="preserve">） </w:t>
      </w:r>
      <w:r>
        <w:rPr>
          <w:spacing w:val="-9"/>
          <w:sz w:val="24"/>
          <w:lang w:eastAsia="zh-CN"/>
        </w:rPr>
        <w:t>的违约金，卖方提供履约保证金的，买方有权扣除卖方全部履约保证金，以上违</w:t>
      </w:r>
      <w:r>
        <w:rPr>
          <w:spacing w:val="-14"/>
          <w:sz w:val="24"/>
          <w:lang w:eastAsia="zh-CN"/>
        </w:rPr>
        <w:t>约金或履约保证金不足以弥补买方损失的，卖方应予赔偿；卖方重新开具的发票</w:t>
      </w:r>
      <w:r>
        <w:rPr>
          <w:spacing w:val="-16"/>
          <w:sz w:val="24"/>
          <w:lang w:eastAsia="zh-CN"/>
        </w:rPr>
        <w:t>仍与合同约定不符的，卖方除按本项前述约定承担责任外，还应向买方支付无法抵扣部分的税款金额；卖方无法开具发票的，买方有权终止合同，卖方除应按本</w:t>
      </w:r>
      <w:r>
        <w:rPr>
          <w:spacing w:val="-17"/>
          <w:sz w:val="24"/>
          <w:lang w:eastAsia="zh-CN"/>
        </w:rPr>
        <w:t>项前述约定承担责任外，还应退还买方已付款项，赔偿由此给买方造成的全部损失。</w:t>
      </w:r>
    </w:p>
    <w:p>
      <w:pPr>
        <w:pStyle w:val="11"/>
        <w:numPr>
          <w:ilvl w:val="0"/>
          <w:numId w:val="4"/>
        </w:numPr>
        <w:tabs>
          <w:tab w:val="left" w:pos="1881"/>
        </w:tabs>
        <w:spacing w:before="5" w:line="364" w:lineRule="auto"/>
        <w:ind w:right="1157" w:firstLine="480"/>
        <w:jc w:val="both"/>
        <w:rPr>
          <w:sz w:val="24"/>
          <w:lang w:eastAsia="zh-CN"/>
        </w:rPr>
      </w:pPr>
      <w:r>
        <w:rPr>
          <w:spacing w:val="-1"/>
          <w:sz w:val="24"/>
          <w:lang w:eastAsia="zh-CN"/>
        </w:rPr>
        <w:t>卖方账户必须是合同约定的在主管国税机关备案的账户，若账户变更</w:t>
      </w:r>
      <w:r>
        <w:rPr>
          <w:spacing w:val="-8"/>
          <w:sz w:val="24"/>
          <w:lang w:eastAsia="zh-CN"/>
        </w:rPr>
        <w:t>应及时通知买方，并签订合同变更协议或补充合同；如卖方随意改变账户，买方</w:t>
      </w:r>
      <w:r>
        <w:rPr>
          <w:spacing w:val="-10"/>
          <w:sz w:val="24"/>
          <w:lang w:eastAsia="zh-CN"/>
        </w:rPr>
        <w:t>将拒付货款，由此引起的延期付款责任及相关的损失由卖方承担；因卖方自身纳</w:t>
      </w:r>
      <w:r>
        <w:rPr>
          <w:spacing w:val="-7"/>
          <w:sz w:val="24"/>
          <w:lang w:eastAsia="zh-CN"/>
        </w:rPr>
        <w:t>税人身份或纳税方式发生变化，导致适用增值税税率发生变化，因此对买方造成</w:t>
      </w:r>
      <w:r>
        <w:rPr>
          <w:sz w:val="24"/>
          <w:lang w:eastAsia="zh-CN"/>
        </w:rPr>
        <w:t>的损失应由卖方承担。</w:t>
      </w:r>
    </w:p>
    <w:p>
      <w:pPr>
        <w:pStyle w:val="11"/>
        <w:numPr>
          <w:ilvl w:val="0"/>
          <w:numId w:val="4"/>
        </w:numPr>
        <w:tabs>
          <w:tab w:val="left" w:pos="721"/>
        </w:tabs>
        <w:spacing w:before="133"/>
        <w:ind w:left="2025" w:right="1157" w:hanging="2025"/>
        <w:jc w:val="right"/>
        <w:rPr>
          <w:sz w:val="24"/>
          <w:lang w:eastAsia="zh-CN"/>
        </w:rPr>
      </w:pPr>
      <w:r>
        <w:rPr>
          <w:spacing w:val="-4"/>
          <w:sz w:val="24"/>
          <w:lang w:eastAsia="zh-CN"/>
        </w:rPr>
        <w:t>如果买方丢失增值税专用发票联和抵扣联，卖方应向买方提供专用发</w:t>
      </w:r>
    </w:p>
    <w:p>
      <w:pPr>
        <w:pStyle w:val="5"/>
        <w:spacing w:before="8"/>
        <w:ind w:left="0"/>
        <w:rPr>
          <w:sz w:val="19"/>
          <w:lang w:eastAsia="zh-CN"/>
        </w:rPr>
      </w:pPr>
    </w:p>
    <w:p>
      <w:pPr>
        <w:pStyle w:val="5"/>
        <w:ind w:left="0" w:right="1065"/>
        <w:jc w:val="right"/>
        <w:rPr>
          <w:lang w:eastAsia="zh-CN"/>
        </w:rPr>
      </w:pPr>
      <w:r>
        <w:rPr>
          <w:lang w:eastAsia="zh-CN"/>
        </w:rPr>
        <w:t>票记账联复印件及主管税务机关出具的《丢失增值税专用发票已报税证明单》。</w:t>
      </w:r>
    </w:p>
    <w:p>
      <w:pPr>
        <w:pStyle w:val="11"/>
        <w:numPr>
          <w:ilvl w:val="0"/>
          <w:numId w:val="4"/>
        </w:numPr>
        <w:tabs>
          <w:tab w:val="left" w:pos="721"/>
        </w:tabs>
        <w:spacing w:before="125"/>
        <w:ind w:left="2001" w:right="1157" w:hanging="2001"/>
        <w:jc w:val="right"/>
        <w:rPr>
          <w:sz w:val="24"/>
          <w:lang w:eastAsia="zh-CN"/>
        </w:rPr>
      </w:pPr>
      <w:r>
        <w:rPr>
          <w:spacing w:val="-4"/>
          <w:sz w:val="24"/>
          <w:lang w:eastAsia="zh-CN"/>
        </w:rPr>
        <w:t>如果获得开具的汇总专用发票，则卖方应提供其防伪税控系统开具的</w:t>
      </w:r>
    </w:p>
    <w:p>
      <w:pPr>
        <w:pStyle w:val="5"/>
        <w:spacing w:before="160"/>
        <w:rPr>
          <w:lang w:eastAsia="zh-CN"/>
        </w:rPr>
      </w:pPr>
      <w:r>
        <w:rPr>
          <w:lang w:eastAsia="zh-CN"/>
        </w:rPr>
        <w:t>《销售货物或者提供应税劳务清单》，并加盖财务专用章或者发票专用章。</w:t>
      </w:r>
    </w:p>
    <w:p>
      <w:pPr>
        <w:pStyle w:val="11"/>
        <w:numPr>
          <w:ilvl w:val="0"/>
          <w:numId w:val="4"/>
        </w:numPr>
        <w:tabs>
          <w:tab w:val="left" w:pos="2001"/>
        </w:tabs>
        <w:spacing w:before="161" w:line="364" w:lineRule="auto"/>
        <w:ind w:right="1157" w:firstLine="480"/>
        <w:rPr>
          <w:sz w:val="24"/>
          <w:lang w:eastAsia="zh-CN"/>
        </w:rPr>
      </w:pPr>
      <w:r>
        <w:rPr>
          <w:spacing w:val="-5"/>
          <w:sz w:val="24"/>
          <w:lang w:eastAsia="zh-CN"/>
        </w:rPr>
        <w:t>由于国家税收政策变动等原因，导致合同增值税额变化的，买卖双</w:t>
      </w:r>
      <w:r>
        <w:rPr>
          <w:spacing w:val="-4"/>
          <w:sz w:val="24"/>
          <w:lang w:eastAsia="zh-CN"/>
        </w:rPr>
        <w:t>方应在协商后签订有关增值税的补充条款。</w:t>
      </w:r>
    </w:p>
    <w:p>
      <w:pPr>
        <w:pStyle w:val="5"/>
        <w:spacing w:before="4"/>
        <w:ind w:left="0"/>
        <w:rPr>
          <w:sz w:val="20"/>
          <w:lang w:eastAsia="zh-CN"/>
        </w:rPr>
      </w:pPr>
    </w:p>
    <w:p>
      <w:pPr>
        <w:pStyle w:val="4"/>
        <w:ind w:right="1296"/>
        <w:rPr>
          <w:lang w:eastAsia="zh-CN"/>
        </w:rPr>
      </w:pPr>
      <w:bookmarkStart w:id="3" w:name="第四条付款方式"/>
      <w:bookmarkEnd w:id="3"/>
      <w:r>
        <w:rPr>
          <w:lang w:eastAsia="zh-CN"/>
        </w:rPr>
        <w:t>第四条付款方式</w:t>
      </w:r>
    </w:p>
    <w:p>
      <w:pPr>
        <w:pStyle w:val="5"/>
        <w:spacing w:before="12"/>
        <w:ind w:left="0"/>
        <w:rPr>
          <w:b/>
          <w:sz w:val="32"/>
          <w:lang w:eastAsia="zh-CN"/>
        </w:rPr>
      </w:pPr>
    </w:p>
    <w:p>
      <w:pPr>
        <w:pStyle w:val="5"/>
        <w:spacing w:before="160" w:line="364" w:lineRule="auto"/>
        <w:ind w:right="1065" w:firstLine="480"/>
        <w:rPr>
          <w:spacing w:val="-3"/>
          <w:szCs w:val="22"/>
          <w:lang w:eastAsia="zh-CN"/>
        </w:rPr>
      </w:pPr>
      <w:r>
        <w:rPr>
          <w:spacing w:val="-3"/>
          <w:szCs w:val="22"/>
          <w:lang w:eastAsia="zh-CN"/>
        </w:rPr>
        <w:t>1，在买方与卖方签订合同并收到最终用户第一笔款项且卖方向买方提供了如下书面材料后 20 个工作日内，买方支付合同总价款的百分之</w:t>
      </w:r>
      <w:r>
        <w:rPr>
          <w:rFonts w:hint="eastAsia"/>
          <w:spacing w:val="-3"/>
          <w:szCs w:val="22"/>
          <w:lang w:val="en-US" w:eastAsia="zh-CN"/>
        </w:rPr>
        <w:t>三十</w:t>
      </w:r>
      <w:r>
        <w:rPr>
          <w:spacing w:val="-3"/>
          <w:szCs w:val="22"/>
          <w:lang w:eastAsia="zh-CN"/>
        </w:rPr>
        <w:t>（</w:t>
      </w:r>
      <w:r>
        <w:rPr>
          <w:rFonts w:hint="eastAsia"/>
          <w:spacing w:val="-3"/>
          <w:szCs w:val="22"/>
          <w:lang w:val="en-US" w:eastAsia="zh-CN"/>
        </w:rPr>
        <w:t>30</w:t>
      </w:r>
      <w:r>
        <w:rPr>
          <w:spacing w:val="-3"/>
          <w:szCs w:val="22"/>
          <w:lang w:eastAsia="zh-CN"/>
        </w:rPr>
        <w:t>%）给卖方。</w:t>
      </w:r>
    </w:p>
    <w:p>
      <w:pPr>
        <w:pStyle w:val="5"/>
        <w:numPr>
          <w:ilvl w:val="0"/>
          <w:numId w:val="5"/>
        </w:numPr>
        <w:spacing w:before="160" w:line="364" w:lineRule="auto"/>
        <w:ind w:right="1065"/>
        <w:rPr>
          <w:spacing w:val="-3"/>
          <w:szCs w:val="22"/>
          <w:lang w:eastAsia="zh-CN"/>
        </w:rPr>
      </w:pPr>
      <w:r>
        <w:rPr>
          <w:spacing w:val="-3"/>
          <w:szCs w:val="22"/>
          <w:lang w:eastAsia="zh-CN"/>
        </w:rPr>
        <w:t>明确付款金额和合同号的《付款申请》。</w:t>
      </w:r>
    </w:p>
    <w:p>
      <w:pPr>
        <w:pStyle w:val="5"/>
        <w:numPr>
          <w:ilvl w:val="0"/>
          <w:numId w:val="5"/>
        </w:numPr>
        <w:spacing w:before="160" w:line="364" w:lineRule="auto"/>
        <w:ind w:right="1065"/>
        <w:rPr>
          <w:rFonts w:hint="eastAsia"/>
          <w:spacing w:val="-3"/>
          <w:szCs w:val="22"/>
          <w:lang w:eastAsia="zh-CN"/>
        </w:rPr>
      </w:pPr>
      <w:r>
        <w:rPr>
          <w:spacing w:val="-3"/>
          <w:szCs w:val="22"/>
          <w:lang w:eastAsia="zh-CN"/>
        </w:rPr>
        <w:t>经买方确认无异议的相关实施过程性文件</w:t>
      </w:r>
      <w:r>
        <w:rPr>
          <w:rFonts w:hint="eastAsia"/>
          <w:spacing w:val="-3"/>
          <w:szCs w:val="22"/>
          <w:lang w:eastAsia="zh-CN"/>
        </w:rPr>
        <w:t>。</w:t>
      </w:r>
    </w:p>
    <w:p>
      <w:pPr>
        <w:pStyle w:val="5"/>
        <w:spacing w:before="160" w:line="364" w:lineRule="auto"/>
        <w:ind w:right="1065" w:firstLine="480"/>
        <w:rPr>
          <w:spacing w:val="-3"/>
          <w:szCs w:val="22"/>
          <w:lang w:eastAsia="zh-CN"/>
        </w:rPr>
      </w:pPr>
      <w:r>
        <w:rPr>
          <w:spacing w:val="-3"/>
          <w:szCs w:val="22"/>
          <w:lang w:eastAsia="zh-CN"/>
        </w:rPr>
        <w:t xml:space="preserve">       2，在卖方所提供的全部设备安装调试完成，买方验收合格并收到最终用户第二笔款项且卖方提供如下书面材料后 20 个工作日内，买方支付合同总价款的百分之</w:t>
      </w:r>
      <w:r>
        <w:rPr>
          <w:rFonts w:hint="eastAsia"/>
          <w:spacing w:val="-3"/>
          <w:szCs w:val="22"/>
          <w:lang w:val="en-US" w:eastAsia="zh-CN"/>
        </w:rPr>
        <w:t>六十五</w:t>
      </w:r>
      <w:bookmarkStart w:id="169" w:name="_GoBack"/>
      <w:bookmarkEnd w:id="169"/>
      <w:r>
        <w:rPr>
          <w:spacing w:val="-3"/>
          <w:szCs w:val="22"/>
          <w:lang w:eastAsia="zh-CN"/>
        </w:rPr>
        <w:t>（</w:t>
      </w:r>
      <w:r>
        <w:rPr>
          <w:rFonts w:hint="eastAsia"/>
          <w:spacing w:val="-3"/>
          <w:szCs w:val="22"/>
          <w:lang w:val="en-US" w:eastAsia="zh-CN"/>
        </w:rPr>
        <w:t>65</w:t>
      </w:r>
      <w:r>
        <w:rPr>
          <w:spacing w:val="-3"/>
          <w:szCs w:val="22"/>
          <w:lang w:eastAsia="zh-CN"/>
        </w:rPr>
        <w:t>%）给卖方。</w:t>
      </w:r>
    </w:p>
    <w:p>
      <w:pPr>
        <w:pStyle w:val="5"/>
        <w:spacing w:before="160" w:line="364" w:lineRule="auto"/>
        <w:ind w:right="1065" w:firstLine="480"/>
        <w:rPr>
          <w:spacing w:val="-3"/>
          <w:szCs w:val="22"/>
          <w:lang w:eastAsia="zh-CN"/>
        </w:rPr>
      </w:pPr>
      <w:r>
        <w:rPr>
          <w:spacing w:val="-3"/>
          <w:szCs w:val="22"/>
          <w:lang w:eastAsia="zh-CN"/>
        </w:rPr>
        <w:t xml:space="preserve">             （1）明确付款金额和合同号的《付款申请》；</w:t>
      </w:r>
    </w:p>
    <w:p>
      <w:pPr>
        <w:pStyle w:val="5"/>
        <w:spacing w:before="160" w:line="364" w:lineRule="auto"/>
        <w:ind w:right="1065" w:firstLine="480"/>
        <w:rPr>
          <w:spacing w:val="-3"/>
          <w:szCs w:val="22"/>
          <w:lang w:eastAsia="zh-CN"/>
        </w:rPr>
      </w:pPr>
      <w:r>
        <w:rPr>
          <w:spacing w:val="-3"/>
          <w:szCs w:val="22"/>
          <w:lang w:eastAsia="zh-CN"/>
        </w:rPr>
        <w:t xml:space="preserve">              （2）《验收报告》。</w:t>
      </w:r>
    </w:p>
    <w:p>
      <w:pPr>
        <w:pStyle w:val="5"/>
        <w:spacing w:before="160" w:line="364" w:lineRule="auto"/>
        <w:ind w:right="1065" w:firstLine="480"/>
        <w:rPr>
          <w:spacing w:val="-3"/>
          <w:szCs w:val="22"/>
          <w:lang w:eastAsia="zh-CN"/>
        </w:rPr>
      </w:pPr>
      <w:r>
        <w:rPr>
          <w:spacing w:val="-3"/>
          <w:szCs w:val="22"/>
          <w:lang w:eastAsia="zh-CN"/>
        </w:rPr>
        <w:t xml:space="preserve">              （3）经买方确认无异议的相关实施过程性文件</w:t>
      </w:r>
      <w:r>
        <w:rPr>
          <w:rFonts w:hint="eastAsia"/>
          <w:spacing w:val="-3"/>
          <w:szCs w:val="22"/>
          <w:lang w:eastAsia="zh-CN"/>
        </w:rPr>
        <w:t>。</w:t>
      </w:r>
    </w:p>
    <w:p>
      <w:pPr>
        <w:pStyle w:val="5"/>
        <w:spacing w:before="160" w:line="364" w:lineRule="auto"/>
        <w:ind w:right="1065" w:firstLine="480"/>
        <w:rPr>
          <w:spacing w:val="-3"/>
          <w:szCs w:val="22"/>
          <w:lang w:eastAsia="zh-CN"/>
        </w:rPr>
      </w:pPr>
      <w:r>
        <w:rPr>
          <w:spacing w:val="-3"/>
          <w:szCs w:val="22"/>
          <w:lang w:eastAsia="zh-CN"/>
        </w:rPr>
        <w:t xml:space="preserve">       3，在卖方收到最终用户全款并质保期结束且卖方提供如下书面材料后 20 个工作日内，买方支付合同总价款的百分之</w:t>
      </w:r>
      <w:r>
        <w:rPr>
          <w:rFonts w:hint="eastAsia"/>
          <w:spacing w:val="-3"/>
          <w:szCs w:val="22"/>
          <w:lang w:val="en-US" w:eastAsia="zh-CN"/>
        </w:rPr>
        <w:t>五</w:t>
      </w:r>
      <w:r>
        <w:rPr>
          <w:spacing w:val="-3"/>
          <w:szCs w:val="22"/>
          <w:lang w:eastAsia="zh-CN"/>
        </w:rPr>
        <w:t>（</w:t>
      </w:r>
      <w:r>
        <w:rPr>
          <w:rFonts w:hint="eastAsia"/>
          <w:spacing w:val="-3"/>
          <w:szCs w:val="22"/>
          <w:lang w:val="en-US" w:eastAsia="zh-CN"/>
        </w:rPr>
        <w:t>5</w:t>
      </w:r>
      <w:r>
        <w:rPr>
          <w:spacing w:val="-3"/>
          <w:szCs w:val="22"/>
          <w:lang w:eastAsia="zh-CN"/>
        </w:rPr>
        <w:t>%）给卖方。</w:t>
      </w:r>
    </w:p>
    <w:p>
      <w:pPr>
        <w:pStyle w:val="5"/>
        <w:numPr>
          <w:ilvl w:val="0"/>
          <w:numId w:val="6"/>
        </w:numPr>
        <w:spacing w:before="160" w:line="364" w:lineRule="auto"/>
        <w:ind w:right="1065"/>
        <w:rPr>
          <w:spacing w:val="-3"/>
          <w:szCs w:val="22"/>
          <w:lang w:eastAsia="zh-CN"/>
        </w:rPr>
      </w:pPr>
      <w:r>
        <w:rPr>
          <w:spacing w:val="-3"/>
          <w:szCs w:val="22"/>
          <w:lang w:eastAsia="zh-CN"/>
        </w:rPr>
        <w:t>明确付款金额和合同号的《付款申请》。</w:t>
      </w:r>
    </w:p>
    <w:p>
      <w:pPr>
        <w:pStyle w:val="5"/>
        <w:numPr>
          <w:ilvl w:val="0"/>
          <w:numId w:val="6"/>
        </w:numPr>
        <w:spacing w:before="160" w:line="364" w:lineRule="auto"/>
        <w:ind w:right="1065"/>
        <w:rPr>
          <w:spacing w:val="-3"/>
          <w:szCs w:val="22"/>
          <w:lang w:eastAsia="zh-CN"/>
        </w:rPr>
      </w:pPr>
      <w:r>
        <w:rPr>
          <w:spacing w:val="-3"/>
          <w:szCs w:val="22"/>
          <w:lang w:eastAsia="zh-CN"/>
        </w:rPr>
        <w:t>经买方确认无异议的相关实施过程性文件</w:t>
      </w:r>
      <w:r>
        <w:rPr>
          <w:rFonts w:hint="eastAsia"/>
          <w:spacing w:val="-3"/>
          <w:szCs w:val="22"/>
          <w:lang w:eastAsia="zh-CN"/>
        </w:rPr>
        <w:t>。</w:t>
      </w:r>
    </w:p>
    <w:p>
      <w:pPr>
        <w:pStyle w:val="5"/>
        <w:spacing w:before="160" w:line="364" w:lineRule="auto"/>
        <w:ind w:right="1065" w:firstLine="480"/>
        <w:rPr>
          <w:lang w:eastAsia="zh-CN"/>
        </w:rPr>
      </w:pPr>
      <w:r>
        <w:rPr>
          <w:lang w:eastAsia="zh-CN"/>
        </w:rPr>
        <w:t>支付，具体分摊规则按照买方内部的相关规定执行，买方负责协调。各级法人行社收到卖方付款通知及合规发票， 确认满足付款条件的，于约定期限内履行相应的付款义务并支付相应款项。</w:t>
      </w:r>
    </w:p>
    <w:p>
      <w:pPr>
        <w:pStyle w:val="5"/>
        <w:spacing w:before="160" w:line="364" w:lineRule="auto"/>
        <w:ind w:right="1065" w:firstLine="480"/>
        <w:rPr>
          <w:lang w:eastAsia="zh-CN"/>
        </w:rPr>
      </w:pPr>
      <w:r>
        <w:rPr>
          <w:rFonts w:hint="eastAsia"/>
          <w:lang w:eastAsia="zh-CN"/>
        </w:rPr>
        <w:t>若以上付款批次中买方因卖方原因被最终用户扣款或者罚款，该款项应由卖方承担，同时买方在当笔应付款中直接扣减付款金额。</w:t>
      </w:r>
    </w:p>
    <w:p>
      <w:pPr>
        <w:pStyle w:val="5"/>
        <w:spacing w:before="7"/>
        <w:ind w:left="0"/>
        <w:rPr>
          <w:sz w:val="20"/>
          <w:lang w:eastAsia="zh-CN"/>
        </w:rPr>
      </w:pPr>
    </w:p>
    <w:p>
      <w:pPr>
        <w:pStyle w:val="4"/>
        <w:spacing w:before="1"/>
        <w:ind w:right="1296"/>
        <w:rPr>
          <w:lang w:eastAsia="zh-CN"/>
        </w:rPr>
      </w:pPr>
      <w:bookmarkStart w:id="4" w:name="第五条履约保证"/>
      <w:bookmarkEnd w:id="4"/>
      <w:r>
        <w:rPr>
          <w:lang w:eastAsia="zh-CN"/>
        </w:rPr>
        <w:t>第五条履约保证</w:t>
      </w:r>
    </w:p>
    <w:p>
      <w:pPr>
        <w:pStyle w:val="5"/>
        <w:spacing w:before="9"/>
        <w:ind w:left="0"/>
        <w:rPr>
          <w:b/>
          <w:sz w:val="32"/>
          <w:lang w:eastAsia="zh-CN"/>
        </w:rPr>
      </w:pPr>
    </w:p>
    <w:p>
      <w:pPr>
        <w:pStyle w:val="5"/>
        <w:spacing w:line="364" w:lineRule="auto"/>
        <w:ind w:right="1037" w:firstLine="628"/>
        <w:rPr>
          <w:lang w:eastAsia="zh-CN"/>
        </w:rPr>
      </w:pPr>
      <w:r>
        <w:rPr>
          <w:rFonts w:hint="eastAsia"/>
          <w:spacing w:val="-5"/>
          <w:lang w:eastAsia="zh-CN"/>
        </w:rPr>
        <w:t>不涉及。</w:t>
      </w:r>
    </w:p>
    <w:p>
      <w:pPr>
        <w:pStyle w:val="5"/>
        <w:spacing w:before="6"/>
        <w:ind w:left="0"/>
        <w:rPr>
          <w:sz w:val="20"/>
          <w:lang w:eastAsia="zh-CN"/>
        </w:rPr>
      </w:pPr>
    </w:p>
    <w:p>
      <w:pPr>
        <w:pStyle w:val="4"/>
        <w:ind w:right="1296"/>
      </w:pPr>
      <w:bookmarkStart w:id="5" w:name="第六条税费"/>
      <w:bookmarkEnd w:id="5"/>
      <w:r>
        <w:t>第六条税费</w:t>
      </w:r>
    </w:p>
    <w:p>
      <w:pPr>
        <w:pStyle w:val="5"/>
        <w:spacing w:before="12"/>
        <w:ind w:left="0"/>
        <w:rPr>
          <w:b/>
          <w:sz w:val="32"/>
        </w:rPr>
      </w:pPr>
    </w:p>
    <w:p>
      <w:pPr>
        <w:pStyle w:val="11"/>
        <w:numPr>
          <w:ilvl w:val="0"/>
          <w:numId w:val="7"/>
        </w:numPr>
        <w:tabs>
          <w:tab w:val="left" w:pos="1641"/>
        </w:tabs>
        <w:spacing w:before="0" w:line="364" w:lineRule="auto"/>
        <w:ind w:right="1160" w:firstLine="480"/>
        <w:rPr>
          <w:sz w:val="24"/>
          <w:lang w:eastAsia="zh-CN"/>
        </w:rPr>
      </w:pPr>
      <w:r>
        <w:rPr>
          <w:spacing w:val="-1"/>
          <w:sz w:val="24"/>
          <w:lang w:eastAsia="zh-CN"/>
        </w:rPr>
        <w:t>现行税法所征收的因本合同项下的货物买卖所产生的一切税费由卖方支</w:t>
      </w:r>
      <w:r>
        <w:rPr>
          <w:sz w:val="24"/>
          <w:lang w:eastAsia="zh-CN"/>
        </w:rPr>
        <w:t>付。</w:t>
      </w:r>
    </w:p>
    <w:p>
      <w:pPr>
        <w:pStyle w:val="11"/>
        <w:numPr>
          <w:ilvl w:val="0"/>
          <w:numId w:val="7"/>
        </w:numPr>
        <w:tabs>
          <w:tab w:val="left" w:pos="1641"/>
        </w:tabs>
        <w:ind w:left="1641"/>
        <w:rPr>
          <w:sz w:val="24"/>
          <w:lang w:eastAsia="zh-CN"/>
        </w:rPr>
      </w:pPr>
      <w:r>
        <w:rPr>
          <w:spacing w:val="-12"/>
          <w:sz w:val="24"/>
          <w:lang w:eastAsia="zh-CN"/>
        </w:rPr>
        <w:t>根据现行税法向卖方征收的与其履行本合同义务有关的一切税费由卖方支付。</w:t>
      </w:r>
    </w:p>
    <w:p>
      <w:pPr>
        <w:rPr>
          <w:sz w:val="24"/>
          <w:lang w:eastAsia="zh-CN"/>
        </w:rPr>
        <w:sectPr>
          <w:pgSz w:w="11910" w:h="16840"/>
          <w:pgMar w:top="1460" w:right="640" w:bottom="280" w:left="1000" w:header="720" w:footer="720" w:gutter="0"/>
          <w:cols w:space="720" w:num="1"/>
        </w:sectPr>
      </w:pPr>
    </w:p>
    <w:p>
      <w:pPr>
        <w:pStyle w:val="11"/>
        <w:numPr>
          <w:ilvl w:val="0"/>
          <w:numId w:val="7"/>
        </w:numPr>
        <w:tabs>
          <w:tab w:val="left" w:pos="1601"/>
        </w:tabs>
        <w:spacing w:before="62" w:line="364" w:lineRule="auto"/>
        <w:ind w:right="1143" w:firstLine="448"/>
        <w:rPr>
          <w:sz w:val="24"/>
          <w:lang w:eastAsia="zh-CN"/>
        </w:rPr>
      </w:pPr>
      <w:r>
        <w:rPr>
          <w:spacing w:val="-22"/>
          <w:sz w:val="24"/>
          <w:lang w:eastAsia="zh-CN"/>
        </w:rPr>
        <w:t>如有发生在中华人民共和国境外的，与履行本合同有关的一切税费，应由卖</w:t>
      </w:r>
      <w:r>
        <w:rPr>
          <w:spacing w:val="-9"/>
          <w:sz w:val="24"/>
          <w:lang w:eastAsia="zh-CN"/>
        </w:rPr>
        <w:t>方支付。</w:t>
      </w:r>
    </w:p>
    <w:p>
      <w:pPr>
        <w:pStyle w:val="5"/>
        <w:spacing w:before="6"/>
        <w:ind w:left="0"/>
        <w:rPr>
          <w:sz w:val="20"/>
          <w:lang w:eastAsia="zh-CN"/>
        </w:rPr>
      </w:pPr>
    </w:p>
    <w:p>
      <w:pPr>
        <w:pStyle w:val="4"/>
        <w:ind w:right="1293"/>
      </w:pPr>
      <w:bookmarkStart w:id="6" w:name="第七条质量保证期"/>
      <w:bookmarkEnd w:id="6"/>
      <w:r>
        <w:t>第七条质量保证期</w:t>
      </w:r>
    </w:p>
    <w:p>
      <w:pPr>
        <w:pStyle w:val="5"/>
        <w:ind w:left="0"/>
        <w:rPr>
          <w:b/>
        </w:rPr>
      </w:pPr>
    </w:p>
    <w:p>
      <w:pPr>
        <w:pStyle w:val="11"/>
        <w:numPr>
          <w:ilvl w:val="0"/>
          <w:numId w:val="8"/>
        </w:numPr>
        <w:tabs>
          <w:tab w:val="left" w:pos="1641"/>
        </w:tabs>
        <w:spacing w:line="364" w:lineRule="auto"/>
        <w:ind w:left="800" w:right="1160" w:firstLine="480"/>
        <w:rPr>
          <w:sz w:val="24"/>
          <w:lang w:eastAsia="zh-CN"/>
        </w:rPr>
      </w:pPr>
      <w:r>
        <w:rPr>
          <w:rFonts w:hint="eastAsia"/>
          <w:sz w:val="24"/>
          <w:lang w:eastAsia="zh-CN"/>
        </w:rPr>
        <w:t>不涉及。</w:t>
      </w:r>
    </w:p>
    <w:p>
      <w:pPr>
        <w:pStyle w:val="5"/>
        <w:spacing w:before="4"/>
        <w:ind w:left="0"/>
        <w:rPr>
          <w:sz w:val="20"/>
          <w:lang w:eastAsia="zh-CN"/>
        </w:rPr>
      </w:pPr>
    </w:p>
    <w:p>
      <w:pPr>
        <w:pStyle w:val="4"/>
        <w:ind w:right="1296"/>
      </w:pPr>
      <w:bookmarkStart w:id="7" w:name="第八条质量保证"/>
      <w:bookmarkEnd w:id="7"/>
      <w:r>
        <w:t>第八条质量保证</w:t>
      </w:r>
    </w:p>
    <w:p>
      <w:pPr>
        <w:pStyle w:val="5"/>
        <w:ind w:left="0"/>
        <w:rPr>
          <w:b/>
          <w:sz w:val="33"/>
        </w:rPr>
      </w:pPr>
    </w:p>
    <w:p>
      <w:pPr>
        <w:pStyle w:val="11"/>
        <w:numPr>
          <w:ilvl w:val="0"/>
          <w:numId w:val="9"/>
        </w:numPr>
        <w:tabs>
          <w:tab w:val="left" w:pos="1640"/>
        </w:tabs>
        <w:spacing w:line="364" w:lineRule="auto"/>
        <w:ind w:left="797" w:right="1157" w:firstLine="480"/>
        <w:jc w:val="both"/>
        <w:rPr>
          <w:sz w:val="24"/>
          <w:lang w:eastAsia="zh-CN"/>
        </w:rPr>
      </w:pPr>
      <w:r>
        <w:rPr>
          <w:spacing w:val="-1"/>
          <w:sz w:val="24"/>
          <w:lang w:eastAsia="zh-CN"/>
        </w:rPr>
        <w:t>卖方应保证</w:t>
      </w:r>
      <w:r>
        <w:rPr>
          <w:rFonts w:hint="eastAsia"/>
          <w:spacing w:val="-1"/>
          <w:sz w:val="24"/>
          <w:lang w:eastAsia="zh-CN"/>
        </w:rPr>
        <w:t>对</w:t>
      </w:r>
      <w:r>
        <w:rPr>
          <w:spacing w:val="-1"/>
          <w:sz w:val="24"/>
          <w:lang w:eastAsia="zh-CN"/>
        </w:rPr>
        <w:t>货物经过正确安装、合理操作和维护保养，在货物</w:t>
      </w:r>
      <w:r>
        <w:rPr>
          <w:spacing w:val="-8"/>
          <w:sz w:val="24"/>
          <w:lang w:eastAsia="zh-CN"/>
        </w:rPr>
        <w:t>寿命期内运转良好。在合同约定的质量保证期内，卖方应对由于设计、工艺或材</w:t>
      </w:r>
      <w:r>
        <w:rPr>
          <w:spacing w:val="-3"/>
          <w:sz w:val="24"/>
          <w:lang w:eastAsia="zh-CN"/>
        </w:rPr>
        <w:t xml:space="preserve">料的缺陷及安装的错误等造成的任何故障负责，须提供 </w:t>
      </w:r>
      <w:r>
        <w:rPr>
          <w:rFonts w:ascii="Times New Roman" w:hAnsi="Times New Roman" w:eastAsia="Times New Roman"/>
          <w:sz w:val="24"/>
          <w:lang w:eastAsia="zh-CN"/>
        </w:rPr>
        <w:t>7×24</w:t>
      </w:r>
      <w:r>
        <w:rPr>
          <w:rFonts w:ascii="Times New Roman" w:hAnsi="Times New Roman" w:eastAsia="Times New Roman"/>
          <w:spacing w:val="3"/>
          <w:sz w:val="24"/>
          <w:lang w:eastAsia="zh-CN"/>
        </w:rPr>
        <w:t xml:space="preserve"> </w:t>
      </w:r>
      <w:r>
        <w:rPr>
          <w:sz w:val="24"/>
          <w:lang w:eastAsia="zh-CN"/>
        </w:rPr>
        <w:t>小时（</w:t>
      </w:r>
      <w:r>
        <w:rPr>
          <w:spacing w:val="-21"/>
          <w:sz w:val="24"/>
          <w:lang w:eastAsia="zh-CN"/>
        </w:rPr>
        <w:t xml:space="preserve">每周 </w:t>
      </w:r>
      <w:r>
        <w:rPr>
          <w:rFonts w:ascii="Times New Roman" w:hAnsi="Times New Roman" w:eastAsia="Times New Roman"/>
          <w:sz w:val="24"/>
          <w:lang w:eastAsia="zh-CN"/>
        </w:rPr>
        <w:t>7</w:t>
      </w:r>
      <w:r>
        <w:rPr>
          <w:rFonts w:ascii="Times New Roman" w:hAnsi="Times New Roman" w:eastAsia="Times New Roman"/>
          <w:spacing w:val="3"/>
          <w:sz w:val="24"/>
          <w:lang w:eastAsia="zh-CN"/>
        </w:rPr>
        <w:t xml:space="preserve"> </w:t>
      </w:r>
      <w:r>
        <w:rPr>
          <w:spacing w:val="-6"/>
          <w:sz w:val="24"/>
          <w:lang w:eastAsia="zh-CN"/>
        </w:rPr>
        <w:t>天，</w:t>
      </w:r>
    </w:p>
    <w:p>
      <w:pPr>
        <w:pStyle w:val="5"/>
        <w:spacing w:before="2"/>
        <w:ind w:left="797"/>
        <w:jc w:val="both"/>
        <w:rPr>
          <w:lang w:eastAsia="zh-CN"/>
        </w:rPr>
      </w:pPr>
      <w:r>
        <w:rPr>
          <w:lang w:eastAsia="zh-CN"/>
        </w:rPr>
        <w:t xml:space="preserve">每天 </w:t>
      </w:r>
      <w:r>
        <w:rPr>
          <w:rFonts w:ascii="Times New Roman" w:eastAsia="Times New Roman"/>
          <w:lang w:eastAsia="zh-CN"/>
        </w:rPr>
        <w:t xml:space="preserve">24 </w:t>
      </w:r>
      <w:r>
        <w:rPr>
          <w:lang w:eastAsia="zh-CN"/>
        </w:rPr>
        <w:t>小时，下同）技术支持、故障处理升级服务；应在收到买方</w:t>
      </w:r>
    </w:p>
    <w:p>
      <w:pPr>
        <w:pStyle w:val="5"/>
        <w:spacing w:before="160" w:line="364" w:lineRule="auto"/>
        <w:ind w:left="797" w:right="1157"/>
        <w:jc w:val="both"/>
        <w:rPr>
          <w:lang w:eastAsia="zh-CN"/>
        </w:rPr>
      </w:pPr>
      <w:r>
        <w:rPr>
          <w:spacing w:val="-10"/>
          <w:lang w:eastAsia="zh-CN"/>
        </w:rPr>
        <w:t xml:space="preserve">通知后，在 </w:t>
      </w:r>
      <w:r>
        <w:rPr>
          <w:rFonts w:ascii="Times New Roman" w:eastAsia="Times New Roman"/>
          <w:lang w:eastAsia="zh-CN"/>
        </w:rPr>
        <w:t xml:space="preserve">15 </w:t>
      </w:r>
      <w:r>
        <w:rPr>
          <w:spacing w:val="-5"/>
          <w:lang w:eastAsia="zh-CN"/>
        </w:rPr>
        <w:t xml:space="preserve">分钟内做出实质性响应在 </w:t>
      </w:r>
      <w:r>
        <w:rPr>
          <w:rFonts w:ascii="Times New Roman" w:eastAsia="Times New Roman"/>
          <w:lang w:eastAsia="zh-CN"/>
        </w:rPr>
        <w:t xml:space="preserve">60 </w:t>
      </w:r>
      <w:r>
        <w:rPr>
          <w:spacing w:val="-5"/>
          <w:lang w:eastAsia="zh-CN"/>
        </w:rPr>
        <w:t xml:space="preserve">分钟内到达现场，并在 </w:t>
      </w:r>
      <w:r>
        <w:rPr>
          <w:rFonts w:ascii="Times New Roman" w:eastAsia="Times New Roman"/>
          <w:lang w:eastAsia="zh-CN"/>
        </w:rPr>
        <w:t xml:space="preserve">24 </w:t>
      </w:r>
      <w:r>
        <w:rPr>
          <w:spacing w:val="-3"/>
          <w:lang w:eastAsia="zh-CN"/>
        </w:rPr>
        <w:t>小时内解</w:t>
      </w:r>
      <w:r>
        <w:rPr>
          <w:spacing w:val="-10"/>
          <w:lang w:eastAsia="zh-CN"/>
        </w:rPr>
        <w:t>决故障。如超过上述要求，保证系统设备正常运转。因此</w:t>
      </w:r>
      <w:r>
        <w:rPr>
          <w:lang w:eastAsia="zh-CN"/>
        </w:rPr>
        <w:t>给买方造成的损失，买方保留索赔的权利。</w:t>
      </w:r>
    </w:p>
    <w:p>
      <w:pPr>
        <w:pStyle w:val="11"/>
        <w:numPr>
          <w:ilvl w:val="0"/>
          <w:numId w:val="9"/>
        </w:numPr>
        <w:tabs>
          <w:tab w:val="left" w:pos="1640"/>
        </w:tabs>
        <w:spacing w:before="2" w:line="364" w:lineRule="auto"/>
        <w:ind w:left="797" w:right="1157" w:firstLine="480"/>
        <w:jc w:val="both"/>
        <w:rPr>
          <w:sz w:val="24"/>
          <w:lang w:eastAsia="zh-CN"/>
        </w:rPr>
      </w:pPr>
      <w:r>
        <w:rPr>
          <w:spacing w:val="-1"/>
          <w:sz w:val="24"/>
          <w:lang w:eastAsia="zh-CN"/>
        </w:rPr>
        <w:t>卖方所提供货物的技术规格应与投标文件技术规格规定的标准相一致或</w:t>
      </w:r>
      <w:r>
        <w:rPr>
          <w:spacing w:val="-8"/>
          <w:sz w:val="24"/>
          <w:lang w:eastAsia="zh-CN"/>
        </w:rPr>
        <w:t>优于投标文件技术规格。若技术规格中无相应规定，货物则应符合相应的国内外</w:t>
      </w:r>
      <w:r>
        <w:rPr>
          <w:sz w:val="24"/>
          <w:lang w:eastAsia="zh-CN"/>
        </w:rPr>
        <w:t>标准或买方同意认可的相应的正式标准。</w:t>
      </w:r>
    </w:p>
    <w:p>
      <w:pPr>
        <w:pStyle w:val="11"/>
        <w:numPr>
          <w:ilvl w:val="0"/>
          <w:numId w:val="9"/>
        </w:numPr>
        <w:tabs>
          <w:tab w:val="left" w:pos="1641"/>
        </w:tabs>
        <w:spacing w:before="2" w:line="364" w:lineRule="auto"/>
        <w:ind w:right="1065" w:firstLine="480"/>
        <w:rPr>
          <w:sz w:val="24"/>
          <w:lang w:eastAsia="zh-CN"/>
        </w:rPr>
      </w:pPr>
      <w:r>
        <w:rPr>
          <w:sz w:val="24"/>
          <w:lang w:eastAsia="zh-CN"/>
        </w:rPr>
        <w:t>关于专利技术和计算机软件著作权：卖方须保障买方使用其设备和软件</w:t>
      </w:r>
      <w:r>
        <w:rPr>
          <w:spacing w:val="-1"/>
          <w:sz w:val="24"/>
          <w:lang w:eastAsia="zh-CN"/>
        </w:rPr>
        <w:t>时，不受到第三方关于侵犯计算机软件著作权、设计、工艺、方案、技术资料、</w:t>
      </w:r>
      <w:r>
        <w:rPr>
          <w:sz w:val="24"/>
          <w:lang w:eastAsia="zh-CN"/>
        </w:rPr>
        <w:t>软件、商标、专利、外协产品等一切知识产权方面的指责</w:t>
      </w:r>
      <w:r>
        <w:rPr>
          <w:rFonts w:ascii="Times New Roman" w:eastAsia="Times New Roman"/>
          <w:sz w:val="24"/>
          <w:lang w:eastAsia="zh-CN"/>
        </w:rPr>
        <w:t>/</w:t>
      </w:r>
      <w:r>
        <w:rPr>
          <w:sz w:val="24"/>
          <w:lang w:eastAsia="zh-CN"/>
        </w:rPr>
        <w:t>指控。任何第三方如果提出侵权指责</w:t>
      </w:r>
      <w:r>
        <w:rPr>
          <w:rFonts w:ascii="Times New Roman" w:eastAsia="Times New Roman"/>
          <w:sz w:val="24"/>
          <w:lang w:eastAsia="zh-CN"/>
        </w:rPr>
        <w:t>/</w:t>
      </w:r>
      <w:r>
        <w:rPr>
          <w:sz w:val="24"/>
          <w:lang w:eastAsia="zh-CN"/>
        </w:rPr>
        <w:t>指控，卖方必须承担由此产生的一切索赔和责任。</w:t>
      </w:r>
    </w:p>
    <w:p>
      <w:pPr>
        <w:spacing w:line="364" w:lineRule="auto"/>
        <w:rPr>
          <w:sz w:val="24"/>
          <w:lang w:eastAsia="zh-CN"/>
        </w:rPr>
        <w:sectPr>
          <w:pgSz w:w="11910" w:h="16840"/>
          <w:pgMar w:top="1440" w:right="640" w:bottom="280" w:left="1000" w:header="720" w:footer="720" w:gutter="0"/>
          <w:cols w:space="720" w:num="1"/>
        </w:sectPr>
      </w:pPr>
    </w:p>
    <w:p>
      <w:pPr>
        <w:pStyle w:val="11"/>
        <w:numPr>
          <w:ilvl w:val="0"/>
          <w:numId w:val="9"/>
        </w:numPr>
        <w:tabs>
          <w:tab w:val="left" w:pos="1639"/>
        </w:tabs>
        <w:spacing w:before="62" w:line="364" w:lineRule="auto"/>
        <w:ind w:left="797" w:right="1157" w:firstLine="480"/>
        <w:jc w:val="both"/>
        <w:rPr>
          <w:sz w:val="24"/>
          <w:lang w:eastAsia="zh-CN"/>
        </w:rPr>
      </w:pPr>
      <w:r>
        <w:rPr>
          <w:spacing w:val="-1"/>
          <w:sz w:val="24"/>
          <w:lang w:eastAsia="zh-CN"/>
        </w:rPr>
        <w:t>除招标文件的技术规格及要求中另有规定外，卖方应准备与本合同货物</w:t>
      </w:r>
      <w:r>
        <w:rPr>
          <w:spacing w:val="-6"/>
          <w:sz w:val="24"/>
          <w:lang w:eastAsia="zh-CN"/>
        </w:rPr>
        <w:t>相符的技术资料一式二套，包括但不限于产品样品、操作手册、使用说明、维修</w:t>
      </w:r>
      <w:r>
        <w:rPr>
          <w:spacing w:val="-9"/>
          <w:sz w:val="24"/>
          <w:lang w:eastAsia="zh-CN"/>
        </w:rPr>
        <w:t>指南或服务手册等，随每批货物一起发运给买方。如本条款所述资料不完整或丢</w:t>
      </w:r>
      <w:r>
        <w:rPr>
          <w:sz w:val="24"/>
          <w:lang w:eastAsia="zh-CN"/>
        </w:rPr>
        <w:t>失，卖方应在收到买方通知后立即免费另寄。</w:t>
      </w:r>
    </w:p>
    <w:p>
      <w:pPr>
        <w:pStyle w:val="11"/>
        <w:numPr>
          <w:ilvl w:val="0"/>
          <w:numId w:val="9"/>
        </w:numPr>
        <w:tabs>
          <w:tab w:val="left" w:pos="1643"/>
        </w:tabs>
        <w:spacing w:before="2" w:line="364" w:lineRule="auto"/>
        <w:ind w:right="1143" w:firstLine="480"/>
        <w:jc w:val="both"/>
        <w:rPr>
          <w:sz w:val="24"/>
          <w:lang w:eastAsia="zh-CN"/>
        </w:rPr>
      </w:pPr>
      <w:r>
        <w:rPr>
          <w:spacing w:val="-1"/>
          <w:sz w:val="24"/>
          <w:lang w:eastAsia="zh-CN"/>
        </w:rPr>
        <w:t>关于技术规范：卖方提供的货物应符合招标文件的技术规格及要求，若</w:t>
      </w:r>
      <w:r>
        <w:rPr>
          <w:spacing w:val="-22"/>
          <w:sz w:val="24"/>
          <w:lang w:eastAsia="zh-CN"/>
        </w:rPr>
        <w:t>技术要求中无相应说明，应符合国家有关部门最新颁布的相应标准和规范及有效的产品认证文件。</w:t>
      </w:r>
    </w:p>
    <w:p>
      <w:pPr>
        <w:pStyle w:val="11"/>
        <w:numPr>
          <w:ilvl w:val="0"/>
          <w:numId w:val="9"/>
        </w:numPr>
        <w:tabs>
          <w:tab w:val="left" w:pos="1680"/>
        </w:tabs>
        <w:spacing w:before="2"/>
        <w:ind w:left="1679" w:hanging="362"/>
        <w:rPr>
          <w:sz w:val="24"/>
          <w:lang w:eastAsia="zh-CN"/>
        </w:rPr>
      </w:pPr>
      <w:r>
        <w:rPr>
          <w:sz w:val="24"/>
          <w:lang w:eastAsia="zh-CN"/>
        </w:rPr>
        <w:t>如若选用原装进口设备，卖方必须提供下列证明文件：</w:t>
      </w:r>
    </w:p>
    <w:p>
      <w:pPr>
        <w:pStyle w:val="5"/>
        <w:spacing w:before="161" w:line="364" w:lineRule="auto"/>
        <w:ind w:right="1037" w:firstLine="480"/>
        <w:rPr>
          <w:lang w:eastAsia="zh-CN"/>
        </w:rPr>
      </w:pPr>
      <w:r>
        <w:rPr>
          <w:rFonts w:ascii="Times New Roman" w:eastAsia="Times New Roman"/>
          <w:spacing w:val="-1"/>
          <w:lang w:eastAsia="zh-CN"/>
        </w:rPr>
        <w:t>a</w:t>
      </w:r>
      <w:r>
        <w:rPr>
          <w:spacing w:val="-4"/>
          <w:lang w:eastAsia="zh-CN"/>
        </w:rPr>
        <w:t>．原产地证书；</w:t>
      </w:r>
      <w:r>
        <w:rPr>
          <w:rFonts w:ascii="Times New Roman" w:eastAsia="Times New Roman"/>
          <w:lang w:eastAsia="zh-CN"/>
        </w:rPr>
        <w:t>b</w:t>
      </w:r>
      <w:r>
        <w:rPr>
          <w:spacing w:val="-4"/>
          <w:lang w:eastAsia="zh-CN"/>
        </w:rPr>
        <w:t>．生产厂质量保证书；</w:t>
      </w:r>
      <w:r>
        <w:rPr>
          <w:rFonts w:ascii="Times New Roman" w:eastAsia="Times New Roman"/>
          <w:spacing w:val="1"/>
          <w:lang w:eastAsia="zh-CN"/>
        </w:rPr>
        <w:t>c</w:t>
      </w:r>
      <w:r>
        <w:rPr>
          <w:spacing w:val="-5"/>
          <w:lang w:eastAsia="zh-CN"/>
        </w:rPr>
        <w:t>．装箱单；</w:t>
      </w:r>
      <w:r>
        <w:rPr>
          <w:rFonts w:ascii="Times New Roman" w:eastAsia="Times New Roman"/>
          <w:lang w:eastAsia="zh-CN"/>
        </w:rPr>
        <w:t>d</w:t>
      </w:r>
      <w:r>
        <w:rPr>
          <w:spacing w:val="-5"/>
          <w:lang w:eastAsia="zh-CN"/>
        </w:rPr>
        <w:t>．船运单</w:t>
      </w:r>
      <w:r>
        <w:rPr>
          <w:lang w:eastAsia="zh-CN"/>
        </w:rPr>
        <w:t>（</w:t>
      </w:r>
      <w:r>
        <w:rPr>
          <w:spacing w:val="-1"/>
          <w:lang w:eastAsia="zh-CN"/>
        </w:rPr>
        <w:t>复印件</w:t>
      </w:r>
      <w:r>
        <w:rPr>
          <w:spacing w:val="-126"/>
          <w:lang w:eastAsia="zh-CN"/>
        </w:rPr>
        <w:t>）</w:t>
      </w:r>
      <w:r>
        <w:rPr>
          <w:spacing w:val="-6"/>
          <w:lang w:eastAsia="zh-CN"/>
        </w:rPr>
        <w:t>；</w:t>
      </w:r>
      <w:r>
        <w:rPr>
          <w:lang w:eastAsia="zh-CN"/>
        </w:rPr>
        <w:t xml:space="preserve"> </w:t>
      </w:r>
      <w:r>
        <w:rPr>
          <w:rFonts w:ascii="Times New Roman" w:eastAsia="Times New Roman"/>
          <w:spacing w:val="-1"/>
          <w:lang w:eastAsia="zh-CN"/>
        </w:rPr>
        <w:t>e</w:t>
      </w:r>
      <w:r>
        <w:rPr>
          <w:spacing w:val="-4"/>
          <w:lang w:eastAsia="zh-CN"/>
        </w:rPr>
        <w:t>．中华人民共和国海关报关单</w:t>
      </w:r>
      <w:r>
        <w:rPr>
          <w:lang w:eastAsia="zh-CN"/>
        </w:rPr>
        <w:t>（复印件</w:t>
      </w:r>
      <w:r>
        <w:rPr>
          <w:spacing w:val="-120"/>
          <w:lang w:eastAsia="zh-CN"/>
        </w:rPr>
        <w:t>）</w:t>
      </w:r>
      <w:r>
        <w:rPr>
          <w:spacing w:val="-8"/>
          <w:lang w:eastAsia="zh-CN"/>
        </w:rPr>
        <w:t>；</w:t>
      </w:r>
      <w:r>
        <w:rPr>
          <w:rFonts w:ascii="Times New Roman" w:eastAsia="Times New Roman"/>
          <w:spacing w:val="-1"/>
          <w:lang w:eastAsia="zh-CN"/>
        </w:rPr>
        <w:t>f</w:t>
      </w:r>
      <w:r>
        <w:rPr>
          <w:spacing w:val="-4"/>
          <w:lang w:eastAsia="zh-CN"/>
        </w:rPr>
        <w:t>．中华人民共和国商检证明；</w:t>
      </w:r>
      <w:r>
        <w:rPr>
          <w:rFonts w:ascii="Times New Roman" w:eastAsia="Times New Roman"/>
          <w:lang w:eastAsia="zh-CN"/>
        </w:rPr>
        <w:t>g</w:t>
      </w:r>
      <w:r>
        <w:rPr>
          <w:spacing w:val="-3"/>
          <w:lang w:eastAsia="zh-CN"/>
        </w:rPr>
        <w:t>．其他文件。</w:t>
      </w:r>
    </w:p>
    <w:p>
      <w:pPr>
        <w:pStyle w:val="11"/>
        <w:numPr>
          <w:ilvl w:val="0"/>
          <w:numId w:val="9"/>
        </w:numPr>
        <w:tabs>
          <w:tab w:val="left" w:pos="1804"/>
        </w:tabs>
        <w:spacing w:before="160" w:line="364" w:lineRule="auto"/>
        <w:ind w:left="1078" w:right="1157" w:firstLine="240"/>
        <w:jc w:val="both"/>
        <w:rPr>
          <w:sz w:val="24"/>
          <w:lang w:eastAsia="zh-CN"/>
        </w:rPr>
      </w:pPr>
      <w:r>
        <w:rPr>
          <w:sz w:val="24"/>
          <w:lang w:eastAsia="zh-CN"/>
        </w:rPr>
        <w:t>卖方所提供的设备除特定的外接设备外，所有软、硬件（包括但不限于接口设备、缆线、网线、标签、软件、控制器以及其他招标文件中未列出而系统实施又必需的软件、硬件等）均需配齐，以构成一套完整、实用的系统。另外，设备的用电保护标准应高于一般的线路保护标准，保护设备由卖方提供。</w:t>
      </w:r>
    </w:p>
    <w:p>
      <w:pPr>
        <w:pStyle w:val="11"/>
        <w:numPr>
          <w:ilvl w:val="0"/>
          <w:numId w:val="9"/>
        </w:numPr>
        <w:tabs>
          <w:tab w:val="left" w:pos="1790"/>
        </w:tabs>
        <w:spacing w:before="3"/>
        <w:ind w:left="1789" w:hanging="472"/>
        <w:rPr>
          <w:sz w:val="24"/>
          <w:lang w:eastAsia="zh-CN"/>
        </w:rPr>
      </w:pPr>
      <w:r>
        <w:rPr>
          <w:sz w:val="24"/>
          <w:lang w:eastAsia="zh-CN"/>
        </w:rPr>
        <w:t>买方保留要求卖方更改设备软硬件组件的权利。</w:t>
      </w:r>
    </w:p>
    <w:p>
      <w:pPr>
        <w:pStyle w:val="5"/>
        <w:spacing w:before="12"/>
        <w:ind w:left="0"/>
        <w:rPr>
          <w:sz w:val="32"/>
          <w:lang w:eastAsia="zh-CN"/>
        </w:rPr>
      </w:pPr>
    </w:p>
    <w:p>
      <w:pPr>
        <w:pStyle w:val="4"/>
        <w:spacing w:before="1"/>
        <w:ind w:right="1293"/>
        <w:rPr>
          <w:lang w:eastAsia="zh-CN"/>
        </w:rPr>
      </w:pPr>
      <w:bookmarkStart w:id="8" w:name="第九条包装和运输"/>
      <w:bookmarkEnd w:id="8"/>
      <w:r>
        <w:rPr>
          <w:lang w:eastAsia="zh-CN"/>
        </w:rPr>
        <w:t>第九条包装和运输</w:t>
      </w:r>
    </w:p>
    <w:p>
      <w:pPr>
        <w:pStyle w:val="5"/>
        <w:spacing w:before="9"/>
        <w:ind w:left="0"/>
        <w:rPr>
          <w:b/>
          <w:sz w:val="32"/>
          <w:lang w:eastAsia="zh-CN"/>
        </w:rPr>
      </w:pPr>
    </w:p>
    <w:p>
      <w:pPr>
        <w:pStyle w:val="11"/>
        <w:tabs>
          <w:tab w:val="left" w:pos="1641"/>
        </w:tabs>
        <w:spacing w:line="364" w:lineRule="auto"/>
        <w:ind w:left="1280" w:right="1160" w:firstLine="0"/>
        <w:rPr>
          <w:sz w:val="24"/>
          <w:lang w:eastAsia="zh-CN"/>
        </w:rPr>
      </w:pPr>
      <w:r>
        <w:rPr>
          <w:rFonts w:hint="eastAsia"/>
          <w:sz w:val="24"/>
          <w:lang w:eastAsia="zh-CN"/>
        </w:rPr>
        <w:t>1</w:t>
      </w:r>
      <w:r>
        <w:rPr>
          <w:sz w:val="24"/>
          <w:lang w:eastAsia="zh-CN"/>
        </w:rPr>
        <w:t>.由卖方负责完成货物运输过程中的全部工作内容（</w:t>
      </w:r>
      <w:r>
        <w:rPr>
          <w:spacing w:val="-2"/>
          <w:sz w:val="24"/>
          <w:lang w:eastAsia="zh-CN"/>
        </w:rPr>
        <w:t>包括装卸、运输、保</w:t>
      </w:r>
      <w:r>
        <w:rPr>
          <w:sz w:val="24"/>
          <w:lang w:eastAsia="zh-CN"/>
        </w:rPr>
        <w:t>险等）并安全送达买方指定的交货地点。</w:t>
      </w:r>
    </w:p>
    <w:p>
      <w:pPr>
        <w:pStyle w:val="5"/>
        <w:spacing w:before="2" w:line="364" w:lineRule="auto"/>
        <w:ind w:right="1160" w:firstLine="480"/>
        <w:rPr>
          <w:lang w:eastAsia="zh-CN"/>
        </w:rPr>
      </w:pPr>
      <w:r>
        <w:rPr>
          <w:rFonts w:ascii="Times New Roman" w:eastAsia="Times New Roman"/>
          <w:lang w:eastAsia="zh-CN"/>
        </w:rPr>
        <w:t>2.</w:t>
      </w:r>
      <w:r>
        <w:rPr>
          <w:lang w:eastAsia="zh-CN"/>
        </w:rPr>
        <w:t>货物在交付给买方之前的风险由卖方承担；交付给买方之后的风险由买方承担。</w:t>
      </w:r>
    </w:p>
    <w:p>
      <w:pPr>
        <w:pStyle w:val="5"/>
        <w:spacing w:before="6"/>
        <w:ind w:left="0"/>
        <w:rPr>
          <w:sz w:val="20"/>
          <w:lang w:eastAsia="zh-CN"/>
        </w:rPr>
      </w:pPr>
    </w:p>
    <w:p>
      <w:pPr>
        <w:pStyle w:val="4"/>
        <w:ind w:right="1293"/>
      </w:pPr>
      <w:bookmarkStart w:id="9" w:name="第十条检验和验收"/>
      <w:bookmarkEnd w:id="9"/>
      <w:r>
        <w:t>第十条检验和验收</w:t>
      </w:r>
    </w:p>
    <w:p>
      <w:pPr>
        <w:pStyle w:val="5"/>
        <w:spacing w:before="10"/>
        <w:ind w:left="0"/>
        <w:rPr>
          <w:b/>
          <w:sz w:val="32"/>
        </w:rPr>
      </w:pPr>
    </w:p>
    <w:p>
      <w:pPr>
        <w:pStyle w:val="11"/>
        <w:numPr>
          <w:ilvl w:val="0"/>
          <w:numId w:val="10"/>
        </w:numPr>
        <w:tabs>
          <w:tab w:val="left" w:pos="1580"/>
        </w:tabs>
        <w:spacing w:before="3"/>
        <w:ind w:left="1580" w:hanging="300"/>
        <w:rPr>
          <w:sz w:val="24"/>
        </w:rPr>
      </w:pPr>
      <w:r>
        <w:rPr>
          <w:sz w:val="24"/>
        </w:rPr>
        <w:t>验收</w:t>
      </w:r>
    </w:p>
    <w:p>
      <w:pPr>
        <w:pStyle w:val="11"/>
        <w:numPr>
          <w:ilvl w:val="0"/>
          <w:numId w:val="11"/>
        </w:numPr>
        <w:tabs>
          <w:tab w:val="left" w:pos="1881"/>
        </w:tabs>
        <w:spacing w:before="160" w:line="364" w:lineRule="auto"/>
        <w:ind w:right="1160" w:firstLine="480"/>
        <w:rPr>
          <w:sz w:val="24"/>
          <w:lang w:eastAsia="zh-CN"/>
        </w:rPr>
      </w:pPr>
      <w:r>
        <w:rPr>
          <w:spacing w:val="-1"/>
          <w:sz w:val="24"/>
          <w:lang w:eastAsia="zh-CN"/>
        </w:rPr>
        <w:t>验收是指由买方和卖方按照本合同的约定对项目进行验收直至验收合</w:t>
      </w:r>
      <w:r>
        <w:rPr>
          <w:sz w:val="24"/>
          <w:lang w:eastAsia="zh-CN"/>
        </w:rPr>
        <w:t>格的全过程。</w:t>
      </w:r>
    </w:p>
    <w:p>
      <w:pPr>
        <w:pStyle w:val="11"/>
        <w:numPr>
          <w:ilvl w:val="0"/>
          <w:numId w:val="11"/>
        </w:numPr>
        <w:tabs>
          <w:tab w:val="left" w:pos="1881"/>
        </w:tabs>
        <w:spacing w:before="2" w:line="364" w:lineRule="auto"/>
        <w:ind w:right="1157" w:firstLine="480"/>
        <w:rPr>
          <w:sz w:val="24"/>
          <w:lang w:eastAsia="zh-CN"/>
        </w:rPr>
      </w:pPr>
      <w:r>
        <w:rPr>
          <w:spacing w:val="-1"/>
          <w:sz w:val="24"/>
          <w:lang w:eastAsia="zh-CN"/>
        </w:rPr>
        <w:t>验收标准执行有关机构最新颁布的国家标准、规范、产品认证和招标</w:t>
      </w:r>
      <w:r>
        <w:rPr>
          <w:sz w:val="24"/>
          <w:lang w:eastAsia="zh-CN"/>
        </w:rPr>
        <w:t>文件中有关验收的相关条款。</w:t>
      </w:r>
    </w:p>
    <w:p>
      <w:pPr>
        <w:pStyle w:val="11"/>
        <w:numPr>
          <w:ilvl w:val="0"/>
          <w:numId w:val="11"/>
        </w:numPr>
        <w:tabs>
          <w:tab w:val="left" w:pos="1881"/>
        </w:tabs>
        <w:spacing w:line="364" w:lineRule="auto"/>
        <w:ind w:right="1037" w:firstLine="480"/>
        <w:rPr>
          <w:sz w:val="24"/>
          <w:lang w:eastAsia="zh-CN"/>
        </w:rPr>
      </w:pPr>
      <w:r>
        <w:rPr>
          <w:spacing w:val="-3"/>
          <w:sz w:val="24"/>
          <w:lang w:eastAsia="zh-CN"/>
        </w:rPr>
        <w:t>卖方应在验收前向买方提供完善的验收资料，包括但不限于安装指南</w:t>
      </w:r>
      <w:r>
        <w:rPr>
          <w:spacing w:val="-4"/>
          <w:sz w:val="24"/>
          <w:lang w:eastAsia="zh-CN"/>
        </w:rPr>
        <w:t>、操作维护手册、验收报告等。</w:t>
      </w:r>
    </w:p>
    <w:p>
      <w:pPr>
        <w:pStyle w:val="11"/>
        <w:numPr>
          <w:ilvl w:val="0"/>
          <w:numId w:val="11"/>
        </w:numPr>
        <w:tabs>
          <w:tab w:val="left" w:pos="1881"/>
        </w:tabs>
        <w:ind w:left="1881"/>
        <w:rPr>
          <w:sz w:val="24"/>
        </w:rPr>
      </w:pPr>
      <w:r>
        <w:rPr>
          <w:sz w:val="24"/>
        </w:rPr>
        <w:t>验收程序：</w:t>
      </w:r>
    </w:p>
    <w:p>
      <w:pPr>
        <w:pStyle w:val="5"/>
        <w:spacing w:before="2" w:line="364" w:lineRule="auto"/>
        <w:ind w:right="1037" w:firstLine="480"/>
        <w:rPr>
          <w:lang w:eastAsia="zh-CN"/>
        </w:rPr>
      </w:pPr>
      <w:r>
        <w:rPr>
          <w:rFonts w:ascii="Times New Roman" w:eastAsia="Times New Roman"/>
          <w:lang w:eastAsia="zh-CN"/>
        </w:rPr>
        <w:t xml:space="preserve">1. </w:t>
      </w:r>
      <w:r>
        <w:rPr>
          <w:spacing w:val="-5"/>
          <w:lang w:eastAsia="zh-CN"/>
        </w:rPr>
        <w:t>卖方完成系统集成并投入试运行后，买卖双方对设备及系统的运行情况共</w:t>
      </w:r>
      <w:r>
        <w:rPr>
          <w:spacing w:val="-17"/>
          <w:lang w:eastAsia="zh-CN"/>
        </w:rPr>
        <w:t xml:space="preserve">同进行最终验收，经验收合格的，买卖双方在最终验收单上共同签字、盖章确认； </w:t>
      </w:r>
      <w:r>
        <w:rPr>
          <w:spacing w:val="-7"/>
          <w:lang w:eastAsia="zh-CN"/>
        </w:rPr>
        <w:t>经验收不合格的，卖方应及时进行整改，直至最终验收合格，因此逾期完成项目的，按照本合同的约定承担违约责任</w:t>
      </w:r>
    </w:p>
    <w:p>
      <w:pPr>
        <w:pStyle w:val="11"/>
        <w:numPr>
          <w:ilvl w:val="0"/>
          <w:numId w:val="10"/>
        </w:numPr>
        <w:tabs>
          <w:tab w:val="left" w:pos="1641"/>
        </w:tabs>
        <w:spacing w:before="2" w:line="364" w:lineRule="auto"/>
        <w:ind w:left="800" w:right="1037" w:firstLine="480"/>
        <w:rPr>
          <w:sz w:val="24"/>
          <w:lang w:eastAsia="zh-CN"/>
        </w:rPr>
      </w:pPr>
      <w:r>
        <w:rPr>
          <w:sz w:val="24"/>
          <w:lang w:eastAsia="zh-CN"/>
        </w:rPr>
        <w:t>买方有权派出技术专家对本合同项下的货物的制造过程进行抽查或监造</w:t>
      </w:r>
      <w:r>
        <w:rPr>
          <w:spacing w:val="-4"/>
          <w:sz w:val="24"/>
          <w:lang w:eastAsia="zh-CN"/>
        </w:rPr>
        <w:t>，以及参与设备的性能检验和试验运行。卖方有义务提供方便和配合。</w:t>
      </w:r>
    </w:p>
    <w:p>
      <w:pPr>
        <w:pStyle w:val="5"/>
        <w:spacing w:before="7"/>
        <w:ind w:left="0"/>
        <w:rPr>
          <w:sz w:val="20"/>
          <w:lang w:eastAsia="zh-CN"/>
        </w:rPr>
      </w:pPr>
    </w:p>
    <w:p>
      <w:pPr>
        <w:pStyle w:val="4"/>
        <w:ind w:right="1296"/>
        <w:rPr>
          <w:lang w:eastAsia="zh-CN"/>
        </w:rPr>
      </w:pPr>
      <w:bookmarkStart w:id="10" w:name="第十一条保修及售后服务"/>
      <w:bookmarkEnd w:id="10"/>
      <w:r>
        <w:rPr>
          <w:lang w:eastAsia="zh-CN"/>
        </w:rPr>
        <w:t>第十一条保修及售后服务</w:t>
      </w:r>
    </w:p>
    <w:p>
      <w:pPr>
        <w:pStyle w:val="5"/>
        <w:spacing w:before="9"/>
        <w:ind w:left="0"/>
        <w:rPr>
          <w:b/>
          <w:sz w:val="32"/>
          <w:lang w:eastAsia="zh-CN"/>
        </w:rPr>
      </w:pPr>
    </w:p>
    <w:p>
      <w:pPr>
        <w:pStyle w:val="5"/>
        <w:spacing w:before="1" w:line="364" w:lineRule="auto"/>
        <w:ind w:right="1037" w:firstLine="480"/>
        <w:rPr>
          <w:lang w:eastAsia="zh-CN"/>
        </w:rPr>
      </w:pPr>
      <w:r>
        <w:rPr>
          <w:rFonts w:ascii="Times New Roman" w:eastAsia="Times New Roman"/>
          <w:lang w:eastAsia="zh-CN"/>
        </w:rPr>
        <w:t>1</w:t>
      </w:r>
      <w:r>
        <w:rPr>
          <w:lang w:eastAsia="zh-CN"/>
        </w:rPr>
        <w:t>、卖方要有全国统一的售后服务流程和响应体系，应对所提供的软、硬件</w:t>
      </w:r>
      <w:r>
        <w:rPr>
          <w:spacing w:val="-7"/>
          <w:lang w:eastAsia="zh-CN"/>
        </w:rPr>
        <w:t>系统提供服务热线，随时解决所发生的问题。如发生紧急故障，要求卖方技术维护人员</w:t>
      </w:r>
      <w:r>
        <w:rPr>
          <w:rFonts w:ascii="Times New Roman" w:eastAsia="Times New Roman"/>
          <w:spacing w:val="-7"/>
          <w:lang w:eastAsia="zh-CN"/>
        </w:rPr>
        <w:t>15</w:t>
      </w:r>
      <w:r>
        <w:rPr>
          <w:spacing w:val="-18"/>
          <w:lang w:eastAsia="zh-CN"/>
        </w:rPr>
        <w:t>分钟内响应、</w:t>
      </w:r>
      <w:r>
        <w:rPr>
          <w:rFonts w:ascii="Times New Roman" w:eastAsia="Times New Roman"/>
          <w:lang w:eastAsia="zh-CN"/>
        </w:rPr>
        <w:t>60</w:t>
      </w:r>
      <w:r>
        <w:rPr>
          <w:spacing w:val="-9"/>
          <w:lang w:eastAsia="zh-CN"/>
        </w:rPr>
        <w:t>分钟内赶到现场、</w:t>
      </w:r>
      <w:r>
        <w:rPr>
          <w:rFonts w:ascii="Times New Roman" w:eastAsia="Times New Roman"/>
          <w:lang w:eastAsia="zh-CN"/>
        </w:rPr>
        <w:t>60</w:t>
      </w:r>
      <w:r>
        <w:rPr>
          <w:spacing w:val="-9"/>
          <w:lang w:eastAsia="zh-CN"/>
        </w:rPr>
        <w:t xml:space="preserve">分钟内解决故障。如超过上述要求， </w:t>
      </w:r>
      <w:r>
        <w:rPr>
          <w:lang w:eastAsia="zh-CN"/>
        </w:rPr>
        <w:t>卖方须提供备用设备，保证系统设备正常运转。</w:t>
      </w:r>
    </w:p>
    <w:p>
      <w:pPr>
        <w:pStyle w:val="5"/>
        <w:spacing w:before="1" w:line="364" w:lineRule="auto"/>
        <w:ind w:right="1037" w:firstLine="480"/>
        <w:rPr>
          <w:lang w:eastAsia="zh-CN"/>
        </w:rPr>
      </w:pPr>
      <w:r>
        <w:rPr>
          <w:lang w:eastAsia="zh-CN"/>
        </w:rPr>
        <w:t>应在买方指定的地点完成下述安装、调试和集成任务：</w:t>
      </w:r>
    </w:p>
    <w:p>
      <w:pPr>
        <w:rPr>
          <w:sz w:val="24"/>
          <w:lang w:eastAsia="zh-CN"/>
        </w:rPr>
        <w:sectPr>
          <w:pgSz w:w="11910" w:h="16840"/>
          <w:pgMar w:top="1440" w:right="640" w:bottom="280" w:left="1000" w:header="720" w:footer="720" w:gutter="0"/>
          <w:cols w:space="720" w:num="1"/>
        </w:sectPr>
      </w:pPr>
    </w:p>
    <w:p>
      <w:pPr>
        <w:pStyle w:val="11"/>
        <w:numPr>
          <w:ilvl w:val="0"/>
          <w:numId w:val="12"/>
        </w:numPr>
        <w:tabs>
          <w:tab w:val="left" w:pos="1821"/>
        </w:tabs>
        <w:spacing w:before="62"/>
        <w:rPr>
          <w:sz w:val="24"/>
          <w:lang w:eastAsia="zh-CN"/>
        </w:rPr>
      </w:pPr>
      <w:r>
        <w:rPr>
          <w:sz w:val="24"/>
          <w:lang w:eastAsia="zh-CN"/>
        </w:rPr>
        <w:t>制定切实可行的项目实施方案；</w:t>
      </w:r>
    </w:p>
    <w:p>
      <w:pPr>
        <w:pStyle w:val="5"/>
        <w:spacing w:before="9"/>
        <w:ind w:left="0"/>
        <w:rPr>
          <w:lang w:eastAsia="zh-CN"/>
        </w:rPr>
      </w:pPr>
    </w:p>
    <w:p>
      <w:pPr>
        <w:pStyle w:val="11"/>
        <w:numPr>
          <w:ilvl w:val="0"/>
          <w:numId w:val="12"/>
        </w:numPr>
        <w:tabs>
          <w:tab w:val="left" w:pos="1821"/>
        </w:tabs>
        <w:spacing w:before="0"/>
        <w:rPr>
          <w:sz w:val="24"/>
          <w:lang w:eastAsia="zh-CN"/>
        </w:rPr>
      </w:pPr>
      <w:r>
        <w:rPr>
          <w:sz w:val="24"/>
          <w:lang w:eastAsia="zh-CN"/>
        </w:rPr>
        <w:t>所有货物交到货后，完成到货验收，并快速实施安装、调试等工作；</w:t>
      </w:r>
    </w:p>
    <w:p>
      <w:pPr>
        <w:pStyle w:val="5"/>
        <w:spacing w:before="9"/>
        <w:ind w:left="0"/>
        <w:rPr>
          <w:lang w:eastAsia="zh-CN"/>
        </w:rPr>
      </w:pPr>
    </w:p>
    <w:p>
      <w:pPr>
        <w:pStyle w:val="11"/>
        <w:numPr>
          <w:ilvl w:val="0"/>
          <w:numId w:val="12"/>
        </w:numPr>
        <w:tabs>
          <w:tab w:val="left" w:pos="1828"/>
        </w:tabs>
        <w:spacing w:before="0" w:line="364" w:lineRule="auto"/>
        <w:ind w:left="1220" w:right="1157" w:firstLine="0"/>
        <w:rPr>
          <w:sz w:val="24"/>
          <w:lang w:eastAsia="zh-CN"/>
        </w:rPr>
      </w:pPr>
      <w:r>
        <w:rPr>
          <w:sz w:val="24"/>
          <w:lang w:eastAsia="zh-CN"/>
        </w:rPr>
        <w:t>在实施过程中，所有相关系统和设备充分联调测试，保证实现所有相关功能。</w:t>
      </w:r>
    </w:p>
    <w:p>
      <w:pPr>
        <w:pStyle w:val="11"/>
        <w:numPr>
          <w:ilvl w:val="0"/>
          <w:numId w:val="12"/>
        </w:numPr>
        <w:tabs>
          <w:tab w:val="left" w:pos="1821"/>
        </w:tabs>
        <w:spacing w:before="157"/>
        <w:rPr>
          <w:sz w:val="24"/>
          <w:lang w:eastAsia="zh-CN"/>
        </w:rPr>
      </w:pPr>
      <w:r>
        <w:rPr>
          <w:sz w:val="24"/>
          <w:lang w:eastAsia="zh-CN"/>
        </w:rPr>
        <w:t>所有安装调试工作结束后，做好验收准备，并配合买方完成验收。</w:t>
      </w:r>
    </w:p>
    <w:p>
      <w:pPr>
        <w:pStyle w:val="5"/>
        <w:spacing w:before="9"/>
        <w:ind w:left="0"/>
        <w:rPr>
          <w:lang w:eastAsia="zh-CN"/>
        </w:rPr>
      </w:pPr>
    </w:p>
    <w:p>
      <w:pPr>
        <w:pStyle w:val="11"/>
        <w:numPr>
          <w:ilvl w:val="0"/>
          <w:numId w:val="13"/>
        </w:numPr>
        <w:tabs>
          <w:tab w:val="left" w:pos="1641"/>
        </w:tabs>
        <w:spacing w:before="0" w:line="364" w:lineRule="auto"/>
        <w:ind w:right="1065" w:firstLine="480"/>
        <w:rPr>
          <w:sz w:val="24"/>
          <w:lang w:eastAsia="zh-CN"/>
        </w:rPr>
      </w:pPr>
      <w:r>
        <w:rPr>
          <w:sz w:val="24"/>
          <w:lang w:eastAsia="zh-CN"/>
        </w:rPr>
        <w:t>卖方应在合同约定的时间内向买方指定的相关单位提供服务，并</w:t>
      </w:r>
      <w:r>
        <w:rPr>
          <w:spacing w:val="-1"/>
          <w:sz w:val="24"/>
          <w:lang w:eastAsia="zh-CN"/>
        </w:rPr>
        <w:t>按照本合同的约定完成方案设计、系统集成、技术支持、运行维护、</w:t>
      </w:r>
      <w:r>
        <w:rPr>
          <w:spacing w:val="-5"/>
          <w:sz w:val="24"/>
          <w:lang w:eastAsia="zh-CN"/>
        </w:rPr>
        <w:t>售后服务等如果卖方不按约定履行各项义务，买方有权退货、索赔或拒付款项。</w:t>
      </w:r>
    </w:p>
    <w:p>
      <w:pPr>
        <w:pStyle w:val="11"/>
        <w:numPr>
          <w:ilvl w:val="0"/>
          <w:numId w:val="13"/>
        </w:numPr>
        <w:tabs>
          <w:tab w:val="left" w:pos="1761"/>
        </w:tabs>
        <w:spacing w:before="158" w:line="364" w:lineRule="auto"/>
        <w:ind w:right="1157" w:firstLine="480"/>
        <w:jc w:val="both"/>
        <w:rPr>
          <w:sz w:val="24"/>
          <w:lang w:eastAsia="zh-CN"/>
        </w:rPr>
      </w:pPr>
      <w:r>
        <w:rPr>
          <w:spacing w:val="-3"/>
          <w:sz w:val="24"/>
          <w:lang w:eastAsia="zh-CN"/>
        </w:rPr>
        <w:t>如果招投标文件或合同对本项目的硬件设备、软件产品的配置或要求</w:t>
      </w:r>
      <w:r>
        <w:rPr>
          <w:spacing w:val="-10"/>
          <w:sz w:val="24"/>
          <w:lang w:eastAsia="zh-CN"/>
        </w:rPr>
        <w:t>存在不合理或不完整的问题，卖方有义务及时提出补充修改方案，在征得买方的</w:t>
      </w:r>
      <w:r>
        <w:rPr>
          <w:spacing w:val="-4"/>
          <w:sz w:val="24"/>
          <w:lang w:eastAsia="zh-CN"/>
        </w:rPr>
        <w:t>同意后付诸实施。</w:t>
      </w:r>
    </w:p>
    <w:p>
      <w:pPr>
        <w:pStyle w:val="5"/>
        <w:spacing w:before="7"/>
        <w:ind w:left="0"/>
        <w:rPr>
          <w:sz w:val="20"/>
          <w:lang w:eastAsia="zh-CN"/>
        </w:rPr>
      </w:pPr>
    </w:p>
    <w:p>
      <w:pPr>
        <w:pStyle w:val="4"/>
        <w:spacing w:before="1"/>
        <w:ind w:right="1296"/>
        <w:rPr>
          <w:lang w:eastAsia="zh-CN"/>
        </w:rPr>
      </w:pPr>
      <w:bookmarkStart w:id="11" w:name="第十二条不可抗力和保险"/>
      <w:bookmarkEnd w:id="11"/>
      <w:r>
        <w:rPr>
          <w:lang w:eastAsia="zh-CN"/>
        </w:rPr>
        <w:t>第十二条不可抗力和保险</w:t>
      </w:r>
    </w:p>
    <w:p>
      <w:pPr>
        <w:pStyle w:val="5"/>
        <w:spacing w:before="9"/>
        <w:ind w:left="0"/>
        <w:rPr>
          <w:b/>
          <w:sz w:val="32"/>
          <w:lang w:eastAsia="zh-CN"/>
        </w:rPr>
      </w:pPr>
    </w:p>
    <w:p>
      <w:pPr>
        <w:pStyle w:val="11"/>
        <w:numPr>
          <w:ilvl w:val="0"/>
          <w:numId w:val="14"/>
        </w:numPr>
        <w:tabs>
          <w:tab w:val="left" w:pos="1641"/>
        </w:tabs>
        <w:spacing w:before="0" w:line="364" w:lineRule="auto"/>
        <w:ind w:right="917" w:firstLine="480"/>
        <w:rPr>
          <w:sz w:val="24"/>
          <w:lang w:eastAsia="zh-CN"/>
        </w:rPr>
      </w:pPr>
      <w:r>
        <w:rPr>
          <w:sz w:val="24"/>
          <w:lang w:eastAsia="zh-CN"/>
        </w:rPr>
        <w:t xml:space="preserve">任何一方由于受诸如战争、严重火灾、洪水、台风、地震等不可抗力的 </w:t>
      </w:r>
      <w:r>
        <w:rPr>
          <w:spacing w:val="-6"/>
          <w:sz w:val="24"/>
          <w:lang w:eastAsia="zh-CN"/>
        </w:rPr>
        <w:t xml:space="preserve">影响而不能按照本合同的约定履行合同义务时，履行合同义务的期限应予以延长， </w:t>
      </w:r>
      <w:r>
        <w:rPr>
          <w:spacing w:val="-5"/>
          <w:sz w:val="24"/>
          <w:lang w:eastAsia="zh-CN"/>
        </w:rPr>
        <w:t xml:space="preserve">延长的期限应相当于受不可抗力事件影响的时间。不可抗力系指双方在缔结和履 </w:t>
      </w:r>
      <w:r>
        <w:rPr>
          <w:spacing w:val="-18"/>
          <w:sz w:val="24"/>
          <w:lang w:eastAsia="zh-CN"/>
        </w:rPr>
        <w:t>行本合同时所不能预见、不能避免的，对它的发生及其后果不能克服的客观情况。</w:t>
      </w:r>
    </w:p>
    <w:p>
      <w:pPr>
        <w:pStyle w:val="11"/>
        <w:numPr>
          <w:ilvl w:val="0"/>
          <w:numId w:val="14"/>
        </w:numPr>
        <w:tabs>
          <w:tab w:val="left" w:pos="1641"/>
        </w:tabs>
        <w:spacing w:before="3" w:line="364" w:lineRule="auto"/>
        <w:ind w:right="1160" w:firstLine="480"/>
        <w:rPr>
          <w:sz w:val="24"/>
          <w:lang w:eastAsia="zh-CN"/>
        </w:rPr>
      </w:pPr>
      <w:r>
        <w:rPr>
          <w:spacing w:val="-1"/>
          <w:sz w:val="24"/>
          <w:lang w:eastAsia="zh-CN"/>
        </w:rPr>
        <w:t>遭受不可抗力的一方应在不可抗力发生后尽快通知对方，并于事故发生</w:t>
      </w:r>
      <w:r>
        <w:rPr>
          <w:spacing w:val="-25"/>
          <w:sz w:val="24"/>
          <w:lang w:eastAsia="zh-CN"/>
        </w:rPr>
        <w:t xml:space="preserve">后 </w:t>
      </w:r>
      <w:r>
        <w:rPr>
          <w:rFonts w:ascii="Times New Roman" w:eastAsia="Times New Roman"/>
          <w:sz w:val="24"/>
          <w:lang w:eastAsia="zh-CN"/>
        </w:rPr>
        <w:t>14</w:t>
      </w:r>
      <w:r>
        <w:rPr>
          <w:rFonts w:ascii="Times New Roman" w:eastAsia="Times New Roman"/>
          <w:spacing w:val="10"/>
          <w:sz w:val="24"/>
          <w:lang w:eastAsia="zh-CN"/>
        </w:rPr>
        <w:t xml:space="preserve"> </w:t>
      </w:r>
      <w:r>
        <w:rPr>
          <w:spacing w:val="-1"/>
          <w:sz w:val="24"/>
          <w:lang w:eastAsia="zh-CN"/>
        </w:rPr>
        <w:t>天内将有关当局出具的书面证明文件用特快专递或挂号信寄给对方审阅确</w:t>
      </w:r>
    </w:p>
    <w:p>
      <w:pPr>
        <w:pStyle w:val="5"/>
        <w:spacing w:before="1" w:line="364" w:lineRule="auto"/>
        <w:ind w:right="1103"/>
        <w:rPr>
          <w:lang w:eastAsia="zh-CN"/>
        </w:rPr>
      </w:pPr>
      <w:r>
        <w:rPr>
          <w:lang w:eastAsia="zh-CN"/>
        </w:rPr>
        <w:t xml:space="preserve">认。一旦不可抗力事件的影响持续 </w:t>
      </w:r>
      <w:r>
        <w:rPr>
          <w:rFonts w:ascii="Times New Roman" w:eastAsia="Times New Roman"/>
          <w:lang w:eastAsia="zh-CN"/>
        </w:rPr>
        <w:t xml:space="preserve">30 </w:t>
      </w:r>
      <w:r>
        <w:rPr>
          <w:lang w:eastAsia="zh-CN"/>
        </w:rPr>
        <w:t>天以上，双方应在合理的时间内通过友好协商达成进一步履行合同或者终止合同的协议。</w:t>
      </w:r>
    </w:p>
    <w:p>
      <w:pPr>
        <w:spacing w:line="364" w:lineRule="auto"/>
        <w:rPr>
          <w:sz w:val="24"/>
          <w:lang w:eastAsia="zh-CN"/>
        </w:rPr>
        <w:sectPr>
          <w:pgSz w:w="11910" w:h="16840"/>
          <w:pgMar w:top="1440" w:right="640" w:bottom="280" w:left="1000" w:header="720" w:footer="720" w:gutter="0"/>
          <w:cols w:space="720" w:num="1"/>
        </w:sectPr>
      </w:pPr>
    </w:p>
    <w:p>
      <w:pPr>
        <w:pStyle w:val="4"/>
        <w:spacing w:before="42"/>
        <w:ind w:right="1293"/>
      </w:pPr>
      <w:bookmarkStart w:id="12" w:name="第十三条保密义务"/>
      <w:bookmarkEnd w:id="12"/>
      <w:r>
        <w:t>第十三条保密义务</w:t>
      </w:r>
    </w:p>
    <w:p>
      <w:pPr>
        <w:pStyle w:val="5"/>
        <w:spacing w:before="12"/>
        <w:ind w:left="0"/>
        <w:rPr>
          <w:b/>
          <w:sz w:val="32"/>
        </w:rPr>
      </w:pPr>
    </w:p>
    <w:p>
      <w:pPr>
        <w:pStyle w:val="11"/>
        <w:numPr>
          <w:ilvl w:val="0"/>
          <w:numId w:val="15"/>
        </w:numPr>
        <w:tabs>
          <w:tab w:val="left" w:pos="1461"/>
        </w:tabs>
        <w:spacing w:before="0" w:line="364" w:lineRule="auto"/>
        <w:ind w:right="1037" w:firstLine="480"/>
        <w:rPr>
          <w:sz w:val="24"/>
          <w:lang w:eastAsia="zh-CN"/>
        </w:rPr>
      </w:pPr>
      <w:r>
        <w:rPr>
          <w:spacing w:val="-7"/>
          <w:sz w:val="24"/>
          <w:lang w:eastAsia="zh-CN"/>
        </w:rPr>
        <w:t>买卖双方在签订和履行本合同过程中从对方获知的所有文件、资料、数据、</w:t>
      </w:r>
      <w:r>
        <w:rPr>
          <w:spacing w:val="-9"/>
          <w:sz w:val="24"/>
          <w:lang w:eastAsia="zh-CN"/>
        </w:rPr>
        <w:t>客户信息、技术信息和商业信息等均属于保密信息，未经对方书面同意，均不得</w:t>
      </w:r>
      <w:r>
        <w:rPr>
          <w:spacing w:val="-13"/>
          <w:sz w:val="24"/>
          <w:lang w:eastAsia="zh-CN"/>
        </w:rPr>
        <w:t>以任何方式用于本合同以外的目的或向任何第三方泄露、出售、出租、转让、许可使用或共享。</w:t>
      </w:r>
    </w:p>
    <w:p>
      <w:pPr>
        <w:pStyle w:val="11"/>
        <w:numPr>
          <w:ilvl w:val="0"/>
          <w:numId w:val="15"/>
        </w:numPr>
        <w:tabs>
          <w:tab w:val="left" w:pos="1461"/>
        </w:tabs>
        <w:spacing w:before="2" w:line="364" w:lineRule="auto"/>
        <w:ind w:right="1157" w:firstLine="480"/>
        <w:jc w:val="both"/>
        <w:rPr>
          <w:sz w:val="24"/>
          <w:lang w:eastAsia="zh-CN"/>
        </w:rPr>
      </w:pPr>
      <w:r>
        <w:rPr>
          <w:spacing w:val="-4"/>
          <w:sz w:val="24"/>
          <w:lang w:eastAsia="zh-CN"/>
        </w:rPr>
        <w:t>本条约定的保密义务永久有效，无论在合同有效期内或合同终止后任何时</w:t>
      </w:r>
      <w:r>
        <w:rPr>
          <w:spacing w:val="-11"/>
          <w:sz w:val="24"/>
          <w:lang w:eastAsia="zh-CN"/>
        </w:rPr>
        <w:t>间，均应遵照执行。任何一方违反本条的约定，给对方造成损失的，违约方应承</w:t>
      </w:r>
      <w:r>
        <w:rPr>
          <w:sz w:val="24"/>
          <w:lang w:eastAsia="zh-CN"/>
        </w:rPr>
        <w:t>担相应的违约责任。</w:t>
      </w:r>
    </w:p>
    <w:p>
      <w:pPr>
        <w:pStyle w:val="5"/>
        <w:spacing w:before="5"/>
        <w:ind w:left="0"/>
        <w:rPr>
          <w:sz w:val="20"/>
          <w:lang w:eastAsia="zh-CN"/>
        </w:rPr>
      </w:pPr>
    </w:p>
    <w:p>
      <w:pPr>
        <w:pStyle w:val="4"/>
        <w:ind w:right="1296"/>
        <w:rPr>
          <w:lang w:eastAsia="zh-CN"/>
        </w:rPr>
      </w:pPr>
      <w:bookmarkStart w:id="13" w:name="第十四条违约责任及索赔"/>
      <w:bookmarkEnd w:id="13"/>
      <w:r>
        <w:rPr>
          <w:lang w:eastAsia="zh-CN"/>
        </w:rPr>
        <w:t>第十四条违约责任及索赔</w:t>
      </w:r>
    </w:p>
    <w:p>
      <w:pPr>
        <w:pStyle w:val="5"/>
        <w:spacing w:before="10"/>
        <w:ind w:left="0"/>
        <w:rPr>
          <w:b/>
          <w:sz w:val="32"/>
          <w:lang w:eastAsia="zh-CN"/>
        </w:rPr>
      </w:pPr>
    </w:p>
    <w:p>
      <w:pPr>
        <w:pStyle w:val="11"/>
        <w:numPr>
          <w:ilvl w:val="0"/>
          <w:numId w:val="16"/>
        </w:numPr>
        <w:tabs>
          <w:tab w:val="left" w:pos="1641"/>
        </w:tabs>
        <w:spacing w:before="0" w:line="364" w:lineRule="auto"/>
        <w:ind w:right="1037" w:firstLine="480"/>
        <w:rPr>
          <w:sz w:val="24"/>
          <w:lang w:eastAsia="zh-CN"/>
        </w:rPr>
      </w:pPr>
      <w:r>
        <w:rPr>
          <w:sz w:val="24"/>
          <w:lang w:eastAsia="zh-CN"/>
        </w:rPr>
        <w:t>卖方未按本合同第一条的约定完成项目的，每迟延一天，按合同总价款</w:t>
      </w:r>
      <w:r>
        <w:rPr>
          <w:spacing w:val="-13"/>
          <w:sz w:val="24"/>
          <w:lang w:eastAsia="zh-CN"/>
        </w:rPr>
        <w:t>的百分之一</w:t>
      </w:r>
      <w:r>
        <w:rPr>
          <w:spacing w:val="-17"/>
          <w:sz w:val="24"/>
          <w:lang w:eastAsia="zh-CN"/>
        </w:rPr>
        <w:t>（</w:t>
      </w:r>
      <w:r>
        <w:rPr>
          <w:rFonts w:ascii="Times New Roman" w:eastAsia="Times New Roman"/>
          <w:spacing w:val="-17"/>
          <w:sz w:val="24"/>
          <w:lang w:eastAsia="zh-CN"/>
        </w:rPr>
        <w:t>1%</w:t>
      </w:r>
      <w:r>
        <w:rPr>
          <w:spacing w:val="-17"/>
          <w:sz w:val="24"/>
          <w:lang w:eastAsia="zh-CN"/>
        </w:rPr>
        <w:t>）</w:t>
      </w:r>
      <w:r>
        <w:rPr>
          <w:spacing w:val="-11"/>
          <w:sz w:val="24"/>
          <w:lang w:eastAsia="zh-CN"/>
        </w:rPr>
        <w:t>计收逾期违约金，当违约金超过合同总价款的百分之十</w:t>
      </w:r>
      <w:r>
        <w:rPr>
          <w:spacing w:val="-3"/>
          <w:sz w:val="24"/>
          <w:lang w:eastAsia="zh-CN"/>
        </w:rPr>
        <w:t>（</w:t>
      </w:r>
      <w:r>
        <w:rPr>
          <w:rFonts w:ascii="Times New Roman" w:eastAsia="Times New Roman"/>
          <w:spacing w:val="-3"/>
          <w:sz w:val="24"/>
          <w:lang w:eastAsia="zh-CN"/>
        </w:rPr>
        <w:t>10%</w:t>
      </w:r>
      <w:r>
        <w:rPr>
          <w:spacing w:val="-3"/>
          <w:sz w:val="24"/>
          <w:lang w:eastAsia="zh-CN"/>
        </w:rPr>
        <w:t xml:space="preserve">） </w:t>
      </w:r>
      <w:r>
        <w:rPr>
          <w:spacing w:val="-5"/>
          <w:sz w:val="24"/>
          <w:lang w:eastAsia="zh-CN"/>
        </w:rPr>
        <w:t>时，买方有权解除合同，并按合同总价款的百分之二十</w:t>
      </w:r>
      <w:r>
        <w:rPr>
          <w:spacing w:val="-3"/>
          <w:sz w:val="24"/>
          <w:lang w:eastAsia="zh-CN"/>
        </w:rPr>
        <w:t>（</w:t>
      </w:r>
      <w:r>
        <w:rPr>
          <w:rFonts w:ascii="Times New Roman" w:eastAsia="Times New Roman"/>
          <w:spacing w:val="-3"/>
          <w:sz w:val="24"/>
          <w:lang w:eastAsia="zh-CN"/>
        </w:rPr>
        <w:t>20%</w:t>
      </w:r>
      <w:r>
        <w:rPr>
          <w:spacing w:val="-3"/>
          <w:sz w:val="24"/>
          <w:lang w:eastAsia="zh-CN"/>
        </w:rPr>
        <w:t>）</w:t>
      </w:r>
      <w:r>
        <w:rPr>
          <w:spacing w:val="-2"/>
          <w:sz w:val="24"/>
          <w:lang w:eastAsia="zh-CN"/>
        </w:rPr>
        <w:t>收取违约金，违约金不足以弥补买方损失的，卖方应负责赔偿给买方造成的一切损失。</w:t>
      </w:r>
    </w:p>
    <w:p>
      <w:pPr>
        <w:pStyle w:val="11"/>
        <w:numPr>
          <w:ilvl w:val="0"/>
          <w:numId w:val="16"/>
        </w:numPr>
        <w:tabs>
          <w:tab w:val="left" w:pos="1461"/>
        </w:tabs>
        <w:spacing w:before="2" w:line="364" w:lineRule="auto"/>
        <w:ind w:right="1157" w:firstLine="480"/>
        <w:jc w:val="both"/>
        <w:rPr>
          <w:sz w:val="24"/>
          <w:lang w:eastAsia="zh-CN"/>
        </w:rPr>
      </w:pPr>
      <w:r>
        <w:rPr>
          <w:spacing w:val="-3"/>
          <w:sz w:val="24"/>
          <w:lang w:eastAsia="zh-CN"/>
        </w:rPr>
        <w:t>卖方未履行本合同约定的其他义务的，除应及时进行整改和补救外，还应</w:t>
      </w:r>
      <w:r>
        <w:rPr>
          <w:spacing w:val="-7"/>
          <w:sz w:val="24"/>
          <w:lang w:eastAsia="zh-CN"/>
        </w:rPr>
        <w:t xml:space="preserve">按照合同总价款的 </w:t>
      </w:r>
      <w:r>
        <w:rPr>
          <w:rFonts w:ascii="Times New Roman" w:eastAsia="Times New Roman"/>
          <w:sz w:val="24"/>
          <w:lang w:eastAsia="zh-CN"/>
        </w:rPr>
        <w:t>10%</w:t>
      </w:r>
      <w:r>
        <w:rPr>
          <w:spacing w:val="-11"/>
          <w:sz w:val="24"/>
          <w:lang w:eastAsia="zh-CN"/>
        </w:rPr>
        <w:t>向买方支付违约金，因此给买方造成损失的，卖方应负责</w:t>
      </w:r>
      <w:r>
        <w:rPr>
          <w:sz w:val="24"/>
          <w:lang w:eastAsia="zh-CN"/>
        </w:rPr>
        <w:t>赔偿全部损失。</w:t>
      </w:r>
    </w:p>
    <w:p>
      <w:pPr>
        <w:pStyle w:val="11"/>
        <w:numPr>
          <w:ilvl w:val="0"/>
          <w:numId w:val="16"/>
        </w:numPr>
        <w:tabs>
          <w:tab w:val="left" w:pos="1461"/>
        </w:tabs>
        <w:spacing w:before="2" w:line="364" w:lineRule="auto"/>
        <w:ind w:right="1157" w:firstLine="480"/>
        <w:jc w:val="both"/>
        <w:rPr>
          <w:sz w:val="24"/>
          <w:lang w:eastAsia="zh-CN"/>
        </w:rPr>
      </w:pPr>
      <w:r>
        <w:rPr>
          <w:rFonts w:hint="eastAsia"/>
          <w:sz w:val="24"/>
          <w:lang w:eastAsia="zh-CN"/>
        </w:rPr>
        <w:t>卖方保证，合同未履行完毕或合同解除前，卖方所享有的本合同项下债权（应收账款）不得办理抵押、质押或以其他形式在该笔债权之上设置权利负担，本合同项下债权卖方不得转让，亦不得通过转让或设置权利负担的形式进行融资或变现。</w:t>
      </w:r>
    </w:p>
    <w:p>
      <w:pPr>
        <w:pStyle w:val="11"/>
        <w:numPr>
          <w:ilvl w:val="0"/>
          <w:numId w:val="16"/>
        </w:numPr>
        <w:tabs>
          <w:tab w:val="left" w:pos="1461"/>
        </w:tabs>
        <w:spacing w:before="2" w:line="364" w:lineRule="auto"/>
        <w:ind w:right="1157" w:firstLine="480"/>
        <w:jc w:val="both"/>
        <w:rPr>
          <w:sz w:val="24"/>
          <w:lang w:eastAsia="zh-CN"/>
        </w:rPr>
      </w:pPr>
      <w:r>
        <w:rPr>
          <w:rFonts w:hint="eastAsia"/>
          <w:sz w:val="24"/>
          <w:lang w:eastAsia="zh-CN"/>
        </w:rPr>
        <w:t>在服务期内，卖方不提供或不及时提供服务的，买方可以采取合理的措施，</w:t>
      </w:r>
      <w:r>
        <w:rPr>
          <w:sz w:val="24"/>
          <w:lang w:eastAsia="zh-CN"/>
        </w:rPr>
        <w:t xml:space="preserve"> 这些措施包括但不限于：（1）要求第三人提供同类的标的物供</w:t>
      </w:r>
      <w:r>
        <w:rPr>
          <w:rFonts w:hint="eastAsia"/>
          <w:sz w:val="24"/>
          <w:lang w:eastAsia="zh-CN"/>
        </w:rPr>
        <w:t>买</w:t>
      </w:r>
      <w:r>
        <w:rPr>
          <w:sz w:val="24"/>
          <w:lang w:eastAsia="zh-CN"/>
        </w:rPr>
        <w:t>方使用，</w:t>
      </w:r>
      <w:r>
        <w:rPr>
          <w:rFonts w:hint="eastAsia"/>
          <w:sz w:val="24"/>
          <w:lang w:eastAsia="zh-CN"/>
        </w:rPr>
        <w:t>买</w:t>
      </w:r>
      <w:r>
        <w:rPr>
          <w:sz w:val="24"/>
          <w:lang w:eastAsia="zh-CN"/>
        </w:rPr>
        <w:t>方向第三人支付费用。（2）要求第三人提供服务，向第三人支付维修费用。</w:t>
      </w:r>
      <w:r>
        <w:rPr>
          <w:rFonts w:hint="eastAsia"/>
          <w:sz w:val="24"/>
          <w:lang w:eastAsia="zh-CN"/>
        </w:rPr>
        <w:t>买</w:t>
      </w:r>
      <w:r>
        <w:rPr>
          <w:sz w:val="24"/>
          <w:lang w:eastAsia="zh-CN"/>
        </w:rPr>
        <w:t>方向第三人支付的上述费用由</w:t>
      </w:r>
      <w:r>
        <w:rPr>
          <w:rFonts w:hint="eastAsia"/>
          <w:sz w:val="24"/>
          <w:lang w:eastAsia="zh-CN"/>
        </w:rPr>
        <w:t>卖</w:t>
      </w:r>
      <w:r>
        <w:rPr>
          <w:sz w:val="24"/>
          <w:lang w:eastAsia="zh-CN"/>
        </w:rPr>
        <w:t>方承担。除承担上述费用外，</w:t>
      </w:r>
      <w:r>
        <w:rPr>
          <w:rFonts w:hint="eastAsia"/>
          <w:sz w:val="24"/>
          <w:lang w:eastAsia="zh-CN"/>
        </w:rPr>
        <w:t>卖</w:t>
      </w:r>
      <w:r>
        <w:rPr>
          <w:sz w:val="24"/>
          <w:lang w:eastAsia="zh-CN"/>
        </w:rPr>
        <w:t>方还应当向</w:t>
      </w:r>
      <w:r>
        <w:rPr>
          <w:rFonts w:hint="eastAsia"/>
          <w:sz w:val="24"/>
          <w:lang w:eastAsia="zh-CN"/>
        </w:rPr>
        <w:t>买</w:t>
      </w:r>
      <w:r>
        <w:rPr>
          <w:sz w:val="24"/>
          <w:lang w:eastAsia="zh-CN"/>
        </w:rPr>
        <w:t>方支付相当于</w:t>
      </w:r>
      <w:r>
        <w:rPr>
          <w:rFonts w:hint="eastAsia"/>
          <w:sz w:val="24"/>
          <w:lang w:eastAsia="zh-CN"/>
        </w:rPr>
        <w:t>买</w:t>
      </w:r>
      <w:r>
        <w:rPr>
          <w:sz w:val="24"/>
          <w:lang w:eastAsia="zh-CN"/>
        </w:rPr>
        <w:t>方向第三方支付费用额的30%的违约金。</w:t>
      </w:r>
      <w:r>
        <w:rPr>
          <w:rFonts w:hint="eastAsia"/>
          <w:sz w:val="24"/>
          <w:lang w:eastAsia="zh-CN"/>
        </w:rPr>
        <w:t>买</w:t>
      </w:r>
      <w:r>
        <w:rPr>
          <w:sz w:val="24"/>
          <w:lang w:eastAsia="zh-CN"/>
        </w:rPr>
        <w:t>方可以在支付价款时将上述费用和违约金扣除，价款不足的部分，</w:t>
      </w:r>
      <w:r>
        <w:rPr>
          <w:rFonts w:hint="eastAsia"/>
          <w:sz w:val="24"/>
          <w:lang w:eastAsia="zh-CN"/>
        </w:rPr>
        <w:t>卖</w:t>
      </w:r>
      <w:r>
        <w:rPr>
          <w:sz w:val="24"/>
          <w:lang w:eastAsia="zh-CN"/>
        </w:rPr>
        <w:t>方应当另外支付给</w:t>
      </w:r>
      <w:r>
        <w:rPr>
          <w:rFonts w:hint="eastAsia"/>
          <w:sz w:val="24"/>
          <w:lang w:eastAsia="zh-CN"/>
        </w:rPr>
        <w:t>买</w:t>
      </w:r>
      <w:r>
        <w:rPr>
          <w:sz w:val="24"/>
          <w:lang w:eastAsia="zh-CN"/>
        </w:rPr>
        <w:t>方。</w:t>
      </w:r>
    </w:p>
    <w:p>
      <w:pPr>
        <w:pStyle w:val="11"/>
        <w:numPr>
          <w:ilvl w:val="0"/>
          <w:numId w:val="16"/>
        </w:numPr>
        <w:tabs>
          <w:tab w:val="left" w:pos="1461"/>
        </w:tabs>
        <w:spacing w:before="2" w:line="364" w:lineRule="auto"/>
        <w:ind w:right="1157" w:firstLine="480"/>
        <w:jc w:val="both"/>
        <w:rPr>
          <w:sz w:val="24"/>
          <w:lang w:eastAsia="zh-CN"/>
        </w:rPr>
      </w:pPr>
      <w:r>
        <w:rPr>
          <w:rFonts w:hint="eastAsia"/>
          <w:sz w:val="24"/>
          <w:lang w:eastAsia="zh-CN"/>
        </w:rPr>
        <w:t>卖方需以买方名义出现在客户现场，如违反此条款导致客户扣款，由卖方承担全部损失及连带赔偿责任。</w:t>
      </w:r>
    </w:p>
    <w:p>
      <w:pPr>
        <w:pStyle w:val="11"/>
        <w:numPr>
          <w:ilvl w:val="0"/>
          <w:numId w:val="16"/>
        </w:numPr>
        <w:tabs>
          <w:tab w:val="left" w:pos="1461"/>
        </w:tabs>
        <w:spacing w:before="2" w:line="364" w:lineRule="auto"/>
        <w:ind w:right="1157" w:firstLine="480"/>
        <w:jc w:val="both"/>
        <w:rPr>
          <w:sz w:val="24"/>
          <w:lang w:eastAsia="zh-CN"/>
        </w:rPr>
      </w:pPr>
      <w:r>
        <w:rPr>
          <w:rFonts w:hint="eastAsia"/>
          <w:sz w:val="24"/>
          <w:lang w:eastAsia="zh-CN"/>
        </w:rPr>
        <w:t>卖方已充分了解合同交易背景及潜在风险，即最终用户（合同所指）支付合同款项周期的不确定（合同涉及项目环节多或财政拨款迟延等因素），在此基础上，卖方接受背靠背付条件，即只有当买方收到最终用户对应合同款后，向卖方支付对应合同款的条件方才满足，若买方未收到最终用户对应的合同款，买方有权推迟向卖方支付相应合同款，且不承担任何违约责任。在付款条件成就前，卖方不以任何方式（包括但不限于诉讼、仲裁等途径）向买方追索合同款项及相关费用。此条款是卖方的真实意思表示，不以重大误解、显失公平等任何理由要求变更撤销本条款，亦不以任何理由质疑本条款效力。</w:t>
      </w:r>
    </w:p>
    <w:p>
      <w:pPr>
        <w:pStyle w:val="5"/>
        <w:spacing w:before="7"/>
        <w:ind w:left="0"/>
        <w:rPr>
          <w:sz w:val="20"/>
          <w:lang w:eastAsia="zh-CN"/>
        </w:rPr>
      </w:pPr>
    </w:p>
    <w:p>
      <w:pPr>
        <w:pStyle w:val="4"/>
        <w:ind w:right="1293"/>
        <w:rPr>
          <w:lang w:eastAsia="zh-CN"/>
        </w:rPr>
      </w:pPr>
      <w:bookmarkStart w:id="14" w:name="第十五条解决合同纠纷的方式"/>
      <w:bookmarkEnd w:id="14"/>
      <w:r>
        <w:rPr>
          <w:lang w:eastAsia="zh-CN"/>
        </w:rPr>
        <w:t>第十五条解决合同纠纷的方式</w:t>
      </w:r>
    </w:p>
    <w:p>
      <w:pPr>
        <w:pStyle w:val="5"/>
        <w:spacing w:before="10"/>
        <w:ind w:left="0"/>
        <w:rPr>
          <w:b/>
          <w:sz w:val="32"/>
          <w:lang w:eastAsia="zh-CN"/>
        </w:rPr>
      </w:pPr>
    </w:p>
    <w:p>
      <w:pPr>
        <w:pStyle w:val="5"/>
        <w:spacing w:line="364" w:lineRule="auto"/>
        <w:ind w:right="1157" w:firstLine="480"/>
        <w:jc w:val="both"/>
        <w:rPr>
          <w:lang w:eastAsia="zh-CN"/>
        </w:rPr>
      </w:pPr>
      <w:r>
        <w:rPr>
          <w:spacing w:val="-5"/>
          <w:lang w:eastAsia="zh-CN"/>
        </w:rPr>
        <w:t>买卖双方在执行本合同中发生与本合同有关的争议时，应通过友好协商的方</w:t>
      </w:r>
      <w:r>
        <w:rPr>
          <w:spacing w:val="-11"/>
          <w:lang w:eastAsia="zh-CN"/>
        </w:rPr>
        <w:t>式解决，若协商不成，任何一方均应向买方所在地有管辖权的人民法院提起诉讼</w:t>
      </w:r>
      <w:r>
        <w:rPr>
          <w:lang w:eastAsia="zh-CN"/>
        </w:rPr>
        <w:t>解决。</w:t>
      </w:r>
    </w:p>
    <w:p>
      <w:pPr>
        <w:pStyle w:val="5"/>
        <w:spacing w:before="4"/>
        <w:ind w:left="0"/>
        <w:rPr>
          <w:sz w:val="20"/>
          <w:lang w:eastAsia="zh-CN"/>
        </w:rPr>
      </w:pPr>
    </w:p>
    <w:p>
      <w:pPr>
        <w:pStyle w:val="4"/>
        <w:ind w:right="1176"/>
      </w:pPr>
      <w:bookmarkStart w:id="15" w:name="_第十六条合同生效执行"/>
      <w:bookmarkEnd w:id="15"/>
      <w:r>
        <w:t>第十六条合同生效执行</w:t>
      </w:r>
    </w:p>
    <w:p>
      <w:pPr>
        <w:pStyle w:val="5"/>
        <w:ind w:left="0"/>
        <w:rPr>
          <w:b/>
          <w:sz w:val="33"/>
        </w:rPr>
      </w:pPr>
    </w:p>
    <w:p>
      <w:pPr>
        <w:pStyle w:val="11"/>
        <w:numPr>
          <w:ilvl w:val="0"/>
          <w:numId w:val="17"/>
        </w:numPr>
        <w:tabs>
          <w:tab w:val="left" w:pos="1641"/>
        </w:tabs>
        <w:spacing w:before="0"/>
        <w:rPr>
          <w:sz w:val="24"/>
          <w:lang w:eastAsia="zh-CN"/>
        </w:rPr>
      </w:pPr>
      <w:r>
        <w:rPr>
          <w:sz w:val="24"/>
          <w:lang w:eastAsia="zh-CN"/>
        </w:rPr>
        <w:t>本合同自双方</w:t>
      </w:r>
      <w:r>
        <w:rPr>
          <w:rFonts w:hint="eastAsia"/>
          <w:sz w:val="24"/>
          <w:lang w:eastAsia="zh-CN"/>
        </w:rPr>
        <w:t>加</w:t>
      </w:r>
      <w:r>
        <w:rPr>
          <w:sz w:val="24"/>
          <w:lang w:eastAsia="zh-CN"/>
        </w:rPr>
        <w:t>盖</w:t>
      </w:r>
      <w:r>
        <w:rPr>
          <w:rFonts w:hint="eastAsia"/>
          <w:sz w:val="24"/>
          <w:lang w:eastAsia="zh-CN"/>
        </w:rPr>
        <w:t>合同章或公章</w:t>
      </w:r>
      <w:r>
        <w:rPr>
          <w:sz w:val="24"/>
          <w:lang w:eastAsia="zh-CN"/>
        </w:rPr>
        <w:t>章之日起生效。</w:t>
      </w:r>
    </w:p>
    <w:p>
      <w:pPr>
        <w:pStyle w:val="11"/>
        <w:numPr>
          <w:ilvl w:val="0"/>
          <w:numId w:val="17"/>
        </w:numPr>
        <w:tabs>
          <w:tab w:val="left" w:pos="1641"/>
        </w:tabs>
        <w:spacing w:before="160"/>
        <w:rPr>
          <w:sz w:val="24"/>
          <w:lang w:eastAsia="zh-CN"/>
        </w:rPr>
      </w:pPr>
      <w:r>
        <w:rPr>
          <w:sz w:val="24"/>
          <w:lang w:eastAsia="zh-CN"/>
        </w:rPr>
        <w:t>本合同一式</w:t>
      </w:r>
      <w:r>
        <w:rPr>
          <w:rFonts w:hint="eastAsia"/>
          <w:sz w:val="24"/>
          <w:lang w:eastAsia="zh-CN"/>
        </w:rPr>
        <w:t>贰</w:t>
      </w:r>
      <w:r>
        <w:rPr>
          <w:sz w:val="24"/>
          <w:lang w:eastAsia="zh-CN"/>
        </w:rPr>
        <w:t>份，双方各执</w:t>
      </w:r>
      <w:r>
        <w:rPr>
          <w:rFonts w:hint="eastAsia"/>
          <w:sz w:val="24"/>
          <w:lang w:eastAsia="zh-CN"/>
        </w:rPr>
        <w:t>壹</w:t>
      </w:r>
      <w:r>
        <w:rPr>
          <w:sz w:val="24"/>
          <w:lang w:eastAsia="zh-CN"/>
        </w:rPr>
        <w:t>份，具有同等法律效力。</w:t>
      </w:r>
    </w:p>
    <w:p>
      <w:pPr>
        <w:pStyle w:val="11"/>
        <w:numPr>
          <w:ilvl w:val="0"/>
          <w:numId w:val="17"/>
        </w:numPr>
        <w:tabs>
          <w:tab w:val="left" w:pos="1641"/>
        </w:tabs>
        <w:spacing w:before="161"/>
        <w:rPr>
          <w:sz w:val="24"/>
          <w:lang w:eastAsia="zh-CN"/>
        </w:rPr>
      </w:pPr>
      <w:r>
        <w:rPr>
          <w:sz w:val="24"/>
          <w:lang w:eastAsia="zh-CN"/>
        </w:rPr>
        <w:t>本合同如有未尽事宜，由双方友好协商解决，并形成书面的补充协议。</w:t>
      </w:r>
    </w:p>
    <w:p>
      <w:pPr>
        <w:pStyle w:val="11"/>
        <w:numPr>
          <w:ilvl w:val="0"/>
          <w:numId w:val="17"/>
        </w:numPr>
        <w:tabs>
          <w:tab w:val="left" w:pos="1461"/>
        </w:tabs>
        <w:spacing w:before="160" w:line="364" w:lineRule="auto"/>
        <w:ind w:left="800" w:right="1157" w:firstLine="480"/>
        <w:rPr>
          <w:sz w:val="24"/>
          <w:lang w:eastAsia="zh-CN"/>
        </w:rPr>
      </w:pPr>
      <w:r>
        <w:rPr>
          <w:spacing w:val="-5"/>
          <w:sz w:val="24"/>
          <w:lang w:eastAsia="zh-CN"/>
        </w:rPr>
        <w:t>本合同生效后，买卖双方均应认真遵照执行，未经双方协商一致，任何一</w:t>
      </w:r>
      <w:r>
        <w:rPr>
          <w:sz w:val="24"/>
          <w:lang w:eastAsia="zh-CN"/>
        </w:rPr>
        <w:t>方不得擅自修改或变更。</w:t>
      </w:r>
    </w:p>
    <w:p>
      <w:pPr>
        <w:pStyle w:val="5"/>
        <w:spacing w:before="4"/>
        <w:ind w:left="0"/>
        <w:rPr>
          <w:sz w:val="20"/>
          <w:lang w:eastAsia="zh-CN"/>
        </w:rPr>
      </w:pPr>
    </w:p>
    <w:p>
      <w:pPr>
        <w:pStyle w:val="4"/>
        <w:ind w:right="1293"/>
        <w:rPr>
          <w:lang w:eastAsia="zh-CN"/>
        </w:rPr>
      </w:pPr>
      <w:bookmarkStart w:id="16" w:name="第十七条合同附件"/>
      <w:bookmarkEnd w:id="16"/>
      <w:r>
        <w:rPr>
          <w:lang w:eastAsia="zh-CN"/>
        </w:rPr>
        <w:t>第十七条合同附件</w:t>
      </w:r>
    </w:p>
    <w:p>
      <w:pPr>
        <w:pStyle w:val="5"/>
        <w:spacing w:before="10"/>
        <w:ind w:left="0"/>
        <w:rPr>
          <w:b/>
          <w:sz w:val="32"/>
          <w:lang w:eastAsia="zh-CN"/>
        </w:rPr>
      </w:pPr>
    </w:p>
    <w:p>
      <w:pPr>
        <w:pStyle w:val="5"/>
        <w:spacing w:line="364" w:lineRule="auto"/>
        <w:ind w:right="917" w:firstLine="480"/>
        <w:rPr>
          <w:lang w:eastAsia="zh-CN"/>
        </w:rPr>
      </w:pPr>
      <w:r>
        <w:rPr>
          <w:spacing w:val="-6"/>
          <w:lang w:eastAsia="zh-CN"/>
        </w:rPr>
        <w:t>本合同附件是本合同不可分割的组成部分，与本合同正文具有同等法律效力。</w:t>
      </w:r>
      <w:r>
        <w:rPr>
          <w:lang w:eastAsia="zh-CN"/>
        </w:rPr>
        <w:t>合同附件包括：</w:t>
      </w:r>
    </w:p>
    <w:p>
      <w:pPr>
        <w:pStyle w:val="5"/>
        <w:spacing w:before="1" w:line="429" w:lineRule="auto"/>
        <w:ind w:left="1280" w:right="3465"/>
        <w:rPr>
          <w:lang w:eastAsia="zh-CN"/>
        </w:rPr>
      </w:pPr>
      <w:r>
        <w:rPr>
          <w:lang w:eastAsia="zh-CN"/>
        </w:rPr>
        <w:t xml:space="preserve">附件 </w:t>
      </w:r>
      <w:r>
        <w:rPr>
          <w:rFonts w:ascii="Times New Roman" w:eastAsia="Times New Roman"/>
          <w:lang w:eastAsia="zh-CN"/>
        </w:rPr>
        <w:t>1</w:t>
      </w:r>
      <w:r>
        <w:rPr>
          <w:lang w:eastAsia="zh-CN"/>
        </w:rPr>
        <w:t>：服务详细清单、价格表及规格参数说明附件 附件 2：保密协议</w:t>
      </w:r>
    </w:p>
    <w:p>
      <w:pPr>
        <w:pStyle w:val="5"/>
        <w:spacing w:line="255" w:lineRule="exact"/>
        <w:ind w:left="1280"/>
        <w:rPr>
          <w:lang w:eastAsia="zh-CN"/>
        </w:rPr>
      </w:pPr>
      <w:r>
        <w:rPr>
          <w:lang w:eastAsia="zh-CN"/>
        </w:rPr>
        <w:t xml:space="preserve">附件 </w:t>
      </w:r>
      <w:r>
        <w:rPr>
          <w:rFonts w:ascii="Times New Roman" w:eastAsia="Times New Roman"/>
          <w:lang w:eastAsia="zh-CN"/>
        </w:rPr>
        <w:t>3</w:t>
      </w:r>
      <w:r>
        <w:rPr>
          <w:lang w:eastAsia="zh-CN"/>
        </w:rPr>
        <w:t>：外包服务水平协议</w:t>
      </w:r>
    </w:p>
    <w:p>
      <w:pPr>
        <w:pStyle w:val="5"/>
        <w:spacing w:before="192"/>
        <w:ind w:left="1280"/>
        <w:rPr>
          <w:lang w:eastAsia="zh-CN"/>
        </w:rPr>
      </w:pPr>
      <w:r>
        <w:rPr>
          <w:lang w:eastAsia="zh-CN"/>
        </w:rPr>
        <w:t xml:space="preserve">附件 </w:t>
      </w:r>
      <w:r>
        <w:rPr>
          <w:rFonts w:ascii="Times New Roman" w:eastAsia="Times New Roman"/>
          <w:lang w:eastAsia="zh-CN"/>
        </w:rPr>
        <w:t>4</w:t>
      </w:r>
      <w:r>
        <w:rPr>
          <w:lang w:eastAsia="zh-CN"/>
        </w:rPr>
        <w:t>：辽宁省农村信用社各级法人行社列表</w:t>
      </w:r>
    </w:p>
    <w:p>
      <w:pPr>
        <w:rPr>
          <w:lang w:eastAsia="zh-CN"/>
        </w:rPr>
        <w:sectPr>
          <w:pgSz w:w="11910" w:h="16840"/>
          <w:pgMar w:top="1440" w:right="640" w:bottom="280" w:left="1000" w:header="720" w:footer="720" w:gutter="0"/>
          <w:cols w:space="720" w:num="1"/>
        </w:sectPr>
      </w:pPr>
    </w:p>
    <w:tbl>
      <w:tblPr>
        <w:tblStyle w:val="10"/>
        <w:tblW w:w="0" w:type="auto"/>
        <w:tblInd w:w="3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72"/>
        <w:gridCol w:w="47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4472" w:type="dxa"/>
            <w:tcBorders>
              <w:bottom w:val="nil"/>
            </w:tcBorders>
          </w:tcPr>
          <w:p>
            <w:pPr>
              <w:pStyle w:val="12"/>
              <w:spacing w:before="98"/>
              <w:ind w:left="108"/>
              <w:rPr>
                <w:sz w:val="21"/>
                <w:lang w:eastAsia="zh-CN"/>
              </w:rPr>
            </w:pPr>
            <w:r>
              <w:rPr>
                <w:rFonts w:hint="eastAsia"/>
                <w:sz w:val="21"/>
                <w:lang w:eastAsia="zh-CN"/>
              </w:rPr>
              <w:t>买</w:t>
            </w:r>
            <w:r>
              <w:rPr>
                <w:sz w:val="21"/>
                <w:lang w:eastAsia="zh-CN"/>
              </w:rPr>
              <w:t>方：荣联科技集团股份有限公司</w:t>
            </w:r>
          </w:p>
        </w:tc>
        <w:tc>
          <w:tcPr>
            <w:tcW w:w="4741" w:type="dxa"/>
            <w:tcBorders>
              <w:bottom w:val="nil"/>
            </w:tcBorders>
          </w:tcPr>
          <w:p>
            <w:pPr>
              <w:pStyle w:val="12"/>
              <w:spacing w:before="102"/>
              <w:ind w:left="108"/>
              <w:rPr>
                <w:sz w:val="21"/>
                <w:lang w:eastAsia="zh-CN"/>
              </w:rPr>
            </w:pPr>
            <w:r>
              <w:rPr>
                <w:sz w:val="21"/>
                <w:lang w:eastAsia="zh-CN"/>
              </w:rPr>
              <w:t>卖方：北京创联致信</w:t>
            </w:r>
            <w:r>
              <w:rPr>
                <w:rFonts w:hint="eastAsia"/>
                <w:sz w:val="21"/>
                <w:lang w:eastAsia="zh-CN"/>
              </w:rPr>
              <w:t>科技有限公司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4472" w:type="dxa"/>
            <w:tcBorders>
              <w:top w:val="nil"/>
              <w:bottom w:val="nil"/>
            </w:tcBorders>
          </w:tcPr>
          <w:p>
            <w:pPr>
              <w:pStyle w:val="12"/>
              <w:spacing w:before="102"/>
              <w:ind w:left="108"/>
              <w:rPr>
                <w:sz w:val="21"/>
                <w:lang w:eastAsia="zh-CN"/>
              </w:rPr>
            </w:pPr>
            <w:r>
              <w:rPr>
                <w:sz w:val="21"/>
                <w:lang w:eastAsia="zh-CN"/>
              </w:rPr>
              <w:t>注册地址</w:t>
            </w:r>
            <w:r>
              <w:rPr>
                <w:rFonts w:ascii="Times New Roman" w:eastAsia="Times New Roman"/>
                <w:sz w:val="21"/>
                <w:lang w:eastAsia="zh-CN"/>
              </w:rPr>
              <w:t xml:space="preserve">: </w:t>
            </w:r>
            <w:r>
              <w:rPr>
                <w:sz w:val="21"/>
                <w:lang w:eastAsia="zh-CN"/>
              </w:rPr>
              <w:t xml:space="preserve">北京市海淀区北四环西路 </w:t>
            </w:r>
            <w:r>
              <w:rPr>
                <w:rFonts w:ascii="Times New Roman" w:eastAsia="Times New Roman"/>
                <w:sz w:val="21"/>
                <w:lang w:eastAsia="zh-CN"/>
              </w:rPr>
              <w:t xml:space="preserve">56 </w:t>
            </w:r>
            <w:r>
              <w:rPr>
                <w:sz w:val="21"/>
                <w:lang w:eastAsia="zh-CN"/>
              </w:rPr>
              <w:t xml:space="preserve">号 </w:t>
            </w:r>
            <w:r>
              <w:rPr>
                <w:rFonts w:ascii="Times New Roman" w:eastAsia="Times New Roman"/>
                <w:sz w:val="21"/>
                <w:lang w:eastAsia="zh-CN"/>
              </w:rPr>
              <w:t xml:space="preserve">10 </w:t>
            </w:r>
            <w:r>
              <w:rPr>
                <w:sz w:val="21"/>
                <w:lang w:eastAsia="zh-CN"/>
              </w:rPr>
              <w:t>层</w:t>
            </w:r>
          </w:p>
        </w:tc>
        <w:tc>
          <w:tcPr>
            <w:tcW w:w="4741" w:type="dxa"/>
            <w:tcBorders>
              <w:top w:val="nil"/>
              <w:bottom w:val="nil"/>
            </w:tcBorders>
          </w:tcPr>
          <w:p>
            <w:pPr>
              <w:pStyle w:val="12"/>
              <w:spacing w:before="102"/>
              <w:ind w:left="108"/>
              <w:rPr>
                <w:sz w:val="21"/>
                <w:lang w:eastAsia="zh-CN"/>
              </w:rPr>
            </w:pPr>
            <w:r>
              <w:rPr>
                <w:sz w:val="21"/>
                <w:lang w:eastAsia="zh-CN"/>
              </w:rPr>
              <w:t xml:space="preserve">注册地址: </w:t>
            </w:r>
            <w:r>
              <w:rPr>
                <w:rFonts w:hint="eastAsia"/>
                <w:sz w:val="21"/>
                <w:lang w:eastAsia="zh-CN"/>
              </w:rPr>
              <w:t>北京市密云区新南路92号楼5层5106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4472" w:type="dxa"/>
            <w:tcBorders>
              <w:top w:val="nil"/>
              <w:bottom w:val="nil"/>
            </w:tcBorders>
          </w:tcPr>
          <w:p>
            <w:pPr>
              <w:pStyle w:val="12"/>
              <w:spacing w:before="94"/>
              <w:ind w:left="108"/>
              <w:rPr>
                <w:sz w:val="21"/>
                <w:lang w:eastAsia="zh-CN"/>
              </w:rPr>
            </w:pPr>
            <w:r>
              <w:rPr>
                <w:rFonts w:ascii="Times New Roman"/>
                <w:sz w:val="21"/>
              </w:rPr>
              <w:t>1002-1</w:t>
            </w:r>
          </w:p>
        </w:tc>
        <w:tc>
          <w:tcPr>
            <w:tcW w:w="4741" w:type="dxa"/>
            <w:tcBorders>
              <w:top w:val="nil"/>
              <w:bottom w:val="nil"/>
            </w:tcBorders>
          </w:tcPr>
          <w:p>
            <w:pPr>
              <w:pStyle w:val="12"/>
              <w:spacing w:before="102"/>
              <w:ind w:left="108"/>
              <w:rPr>
                <w:sz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4472" w:type="dxa"/>
            <w:tcBorders>
              <w:top w:val="nil"/>
              <w:bottom w:val="nil"/>
            </w:tcBorders>
          </w:tcPr>
          <w:p>
            <w:pPr>
              <w:pStyle w:val="12"/>
              <w:tabs>
                <w:tab w:val="left" w:pos="2416"/>
              </w:tabs>
              <w:spacing w:before="94"/>
              <w:ind w:left="108"/>
              <w:rPr>
                <w:sz w:val="21"/>
                <w:lang w:eastAsia="zh-CN"/>
              </w:rPr>
            </w:pPr>
            <w:r>
              <w:rPr>
                <w:sz w:val="21"/>
                <w:lang w:eastAsia="zh-CN"/>
              </w:rPr>
              <w:t>通讯地址：北京市</w:t>
            </w:r>
            <w:r>
              <w:rPr>
                <w:rFonts w:ascii="Times New Roman" w:eastAsia="Times New Roman"/>
                <w:sz w:val="21"/>
                <w:lang w:eastAsia="zh-CN"/>
              </w:rPr>
              <w:t>-</w:t>
            </w:r>
            <w:r>
              <w:rPr>
                <w:sz w:val="21"/>
                <w:lang w:eastAsia="zh-CN"/>
              </w:rPr>
              <w:t>朝阳区</w:t>
            </w:r>
            <w:r>
              <w:rPr>
                <w:rFonts w:ascii="Times New Roman" w:eastAsia="Times New Roman"/>
                <w:sz w:val="21"/>
                <w:lang w:eastAsia="zh-CN"/>
              </w:rPr>
              <w:t>-</w:t>
            </w:r>
            <w:r>
              <w:rPr>
                <w:sz w:val="21"/>
                <w:lang w:eastAsia="zh-CN"/>
              </w:rPr>
              <w:t xml:space="preserve">酒仙桥北路甲 </w:t>
            </w:r>
            <w:r>
              <w:rPr>
                <w:rFonts w:ascii="Times New Roman" w:eastAsia="Times New Roman"/>
                <w:sz w:val="21"/>
                <w:lang w:eastAsia="zh-CN"/>
              </w:rPr>
              <w:t xml:space="preserve">10 </w:t>
            </w:r>
            <w:r>
              <w:rPr>
                <w:sz w:val="21"/>
                <w:lang w:eastAsia="zh-CN"/>
              </w:rPr>
              <w:t>号院</w:t>
            </w:r>
          </w:p>
        </w:tc>
        <w:tc>
          <w:tcPr>
            <w:tcW w:w="4741" w:type="dxa"/>
            <w:tcBorders>
              <w:top w:val="nil"/>
              <w:bottom w:val="nil"/>
            </w:tcBorders>
          </w:tcPr>
          <w:p>
            <w:pPr>
              <w:pStyle w:val="12"/>
              <w:spacing w:before="102"/>
              <w:ind w:left="108"/>
              <w:rPr>
                <w:sz w:val="21"/>
                <w:lang w:eastAsia="zh-CN"/>
              </w:rPr>
            </w:pPr>
            <w:r>
              <w:rPr>
                <w:sz w:val="21"/>
                <w:lang w:eastAsia="zh-CN"/>
              </w:rPr>
              <w:t>通讯地址：</w:t>
            </w:r>
            <w:r>
              <w:rPr>
                <w:rFonts w:hint="eastAsia"/>
                <w:sz w:val="21"/>
                <w:lang w:eastAsia="zh-CN"/>
              </w:rPr>
              <w:t>北京市朝阳区小营北路</w:t>
            </w:r>
            <w:r>
              <w:rPr>
                <w:sz w:val="21"/>
                <w:lang w:eastAsia="zh-CN"/>
              </w:rPr>
              <w:t>19号裕发大厦201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4472" w:type="dxa"/>
            <w:tcBorders>
              <w:top w:val="nil"/>
              <w:bottom w:val="nil"/>
            </w:tcBorders>
          </w:tcPr>
          <w:p>
            <w:pPr>
              <w:pStyle w:val="12"/>
              <w:spacing w:before="94"/>
              <w:ind w:left="108"/>
              <w:rPr>
                <w:sz w:val="21"/>
                <w:lang w:eastAsia="zh-CN"/>
              </w:rPr>
            </w:pPr>
            <w:r>
              <w:rPr>
                <w:rFonts w:ascii="Times New Roman" w:eastAsia="Times New Roman"/>
                <w:sz w:val="21"/>
                <w:lang w:eastAsia="zh-CN"/>
              </w:rPr>
              <w:t xml:space="preserve">106 </w:t>
            </w:r>
            <w:r>
              <w:rPr>
                <w:sz w:val="21"/>
                <w:lang w:eastAsia="zh-CN"/>
              </w:rPr>
              <w:t>号楼</w:t>
            </w:r>
            <w:r>
              <w:rPr>
                <w:rFonts w:ascii="Times New Roman" w:eastAsia="Times New Roman"/>
                <w:sz w:val="21"/>
                <w:lang w:eastAsia="zh-CN"/>
              </w:rPr>
              <w:t>(</w:t>
            </w:r>
            <w:r>
              <w:rPr>
                <w:sz w:val="21"/>
                <w:lang w:eastAsia="zh-CN"/>
              </w:rPr>
              <w:t xml:space="preserve">电子城 </w:t>
            </w:r>
            <w:r>
              <w:rPr>
                <w:rFonts w:ascii="Times New Roman" w:eastAsia="Times New Roman"/>
                <w:sz w:val="21"/>
                <w:lang w:eastAsia="zh-CN"/>
              </w:rPr>
              <w:t xml:space="preserve">IT </w:t>
            </w:r>
            <w:r>
              <w:rPr>
                <w:sz w:val="21"/>
                <w:lang w:eastAsia="zh-CN"/>
              </w:rPr>
              <w:t>产业园内</w:t>
            </w:r>
            <w:r>
              <w:rPr>
                <w:rFonts w:ascii="Times New Roman" w:eastAsia="Times New Roman"/>
                <w:sz w:val="21"/>
                <w:lang w:eastAsia="zh-CN"/>
              </w:rPr>
              <w:t>)</w:t>
            </w:r>
          </w:p>
        </w:tc>
        <w:tc>
          <w:tcPr>
            <w:tcW w:w="4741" w:type="dxa"/>
            <w:tcBorders>
              <w:top w:val="nil"/>
              <w:bottom w:val="nil"/>
            </w:tcBorders>
          </w:tcPr>
          <w:p>
            <w:pPr>
              <w:pStyle w:val="12"/>
              <w:spacing w:before="102"/>
              <w:ind w:left="108"/>
              <w:rPr>
                <w:sz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4472" w:type="dxa"/>
            <w:tcBorders>
              <w:top w:val="nil"/>
              <w:bottom w:val="nil"/>
            </w:tcBorders>
          </w:tcPr>
          <w:p>
            <w:pPr>
              <w:pStyle w:val="12"/>
              <w:spacing w:before="94"/>
              <w:ind w:left="108"/>
              <w:rPr>
                <w:rFonts w:ascii="Times New Roman" w:eastAsia="Times New Roman"/>
                <w:sz w:val="21"/>
                <w:lang w:eastAsia="zh-CN"/>
              </w:rPr>
            </w:pPr>
          </w:p>
        </w:tc>
        <w:tc>
          <w:tcPr>
            <w:tcW w:w="4741" w:type="dxa"/>
            <w:tcBorders>
              <w:top w:val="nil"/>
              <w:bottom w:val="nil"/>
            </w:tcBorders>
          </w:tcPr>
          <w:p>
            <w:pPr>
              <w:pStyle w:val="12"/>
              <w:spacing w:before="102"/>
              <w:ind w:left="108"/>
              <w:rPr>
                <w:sz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4472" w:type="dxa"/>
            <w:tcBorders>
              <w:top w:val="nil"/>
              <w:bottom w:val="nil"/>
            </w:tcBorders>
          </w:tcPr>
          <w:p>
            <w:pPr>
              <w:pStyle w:val="12"/>
              <w:spacing w:before="91"/>
              <w:ind w:left="108"/>
              <w:rPr>
                <w:sz w:val="21"/>
                <w:lang w:eastAsia="zh-CN"/>
              </w:rPr>
            </w:pPr>
            <w:r>
              <w:rPr>
                <w:sz w:val="21"/>
                <w:lang w:eastAsia="zh-CN"/>
              </w:rPr>
              <w:t>纳税人身份：一般纳税人</w:t>
            </w:r>
          </w:p>
        </w:tc>
        <w:tc>
          <w:tcPr>
            <w:tcW w:w="4741" w:type="dxa"/>
            <w:tcBorders>
              <w:top w:val="nil"/>
              <w:bottom w:val="nil"/>
            </w:tcBorders>
          </w:tcPr>
          <w:p>
            <w:pPr>
              <w:pStyle w:val="12"/>
              <w:spacing w:before="102"/>
              <w:ind w:left="108"/>
              <w:rPr>
                <w:sz w:val="21"/>
                <w:lang w:eastAsia="zh-CN"/>
              </w:rPr>
            </w:pPr>
            <w:r>
              <w:rPr>
                <w:sz w:val="21"/>
                <w:lang w:eastAsia="zh-CN"/>
              </w:rPr>
              <w:t>纳税人身份：一般纳税人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4472" w:type="dxa"/>
            <w:tcBorders>
              <w:top w:val="nil"/>
              <w:bottom w:val="nil"/>
            </w:tcBorders>
          </w:tcPr>
          <w:p>
            <w:pPr>
              <w:pStyle w:val="12"/>
              <w:spacing w:before="102"/>
              <w:ind w:left="108"/>
              <w:rPr>
                <w:sz w:val="21"/>
              </w:rPr>
            </w:pPr>
            <w:r>
              <w:rPr>
                <w:sz w:val="21"/>
              </w:rPr>
              <w:t>纳税人识别号：</w:t>
            </w:r>
            <w:r>
              <w:rPr>
                <w:rFonts w:ascii="Times New Roman" w:eastAsia="Times New Roman"/>
                <w:sz w:val="21"/>
              </w:rPr>
              <w:t>91110000802062406U</w:t>
            </w:r>
          </w:p>
        </w:tc>
        <w:tc>
          <w:tcPr>
            <w:tcW w:w="4741" w:type="dxa"/>
            <w:tcBorders>
              <w:top w:val="nil"/>
              <w:bottom w:val="nil"/>
            </w:tcBorders>
          </w:tcPr>
          <w:p>
            <w:pPr>
              <w:pStyle w:val="12"/>
              <w:spacing w:before="102"/>
              <w:ind w:left="108"/>
              <w:rPr>
                <w:sz w:val="21"/>
                <w:lang w:eastAsia="zh-CN"/>
              </w:rPr>
            </w:pPr>
            <w:r>
              <w:rPr>
                <w:sz w:val="21"/>
                <w:lang w:eastAsia="zh-CN"/>
              </w:rPr>
              <w:t>纳税人识别号：91110108596007659D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4472" w:type="dxa"/>
            <w:tcBorders>
              <w:top w:val="nil"/>
              <w:bottom w:val="nil"/>
            </w:tcBorders>
          </w:tcPr>
          <w:p>
            <w:pPr>
              <w:pStyle w:val="12"/>
              <w:spacing w:before="94"/>
              <w:ind w:left="108"/>
              <w:rPr>
                <w:rFonts w:ascii="Times New Roman" w:eastAsia="Times New Roman"/>
                <w:sz w:val="21"/>
                <w:lang w:eastAsia="zh-CN"/>
              </w:rPr>
            </w:pPr>
            <w:r>
              <w:rPr>
                <w:sz w:val="21"/>
                <w:lang w:eastAsia="zh-CN"/>
              </w:rPr>
              <w:t>开户银行名称：北京银行股份有限公司双清苑支行</w:t>
            </w:r>
          </w:p>
        </w:tc>
        <w:tc>
          <w:tcPr>
            <w:tcW w:w="4741" w:type="dxa"/>
            <w:tcBorders>
              <w:top w:val="nil"/>
              <w:bottom w:val="nil"/>
            </w:tcBorders>
          </w:tcPr>
          <w:p>
            <w:pPr>
              <w:pStyle w:val="12"/>
              <w:spacing w:before="102"/>
              <w:ind w:left="108"/>
              <w:rPr>
                <w:sz w:val="21"/>
                <w:lang w:eastAsia="zh-CN"/>
              </w:rPr>
            </w:pPr>
            <w:r>
              <w:rPr>
                <w:sz w:val="21"/>
                <w:lang w:eastAsia="zh-CN"/>
              </w:rPr>
              <w:t>开户银行名称：</w:t>
            </w:r>
            <w:r>
              <w:rPr>
                <w:rFonts w:hint="eastAsia"/>
                <w:sz w:val="21"/>
                <w:lang w:eastAsia="zh-CN"/>
              </w:rPr>
              <w:t>招商银行股份有限公司北京慧忠北里支行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4472" w:type="dxa"/>
            <w:tcBorders>
              <w:top w:val="nil"/>
              <w:bottom w:val="nil"/>
            </w:tcBorders>
          </w:tcPr>
          <w:p>
            <w:pPr>
              <w:pStyle w:val="12"/>
              <w:spacing w:before="94"/>
              <w:ind w:left="108"/>
              <w:rPr>
                <w:sz w:val="21"/>
              </w:rPr>
            </w:pPr>
            <w:r>
              <w:rPr>
                <w:sz w:val="21"/>
              </w:rPr>
              <w:t>开户银行账号：</w:t>
            </w:r>
            <w:r>
              <w:rPr>
                <w:rFonts w:ascii="Times New Roman" w:eastAsia="Times New Roman"/>
                <w:sz w:val="21"/>
              </w:rPr>
              <w:t>01090327800120102306194</w:t>
            </w:r>
          </w:p>
        </w:tc>
        <w:tc>
          <w:tcPr>
            <w:tcW w:w="4741" w:type="dxa"/>
            <w:tcBorders>
              <w:top w:val="nil"/>
              <w:bottom w:val="nil"/>
            </w:tcBorders>
          </w:tcPr>
          <w:p>
            <w:pPr>
              <w:pStyle w:val="12"/>
              <w:spacing w:before="102"/>
              <w:ind w:left="108"/>
              <w:rPr>
                <w:sz w:val="21"/>
                <w:lang w:eastAsia="zh-CN"/>
              </w:rPr>
            </w:pPr>
            <w:r>
              <w:rPr>
                <w:sz w:val="21"/>
                <w:lang w:eastAsia="zh-CN"/>
              </w:rPr>
              <w:t>开户银行账号：</w:t>
            </w:r>
            <w:r>
              <w:rPr>
                <w:rFonts w:hint="eastAsia"/>
                <w:sz w:val="21"/>
                <w:lang w:eastAsia="zh-CN"/>
              </w:rPr>
              <w:t>110946919610501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4472" w:type="dxa"/>
            <w:tcBorders>
              <w:top w:val="nil"/>
            </w:tcBorders>
          </w:tcPr>
          <w:p>
            <w:pPr>
              <w:pStyle w:val="12"/>
              <w:ind w:firstLine="200" w:firstLineChars="100"/>
              <w:rPr>
                <w:rFonts w:ascii="Times New Roman"/>
                <w:sz w:val="20"/>
                <w:lang w:eastAsia="zh-CN"/>
              </w:rPr>
            </w:pPr>
            <w:r>
              <w:rPr>
                <w:rFonts w:hint="eastAsia" w:ascii="Times New Roman"/>
                <w:sz w:val="20"/>
                <w:lang w:eastAsia="zh-CN"/>
              </w:rPr>
              <w:t>日期：2</w:t>
            </w:r>
            <w:r>
              <w:rPr>
                <w:rFonts w:ascii="Times New Roman"/>
                <w:sz w:val="20"/>
                <w:lang w:eastAsia="zh-CN"/>
              </w:rPr>
              <w:t>023</w:t>
            </w:r>
            <w:r>
              <w:rPr>
                <w:rFonts w:hint="eastAsia" w:ascii="Times New Roman"/>
                <w:sz w:val="20"/>
                <w:lang w:eastAsia="zh-CN"/>
              </w:rPr>
              <w:t>年1月3</w:t>
            </w:r>
            <w:r>
              <w:rPr>
                <w:rFonts w:ascii="Times New Roman"/>
                <w:sz w:val="20"/>
                <w:lang w:eastAsia="zh-CN"/>
              </w:rPr>
              <w:t>0</w:t>
            </w:r>
            <w:r>
              <w:rPr>
                <w:rFonts w:hint="eastAsia" w:ascii="Times New Roman"/>
                <w:sz w:val="20"/>
                <w:lang w:eastAsia="zh-CN"/>
              </w:rPr>
              <w:t>日</w:t>
            </w:r>
          </w:p>
        </w:tc>
        <w:tc>
          <w:tcPr>
            <w:tcW w:w="4741" w:type="dxa"/>
            <w:tcBorders>
              <w:top w:val="nil"/>
            </w:tcBorders>
          </w:tcPr>
          <w:p>
            <w:pPr>
              <w:pStyle w:val="12"/>
              <w:spacing w:before="102"/>
              <w:ind w:left="108"/>
              <w:rPr>
                <w:sz w:val="21"/>
                <w:lang w:eastAsia="zh-CN"/>
              </w:rPr>
            </w:pPr>
            <w:r>
              <w:rPr>
                <w:sz w:val="21"/>
                <w:lang w:eastAsia="zh-CN"/>
              </w:rPr>
              <w:t>日期：</w:t>
            </w:r>
            <w:r>
              <w:rPr>
                <w:rFonts w:hint="eastAsia" w:ascii="Times New Roman"/>
                <w:sz w:val="20"/>
                <w:lang w:eastAsia="zh-CN"/>
              </w:rPr>
              <w:t>2</w:t>
            </w:r>
            <w:r>
              <w:rPr>
                <w:rFonts w:ascii="Times New Roman"/>
                <w:sz w:val="20"/>
                <w:lang w:eastAsia="zh-CN"/>
              </w:rPr>
              <w:t>023</w:t>
            </w:r>
            <w:r>
              <w:rPr>
                <w:rFonts w:hint="eastAsia" w:ascii="Times New Roman"/>
                <w:sz w:val="20"/>
                <w:lang w:eastAsia="zh-CN"/>
              </w:rPr>
              <w:t>年1月3</w:t>
            </w:r>
            <w:r>
              <w:rPr>
                <w:rFonts w:ascii="Times New Roman"/>
                <w:sz w:val="20"/>
                <w:lang w:eastAsia="zh-CN"/>
              </w:rPr>
              <w:t>0</w:t>
            </w:r>
            <w:r>
              <w:rPr>
                <w:rFonts w:hint="eastAsia" w:ascii="Times New Roman"/>
                <w:sz w:val="20"/>
                <w:lang w:eastAsia="zh-CN"/>
              </w:rPr>
              <w:t>日</w:t>
            </w:r>
          </w:p>
        </w:tc>
      </w:tr>
    </w:tbl>
    <w:p>
      <w:pPr>
        <w:rPr>
          <w:sz w:val="21"/>
        </w:rPr>
        <w:sectPr>
          <w:pgSz w:w="11910" w:h="16840"/>
          <w:pgMar w:top="1420" w:right="640" w:bottom="280" w:left="1000" w:header="720" w:footer="720" w:gutter="0"/>
          <w:cols w:space="720" w:num="1"/>
        </w:sectPr>
      </w:pPr>
    </w:p>
    <w:p>
      <w:pPr>
        <w:pStyle w:val="5"/>
        <w:spacing w:before="157"/>
      </w:pPr>
      <w:r>
        <w:t xml:space="preserve">附件 </w:t>
      </w:r>
      <w:r>
        <w:rPr>
          <w:rFonts w:ascii="Times New Roman" w:eastAsia="Times New Roman"/>
        </w:rPr>
        <w:t>1</w:t>
      </w:r>
      <w:r>
        <w:t>：</w:t>
      </w:r>
    </w:p>
    <w:p>
      <w:pPr>
        <w:pStyle w:val="5"/>
        <w:spacing w:before="9"/>
        <w:ind w:left="0"/>
        <w:rPr>
          <w:sz w:val="30"/>
        </w:rPr>
      </w:pPr>
    </w:p>
    <w:p>
      <w:pPr>
        <w:ind w:left="936" w:right="1293"/>
        <w:jc w:val="center"/>
        <w:rPr>
          <w:b/>
          <w:sz w:val="36"/>
          <w:lang w:eastAsia="zh-CN"/>
        </w:rPr>
      </w:pPr>
      <w:r>
        <w:rPr>
          <w:rFonts w:hint="eastAsia"/>
          <w:b/>
          <w:w w:val="95"/>
          <w:sz w:val="36"/>
          <w:lang w:eastAsia="zh-CN"/>
        </w:rPr>
        <w:t>服务</w:t>
      </w:r>
      <w:r>
        <w:rPr>
          <w:b/>
          <w:w w:val="95"/>
          <w:sz w:val="36"/>
          <w:lang w:eastAsia="zh-CN"/>
        </w:rPr>
        <w:t>详细清单、价格表及规格参数说明</w:t>
      </w:r>
    </w:p>
    <w:p>
      <w:pPr>
        <w:pStyle w:val="5"/>
        <w:ind w:left="0"/>
        <w:rPr>
          <w:b/>
          <w:sz w:val="20"/>
          <w:lang w:eastAsia="zh-CN"/>
        </w:rPr>
      </w:pPr>
    </w:p>
    <w:p>
      <w:pPr>
        <w:pStyle w:val="5"/>
        <w:ind w:left="0"/>
        <w:rPr>
          <w:b/>
          <w:sz w:val="20"/>
          <w:lang w:eastAsia="zh-CN"/>
        </w:rPr>
      </w:pPr>
    </w:p>
    <w:p>
      <w:pPr>
        <w:pStyle w:val="5"/>
        <w:spacing w:before="2"/>
        <w:ind w:left="0"/>
        <w:rPr>
          <w:b/>
          <w:sz w:val="15"/>
          <w:lang w:eastAsia="zh-CN"/>
        </w:rPr>
      </w:pPr>
    </w:p>
    <w:tbl>
      <w:tblPr>
        <w:tblStyle w:val="10"/>
        <w:tblW w:w="0" w:type="auto"/>
        <w:tblInd w:w="1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1701"/>
        <w:gridCol w:w="709"/>
        <w:gridCol w:w="1701"/>
        <w:gridCol w:w="1746"/>
        <w:gridCol w:w="2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709" w:type="dxa"/>
            <w:shd w:val="clear" w:color="auto" w:fill="BEBEBE"/>
          </w:tcPr>
          <w:p>
            <w:pPr>
              <w:pStyle w:val="12"/>
              <w:spacing w:before="5"/>
              <w:rPr>
                <w:b/>
                <w:sz w:val="24"/>
                <w:lang w:eastAsia="zh-CN"/>
              </w:rPr>
            </w:pPr>
          </w:p>
          <w:p>
            <w:pPr>
              <w:pStyle w:val="12"/>
              <w:ind w:left="91" w:right="84"/>
              <w:jc w:val="center"/>
              <w:rPr>
                <w:b/>
                <w:sz w:val="24"/>
              </w:rPr>
            </w:pPr>
            <w:r>
              <w:rPr>
                <w:b/>
                <w:sz w:val="24"/>
              </w:rPr>
              <w:t>序号</w:t>
            </w:r>
          </w:p>
        </w:tc>
        <w:tc>
          <w:tcPr>
            <w:tcW w:w="1701" w:type="dxa"/>
            <w:shd w:val="clear" w:color="auto" w:fill="BEBEBE"/>
          </w:tcPr>
          <w:p>
            <w:pPr>
              <w:pStyle w:val="12"/>
              <w:spacing w:before="5"/>
              <w:rPr>
                <w:b/>
                <w:sz w:val="24"/>
              </w:rPr>
            </w:pPr>
          </w:p>
          <w:p>
            <w:pPr>
              <w:pStyle w:val="12"/>
              <w:ind w:left="144" w:right="140"/>
              <w:jc w:val="center"/>
              <w:rPr>
                <w:b/>
                <w:sz w:val="24"/>
              </w:rPr>
            </w:pPr>
            <w:r>
              <w:rPr>
                <w:b/>
                <w:sz w:val="24"/>
              </w:rPr>
              <w:t>货物名称</w:t>
            </w:r>
          </w:p>
        </w:tc>
        <w:tc>
          <w:tcPr>
            <w:tcW w:w="709" w:type="dxa"/>
            <w:shd w:val="clear" w:color="auto" w:fill="BEBEBE"/>
          </w:tcPr>
          <w:p>
            <w:pPr>
              <w:pStyle w:val="12"/>
              <w:spacing w:before="5"/>
              <w:rPr>
                <w:b/>
                <w:sz w:val="24"/>
              </w:rPr>
            </w:pPr>
          </w:p>
          <w:p>
            <w:pPr>
              <w:pStyle w:val="12"/>
              <w:ind w:left="91" w:right="85"/>
              <w:jc w:val="center"/>
              <w:rPr>
                <w:b/>
                <w:sz w:val="24"/>
              </w:rPr>
            </w:pPr>
            <w:r>
              <w:rPr>
                <w:b/>
                <w:sz w:val="24"/>
              </w:rPr>
              <w:t>数量</w:t>
            </w:r>
          </w:p>
        </w:tc>
        <w:tc>
          <w:tcPr>
            <w:tcW w:w="1701" w:type="dxa"/>
            <w:shd w:val="clear" w:color="auto" w:fill="BEBEBE"/>
          </w:tcPr>
          <w:p>
            <w:pPr>
              <w:pStyle w:val="12"/>
              <w:spacing w:before="5"/>
              <w:rPr>
                <w:b/>
                <w:sz w:val="24"/>
              </w:rPr>
            </w:pPr>
          </w:p>
          <w:p>
            <w:pPr>
              <w:pStyle w:val="12"/>
              <w:ind w:left="146" w:right="140"/>
              <w:jc w:val="center"/>
              <w:rPr>
                <w:b/>
                <w:sz w:val="24"/>
              </w:rPr>
            </w:pPr>
            <w:r>
              <w:rPr>
                <w:b/>
                <w:sz w:val="24"/>
              </w:rPr>
              <w:t>型号</w:t>
            </w:r>
          </w:p>
        </w:tc>
        <w:tc>
          <w:tcPr>
            <w:tcW w:w="1746" w:type="dxa"/>
            <w:shd w:val="clear" w:color="auto" w:fill="BEBEBE"/>
          </w:tcPr>
          <w:p>
            <w:pPr>
              <w:pStyle w:val="12"/>
              <w:spacing w:before="5"/>
              <w:rPr>
                <w:b/>
                <w:sz w:val="24"/>
              </w:rPr>
            </w:pPr>
          </w:p>
          <w:p>
            <w:pPr>
              <w:pStyle w:val="12"/>
              <w:ind w:left="168" w:right="161"/>
              <w:jc w:val="center"/>
              <w:rPr>
                <w:b/>
                <w:sz w:val="24"/>
              </w:rPr>
            </w:pPr>
            <w:r>
              <w:rPr>
                <w:b/>
                <w:sz w:val="24"/>
              </w:rPr>
              <w:t>单价（元）</w:t>
            </w:r>
          </w:p>
        </w:tc>
        <w:tc>
          <w:tcPr>
            <w:tcW w:w="2081" w:type="dxa"/>
            <w:shd w:val="clear" w:color="auto" w:fill="BEBEBE"/>
          </w:tcPr>
          <w:p>
            <w:pPr>
              <w:pStyle w:val="12"/>
              <w:spacing w:before="5"/>
              <w:rPr>
                <w:b/>
                <w:sz w:val="24"/>
              </w:rPr>
            </w:pPr>
          </w:p>
          <w:p>
            <w:pPr>
              <w:pStyle w:val="12"/>
              <w:ind w:left="338" w:right="327"/>
              <w:jc w:val="center"/>
              <w:rPr>
                <w:b/>
                <w:sz w:val="24"/>
              </w:rPr>
            </w:pPr>
            <w:r>
              <w:rPr>
                <w:b/>
                <w:sz w:val="24"/>
              </w:rPr>
              <w:t>小计（元）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709" w:type="dxa"/>
          </w:tcPr>
          <w:p>
            <w:pPr>
              <w:pStyle w:val="12"/>
              <w:spacing w:before="2"/>
              <w:rPr>
                <w:b/>
                <w:sz w:val="27"/>
              </w:rPr>
            </w:pPr>
          </w:p>
          <w:p>
            <w:pPr>
              <w:pStyle w:val="12"/>
              <w:ind w:left="6"/>
              <w:jc w:val="center"/>
              <w:rPr>
                <w:rFonts w:ascii="Times New Roman"/>
                <w:sz w:val="21"/>
              </w:rPr>
            </w:pPr>
            <w:r>
              <w:rPr>
                <w:rFonts w:ascii="Times New Roman"/>
                <w:w w:val="99"/>
                <w:sz w:val="21"/>
              </w:rPr>
              <w:t>1</w:t>
            </w:r>
          </w:p>
        </w:tc>
        <w:tc>
          <w:tcPr>
            <w:tcW w:w="1701" w:type="dxa"/>
          </w:tcPr>
          <w:p>
            <w:pPr>
              <w:pStyle w:val="12"/>
              <w:ind w:left="167"/>
              <w:rPr>
                <w:sz w:val="24"/>
                <w:lang w:eastAsia="zh-CN"/>
              </w:rPr>
            </w:pPr>
          </w:p>
          <w:p>
            <w:pPr>
              <w:pStyle w:val="12"/>
              <w:spacing w:before="1"/>
              <w:ind w:left="167" w:right="139"/>
              <w:jc w:val="center"/>
              <w:rPr>
                <w:sz w:val="24"/>
                <w:lang w:eastAsia="zh-CN"/>
              </w:rPr>
            </w:pPr>
            <w:r>
              <w:rPr>
                <w:rFonts w:hint="eastAsia"/>
                <w:sz w:val="24"/>
                <w:lang w:eastAsia="zh-CN"/>
              </w:rPr>
              <w:t>系统集成服务</w:t>
            </w:r>
          </w:p>
        </w:tc>
        <w:tc>
          <w:tcPr>
            <w:tcW w:w="709" w:type="dxa"/>
          </w:tcPr>
          <w:p>
            <w:pPr>
              <w:pStyle w:val="12"/>
              <w:spacing w:before="8"/>
              <w:ind w:left="167"/>
              <w:rPr>
                <w:sz w:val="24"/>
                <w:lang w:eastAsia="zh-CN"/>
              </w:rPr>
            </w:pPr>
          </w:p>
          <w:p>
            <w:pPr>
              <w:pStyle w:val="12"/>
              <w:ind w:left="167"/>
              <w:jc w:val="center"/>
              <w:rPr>
                <w:sz w:val="24"/>
                <w:lang w:eastAsia="zh-CN"/>
              </w:rPr>
            </w:pPr>
            <w:r>
              <w:rPr>
                <w:sz w:val="24"/>
                <w:lang w:eastAsia="zh-CN"/>
              </w:rPr>
              <w:t>1</w:t>
            </w:r>
          </w:p>
        </w:tc>
        <w:tc>
          <w:tcPr>
            <w:tcW w:w="1701" w:type="dxa"/>
          </w:tcPr>
          <w:p>
            <w:pPr>
              <w:adjustRightInd w:val="0"/>
              <w:ind w:left="167"/>
              <w:rPr>
                <w:sz w:val="24"/>
                <w:lang w:eastAsia="zh-CN"/>
              </w:rPr>
            </w:pPr>
            <w:r>
              <w:rPr>
                <w:rFonts w:hint="eastAsia"/>
                <w:sz w:val="24"/>
                <w:lang w:eastAsia="zh-CN"/>
              </w:rPr>
              <w:t>浪潮商用机器</w:t>
            </w:r>
          </w:p>
          <w:p>
            <w:pPr>
              <w:adjustRightInd w:val="0"/>
              <w:ind w:left="167"/>
              <w:rPr>
                <w:sz w:val="24"/>
                <w:lang w:eastAsia="zh-CN"/>
              </w:rPr>
            </w:pPr>
            <w:r>
              <w:rPr>
                <w:sz w:val="24"/>
                <w:lang w:eastAsia="zh-CN"/>
              </w:rPr>
              <w:t>K1 Power E980</w:t>
            </w:r>
            <w:r>
              <w:rPr>
                <w:rFonts w:hint="eastAsia"/>
                <w:sz w:val="24"/>
                <w:lang w:eastAsia="zh-CN"/>
              </w:rPr>
              <w:t>、</w:t>
            </w:r>
            <w:r>
              <w:rPr>
                <w:sz w:val="24"/>
                <w:lang w:eastAsia="zh-CN"/>
              </w:rPr>
              <w:t xml:space="preserve">HMC </w:t>
            </w:r>
            <w:r>
              <w:rPr>
                <w:rFonts w:hint="eastAsia"/>
                <w:sz w:val="24"/>
                <w:lang w:eastAsia="zh-CN"/>
              </w:rPr>
              <w:t>管理平台</w:t>
            </w:r>
          </w:p>
          <w:p>
            <w:pPr>
              <w:adjustRightInd w:val="0"/>
              <w:ind w:left="167"/>
              <w:rPr>
                <w:sz w:val="24"/>
                <w:lang w:eastAsia="zh-CN"/>
              </w:rPr>
            </w:pPr>
            <w:r>
              <w:rPr>
                <w:sz w:val="24"/>
                <w:lang w:eastAsia="zh-CN"/>
              </w:rPr>
              <w:t xml:space="preserve">7042-Cri1 </w:t>
            </w:r>
            <w:r>
              <w:rPr>
                <w:rFonts w:hint="eastAsia"/>
                <w:sz w:val="24"/>
                <w:lang w:eastAsia="zh-CN"/>
              </w:rPr>
              <w:t>台及</w:t>
            </w:r>
          </w:p>
          <w:p>
            <w:pPr>
              <w:pStyle w:val="12"/>
              <w:ind w:left="167"/>
              <w:rPr>
                <w:sz w:val="24"/>
                <w:lang w:eastAsia="zh-CN"/>
              </w:rPr>
            </w:pPr>
            <w:r>
              <w:rPr>
                <w:sz w:val="24"/>
                <w:lang w:eastAsia="zh-CN"/>
              </w:rPr>
              <w:t xml:space="preserve">7316-TF5 1 </w:t>
            </w:r>
            <w:r>
              <w:rPr>
                <w:rFonts w:hint="eastAsia"/>
                <w:sz w:val="24"/>
                <w:lang w:eastAsia="zh-CN"/>
              </w:rPr>
              <w:t>台</w:t>
            </w:r>
            <w:r>
              <w:rPr>
                <w:sz w:val="24"/>
                <w:lang w:eastAsia="zh-CN"/>
              </w:rPr>
              <w:t>系统集成、整个项目调试、验收</w:t>
            </w:r>
            <w:r>
              <w:rPr>
                <w:rFonts w:hint="eastAsia"/>
                <w:sz w:val="24"/>
                <w:lang w:eastAsia="zh-CN"/>
              </w:rPr>
              <w:t>等</w:t>
            </w:r>
          </w:p>
        </w:tc>
        <w:tc>
          <w:tcPr>
            <w:tcW w:w="1746" w:type="dxa"/>
          </w:tcPr>
          <w:p>
            <w:pPr>
              <w:pStyle w:val="12"/>
              <w:ind w:left="167"/>
              <w:rPr>
                <w:sz w:val="24"/>
                <w:lang w:eastAsia="zh-CN"/>
              </w:rPr>
            </w:pPr>
          </w:p>
          <w:p>
            <w:pPr>
              <w:pStyle w:val="12"/>
              <w:spacing w:before="1"/>
              <w:ind w:left="167" w:right="161"/>
              <w:jc w:val="center"/>
              <w:rPr>
                <w:sz w:val="24"/>
                <w:lang w:eastAsia="zh-CN"/>
              </w:rPr>
            </w:pPr>
            <w:r>
              <w:rPr>
                <w:rFonts w:ascii="Calibri" w:hAnsi="Calibri" w:cs="Calibri"/>
                <w:sz w:val="24"/>
                <w:lang w:eastAsia="zh-CN"/>
              </w:rPr>
              <w:t>¥</w:t>
            </w:r>
            <w:r>
              <w:rPr>
                <w:sz w:val="24"/>
                <w:lang w:eastAsia="zh-CN"/>
              </w:rPr>
              <w:t>550,000.00</w:t>
            </w:r>
          </w:p>
        </w:tc>
        <w:tc>
          <w:tcPr>
            <w:tcW w:w="2081" w:type="dxa"/>
          </w:tcPr>
          <w:p>
            <w:pPr>
              <w:pStyle w:val="12"/>
              <w:ind w:left="167"/>
              <w:rPr>
                <w:sz w:val="24"/>
                <w:lang w:eastAsia="zh-CN"/>
              </w:rPr>
            </w:pPr>
          </w:p>
          <w:p>
            <w:pPr>
              <w:pStyle w:val="12"/>
              <w:spacing w:before="1"/>
              <w:ind w:left="167" w:right="328"/>
              <w:jc w:val="center"/>
              <w:rPr>
                <w:sz w:val="24"/>
                <w:lang w:eastAsia="zh-CN"/>
              </w:rPr>
            </w:pPr>
            <w:r>
              <w:rPr>
                <w:rFonts w:ascii="Calibri" w:hAnsi="Calibri" w:cs="Calibri"/>
                <w:sz w:val="24"/>
                <w:lang w:eastAsia="zh-CN"/>
              </w:rPr>
              <w:t>¥</w:t>
            </w:r>
            <w:r>
              <w:rPr>
                <w:sz w:val="24"/>
                <w:lang w:eastAsia="zh-CN"/>
              </w:rPr>
              <w:t>550,000.00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9" w:type="dxa"/>
            <w:tcBorders>
              <w:bottom w:val="nil"/>
            </w:tcBorders>
          </w:tcPr>
          <w:p>
            <w:pPr>
              <w:pStyle w:val="12"/>
              <w:rPr>
                <w:rFonts w:ascii="Times New Roman"/>
              </w:rPr>
            </w:pPr>
          </w:p>
        </w:tc>
        <w:tc>
          <w:tcPr>
            <w:tcW w:w="1701" w:type="dxa"/>
            <w:tcBorders>
              <w:bottom w:val="nil"/>
            </w:tcBorders>
          </w:tcPr>
          <w:p>
            <w:pPr>
              <w:pStyle w:val="12"/>
              <w:ind w:left="167"/>
              <w:rPr>
                <w:sz w:val="24"/>
                <w:lang w:eastAsia="zh-CN"/>
              </w:rPr>
            </w:pPr>
          </w:p>
        </w:tc>
        <w:tc>
          <w:tcPr>
            <w:tcW w:w="709" w:type="dxa"/>
            <w:tcBorders>
              <w:bottom w:val="nil"/>
            </w:tcBorders>
          </w:tcPr>
          <w:p>
            <w:pPr>
              <w:pStyle w:val="12"/>
              <w:ind w:left="167"/>
              <w:rPr>
                <w:sz w:val="24"/>
                <w:lang w:eastAsia="zh-CN"/>
              </w:rPr>
            </w:pPr>
          </w:p>
        </w:tc>
        <w:tc>
          <w:tcPr>
            <w:tcW w:w="1701" w:type="dxa"/>
            <w:tcBorders>
              <w:bottom w:val="nil"/>
            </w:tcBorders>
          </w:tcPr>
          <w:p>
            <w:pPr>
              <w:pStyle w:val="12"/>
              <w:spacing w:before="98"/>
              <w:ind w:left="167" w:right="140"/>
              <w:jc w:val="center"/>
              <w:rPr>
                <w:sz w:val="24"/>
                <w:lang w:eastAsia="zh-CN"/>
              </w:rPr>
            </w:pPr>
          </w:p>
          <w:p>
            <w:pPr>
              <w:pStyle w:val="12"/>
              <w:spacing w:before="98"/>
              <w:ind w:left="167" w:right="140"/>
              <w:jc w:val="center"/>
              <w:rPr>
                <w:sz w:val="24"/>
                <w:lang w:eastAsia="zh-CN"/>
              </w:rPr>
            </w:pPr>
            <w:r>
              <w:rPr>
                <w:rFonts w:hint="eastAsia"/>
                <w:sz w:val="24"/>
                <w:lang w:eastAsia="zh-CN"/>
              </w:rPr>
              <w:t>技术资料、技术咨询、技术演进及高级专家人天服务</w:t>
            </w:r>
          </w:p>
        </w:tc>
        <w:tc>
          <w:tcPr>
            <w:tcW w:w="1746" w:type="dxa"/>
            <w:tcBorders>
              <w:bottom w:val="nil"/>
            </w:tcBorders>
          </w:tcPr>
          <w:p>
            <w:pPr>
              <w:pStyle w:val="12"/>
              <w:ind w:left="167"/>
              <w:rPr>
                <w:sz w:val="24"/>
                <w:lang w:eastAsia="zh-CN"/>
              </w:rPr>
            </w:pPr>
          </w:p>
        </w:tc>
        <w:tc>
          <w:tcPr>
            <w:tcW w:w="2081" w:type="dxa"/>
            <w:tcBorders>
              <w:bottom w:val="nil"/>
            </w:tcBorders>
          </w:tcPr>
          <w:p>
            <w:pPr>
              <w:pStyle w:val="12"/>
              <w:ind w:left="167"/>
              <w:rPr>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709" w:type="dxa"/>
            <w:tcBorders>
              <w:top w:val="nil"/>
              <w:bottom w:val="nil"/>
            </w:tcBorders>
          </w:tcPr>
          <w:p>
            <w:pPr>
              <w:pStyle w:val="12"/>
              <w:rPr>
                <w:rFonts w:ascii="Times New Roman"/>
                <w:sz w:val="21"/>
              </w:rPr>
            </w:pPr>
            <w:r>
              <w:rPr>
                <w:rFonts w:ascii="Times New Roman"/>
                <w:w w:val="99"/>
                <w:sz w:val="21"/>
              </w:rPr>
              <w:t>2</w:t>
            </w:r>
          </w:p>
        </w:tc>
        <w:tc>
          <w:tcPr>
            <w:tcW w:w="1701" w:type="dxa"/>
            <w:tcBorders>
              <w:top w:val="nil"/>
              <w:bottom w:val="nil"/>
            </w:tcBorders>
          </w:tcPr>
          <w:p>
            <w:pPr>
              <w:pStyle w:val="12"/>
              <w:ind w:left="167"/>
              <w:rPr>
                <w:sz w:val="24"/>
                <w:lang w:eastAsia="zh-CN"/>
              </w:rPr>
            </w:pPr>
            <w:r>
              <w:rPr>
                <w:rFonts w:hint="eastAsia"/>
                <w:sz w:val="24"/>
                <w:lang w:eastAsia="zh-CN"/>
              </w:rPr>
              <w:t>技术支持服务</w:t>
            </w:r>
          </w:p>
        </w:tc>
        <w:tc>
          <w:tcPr>
            <w:tcW w:w="709" w:type="dxa"/>
            <w:tcBorders>
              <w:top w:val="nil"/>
              <w:bottom w:val="nil"/>
            </w:tcBorders>
          </w:tcPr>
          <w:p>
            <w:pPr>
              <w:pStyle w:val="12"/>
              <w:rPr>
                <w:sz w:val="24"/>
                <w:lang w:eastAsia="zh-CN"/>
              </w:rPr>
            </w:pPr>
            <w:r>
              <w:rPr>
                <w:sz w:val="24"/>
                <w:lang w:eastAsia="zh-CN"/>
              </w:rPr>
              <w:t>1</w:t>
            </w:r>
          </w:p>
        </w:tc>
        <w:tc>
          <w:tcPr>
            <w:tcW w:w="1701" w:type="dxa"/>
            <w:tcBorders>
              <w:top w:val="nil"/>
              <w:bottom w:val="nil"/>
            </w:tcBorders>
          </w:tcPr>
          <w:p>
            <w:pPr>
              <w:pStyle w:val="12"/>
              <w:rPr>
                <w:sz w:val="24"/>
                <w:lang w:eastAsia="zh-CN"/>
              </w:rPr>
            </w:pPr>
          </w:p>
        </w:tc>
        <w:tc>
          <w:tcPr>
            <w:tcW w:w="1746" w:type="dxa"/>
            <w:tcBorders>
              <w:top w:val="nil"/>
              <w:bottom w:val="nil"/>
            </w:tcBorders>
          </w:tcPr>
          <w:p>
            <w:pPr>
              <w:pStyle w:val="12"/>
              <w:ind w:firstLine="240" w:firstLineChars="100"/>
              <w:rPr>
                <w:sz w:val="24"/>
                <w:lang w:eastAsia="zh-CN"/>
              </w:rPr>
            </w:pPr>
            <w:r>
              <w:rPr>
                <w:rFonts w:ascii="Calibri" w:hAnsi="Calibri" w:cs="Calibri"/>
                <w:sz w:val="24"/>
                <w:lang w:eastAsia="zh-CN"/>
              </w:rPr>
              <w:t>¥</w:t>
            </w:r>
            <w:r>
              <w:rPr>
                <w:sz w:val="24"/>
                <w:lang w:eastAsia="zh-CN"/>
              </w:rPr>
              <w:t>950</w:t>
            </w:r>
            <w:r>
              <w:rPr>
                <w:rFonts w:hint="eastAsia"/>
                <w:sz w:val="24"/>
                <w:lang w:eastAsia="zh-CN"/>
              </w:rPr>
              <w:t>,</w:t>
            </w:r>
            <w:r>
              <w:rPr>
                <w:sz w:val="24"/>
                <w:lang w:eastAsia="zh-CN"/>
              </w:rPr>
              <w:t>000.00</w:t>
            </w:r>
          </w:p>
        </w:tc>
        <w:tc>
          <w:tcPr>
            <w:tcW w:w="2081" w:type="dxa"/>
            <w:tcBorders>
              <w:top w:val="nil"/>
              <w:bottom w:val="nil"/>
            </w:tcBorders>
          </w:tcPr>
          <w:p>
            <w:pPr>
              <w:pStyle w:val="12"/>
              <w:ind w:firstLine="240" w:firstLineChars="100"/>
              <w:rPr>
                <w:sz w:val="24"/>
                <w:lang w:eastAsia="zh-CN"/>
              </w:rPr>
            </w:pPr>
            <w:r>
              <w:rPr>
                <w:rFonts w:ascii="Calibri" w:hAnsi="Calibri" w:cs="Calibri"/>
                <w:sz w:val="24"/>
                <w:lang w:eastAsia="zh-CN"/>
              </w:rPr>
              <w:t>¥</w:t>
            </w:r>
            <w:r>
              <w:rPr>
                <w:sz w:val="24"/>
                <w:lang w:eastAsia="zh-CN"/>
              </w:rPr>
              <w:t>950</w:t>
            </w:r>
            <w:r>
              <w:rPr>
                <w:rFonts w:hint="eastAsia"/>
                <w:sz w:val="24"/>
                <w:lang w:eastAsia="zh-CN"/>
              </w:rPr>
              <w:t>,</w:t>
            </w:r>
            <w:r>
              <w:rPr>
                <w:sz w:val="24"/>
                <w:lang w:eastAsia="zh-CN"/>
              </w:rPr>
              <w:t>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709" w:type="dxa"/>
          </w:tcPr>
          <w:p>
            <w:pPr>
              <w:pStyle w:val="12"/>
              <w:spacing w:before="1"/>
              <w:rPr>
                <w:b/>
                <w:sz w:val="18"/>
                <w:lang w:eastAsia="zh-CN"/>
              </w:rPr>
            </w:pPr>
          </w:p>
          <w:p>
            <w:pPr>
              <w:pStyle w:val="12"/>
              <w:ind w:left="6"/>
              <w:jc w:val="center"/>
              <w:rPr>
                <w:rFonts w:ascii="Times New Roman"/>
                <w:sz w:val="21"/>
              </w:rPr>
            </w:pPr>
            <w:r>
              <w:rPr>
                <w:rFonts w:ascii="Times New Roman"/>
                <w:w w:val="99"/>
                <w:sz w:val="21"/>
              </w:rPr>
              <w:t>3</w:t>
            </w:r>
          </w:p>
        </w:tc>
        <w:tc>
          <w:tcPr>
            <w:tcW w:w="1701" w:type="dxa"/>
          </w:tcPr>
          <w:p>
            <w:pPr>
              <w:pStyle w:val="12"/>
              <w:ind w:left="167"/>
              <w:rPr>
                <w:sz w:val="24"/>
                <w:lang w:eastAsia="zh-CN"/>
              </w:rPr>
            </w:pPr>
          </w:p>
          <w:p>
            <w:pPr>
              <w:pStyle w:val="12"/>
              <w:ind w:left="167" w:right="139"/>
              <w:jc w:val="center"/>
              <w:rPr>
                <w:sz w:val="24"/>
                <w:lang w:eastAsia="zh-CN"/>
              </w:rPr>
            </w:pPr>
            <w:r>
              <w:rPr>
                <w:rFonts w:hint="eastAsia"/>
                <w:sz w:val="24"/>
                <w:lang w:eastAsia="zh-CN"/>
              </w:rPr>
              <w:t>培训服务</w:t>
            </w:r>
          </w:p>
        </w:tc>
        <w:tc>
          <w:tcPr>
            <w:tcW w:w="709" w:type="dxa"/>
          </w:tcPr>
          <w:p>
            <w:pPr>
              <w:pStyle w:val="12"/>
              <w:spacing w:before="200"/>
              <w:ind w:left="167"/>
              <w:jc w:val="center"/>
              <w:rPr>
                <w:sz w:val="24"/>
                <w:lang w:eastAsia="zh-CN"/>
              </w:rPr>
            </w:pPr>
            <w:r>
              <w:rPr>
                <w:sz w:val="24"/>
                <w:lang w:eastAsia="zh-CN"/>
              </w:rPr>
              <w:t>1</w:t>
            </w:r>
          </w:p>
        </w:tc>
        <w:tc>
          <w:tcPr>
            <w:tcW w:w="1701" w:type="dxa"/>
          </w:tcPr>
          <w:p>
            <w:pPr>
              <w:adjustRightInd w:val="0"/>
              <w:ind w:left="167"/>
              <w:rPr>
                <w:sz w:val="24"/>
                <w:lang w:eastAsia="zh-CN"/>
              </w:rPr>
            </w:pPr>
            <w:r>
              <w:rPr>
                <w:rFonts w:hint="eastAsia"/>
                <w:sz w:val="24"/>
                <w:lang w:eastAsia="zh-CN"/>
              </w:rPr>
              <w:t>浪潮商用机器</w:t>
            </w:r>
          </w:p>
          <w:p>
            <w:pPr>
              <w:adjustRightInd w:val="0"/>
              <w:ind w:left="167"/>
              <w:rPr>
                <w:sz w:val="24"/>
                <w:lang w:eastAsia="zh-CN"/>
              </w:rPr>
            </w:pPr>
            <w:r>
              <w:rPr>
                <w:sz w:val="24"/>
                <w:lang w:eastAsia="zh-CN"/>
              </w:rPr>
              <w:t>K1 Power E980</w:t>
            </w:r>
            <w:r>
              <w:rPr>
                <w:rFonts w:hint="eastAsia"/>
                <w:sz w:val="24"/>
                <w:lang w:eastAsia="zh-CN"/>
              </w:rPr>
              <w:t>、</w:t>
            </w:r>
            <w:r>
              <w:rPr>
                <w:sz w:val="24"/>
                <w:lang w:eastAsia="zh-CN"/>
              </w:rPr>
              <w:t xml:space="preserve">HMC </w:t>
            </w:r>
            <w:r>
              <w:rPr>
                <w:rFonts w:hint="eastAsia"/>
                <w:sz w:val="24"/>
                <w:lang w:eastAsia="zh-CN"/>
              </w:rPr>
              <w:t>管理平台的技术培训、培训文档等</w:t>
            </w:r>
          </w:p>
        </w:tc>
        <w:tc>
          <w:tcPr>
            <w:tcW w:w="1746" w:type="dxa"/>
          </w:tcPr>
          <w:p>
            <w:pPr>
              <w:pStyle w:val="12"/>
              <w:ind w:left="167"/>
              <w:rPr>
                <w:sz w:val="24"/>
                <w:lang w:eastAsia="zh-CN"/>
              </w:rPr>
            </w:pPr>
          </w:p>
          <w:p>
            <w:pPr>
              <w:pStyle w:val="12"/>
              <w:ind w:left="167" w:right="161"/>
              <w:jc w:val="center"/>
              <w:rPr>
                <w:sz w:val="24"/>
                <w:lang w:eastAsia="zh-CN"/>
              </w:rPr>
            </w:pPr>
            <w:r>
              <w:rPr>
                <w:rFonts w:ascii="Calibri" w:hAnsi="Calibri" w:cs="Calibri"/>
                <w:sz w:val="24"/>
                <w:lang w:eastAsia="zh-CN"/>
              </w:rPr>
              <w:t>¥</w:t>
            </w:r>
            <w:r>
              <w:rPr>
                <w:sz w:val="24"/>
                <w:lang w:eastAsia="zh-CN"/>
              </w:rPr>
              <w:t>780,000.00</w:t>
            </w:r>
          </w:p>
        </w:tc>
        <w:tc>
          <w:tcPr>
            <w:tcW w:w="2081" w:type="dxa"/>
          </w:tcPr>
          <w:p>
            <w:pPr>
              <w:pStyle w:val="12"/>
              <w:ind w:left="167"/>
              <w:rPr>
                <w:sz w:val="24"/>
                <w:lang w:eastAsia="zh-CN"/>
              </w:rPr>
            </w:pPr>
          </w:p>
          <w:p>
            <w:pPr>
              <w:pStyle w:val="12"/>
              <w:ind w:left="167" w:right="328"/>
              <w:jc w:val="center"/>
              <w:rPr>
                <w:sz w:val="24"/>
                <w:lang w:eastAsia="zh-CN"/>
              </w:rPr>
            </w:pPr>
            <w:r>
              <w:rPr>
                <w:rFonts w:ascii="Calibri" w:hAnsi="Calibri" w:cs="Calibri"/>
                <w:sz w:val="24"/>
                <w:lang w:eastAsia="zh-CN"/>
              </w:rPr>
              <w:t>¥</w:t>
            </w:r>
            <w:r>
              <w:rPr>
                <w:sz w:val="24"/>
                <w:lang w:eastAsia="zh-CN"/>
              </w:rPr>
              <w:t>780,000.00</w:t>
            </w:r>
          </w:p>
        </w:tc>
      </w:tr>
    </w:tbl>
    <w:p>
      <w:pPr>
        <w:pStyle w:val="5"/>
        <w:spacing w:before="7"/>
        <w:ind w:left="0"/>
        <w:rPr>
          <w:b/>
          <w:sz w:val="5"/>
        </w:rPr>
      </w:pPr>
    </w:p>
    <w:p>
      <w:pPr>
        <w:spacing w:before="61"/>
        <w:ind w:left="800"/>
        <w:rPr>
          <w:b/>
          <w:sz w:val="28"/>
          <w:lang w:eastAsia="zh-CN"/>
        </w:rPr>
      </w:pPr>
      <w:r>
        <w:rPr>
          <w:b/>
          <w:spacing w:val="-1"/>
          <w:w w:val="95"/>
          <w:sz w:val="28"/>
          <w:lang w:eastAsia="zh-CN"/>
        </w:rPr>
        <w:t>注：设备详细配置参数详见本项目</w:t>
      </w:r>
      <w:r>
        <w:rPr>
          <w:rFonts w:hint="eastAsia"/>
          <w:b/>
          <w:spacing w:val="-1"/>
          <w:w w:val="95"/>
          <w:sz w:val="28"/>
          <w:lang w:eastAsia="zh-CN"/>
        </w:rPr>
        <w:t>买方</w:t>
      </w:r>
      <w:r>
        <w:rPr>
          <w:b/>
          <w:spacing w:val="-1"/>
          <w:w w:val="95"/>
          <w:sz w:val="28"/>
          <w:lang w:eastAsia="zh-CN"/>
        </w:rPr>
        <w:t>《投标文件》</w:t>
      </w:r>
    </w:p>
    <w:p>
      <w:pPr>
        <w:rPr>
          <w:sz w:val="28"/>
          <w:lang w:eastAsia="zh-CN"/>
        </w:rPr>
      </w:pPr>
    </w:p>
    <w:p>
      <w:pPr>
        <w:ind w:firstLine="720"/>
        <w:rPr>
          <w:sz w:val="28"/>
          <w:lang w:eastAsia="zh-CN"/>
        </w:rPr>
        <w:sectPr>
          <w:pgSz w:w="11910" w:h="16840"/>
          <w:pgMar w:top="1580" w:right="640" w:bottom="280" w:left="1000" w:header="720" w:footer="720" w:gutter="0"/>
          <w:cols w:space="720" w:num="1"/>
        </w:sectPr>
      </w:pPr>
      <w:r>
        <w:rPr>
          <w:rFonts w:hint="eastAsia"/>
          <w:sz w:val="28"/>
          <w:lang w:eastAsia="zh-CN"/>
        </w:rPr>
        <w:t>卖方承诺，为实现本项目最终用户的使用目的，本合同项下的采购内容均以最终用户需求为准，包括但不限于本合同的现有内容，如果本合同条款、合同附件、买方与最终用户招投标文件与本合同有矛盾之处，以有利于买方的文件内容为准。</w:t>
      </w:r>
    </w:p>
    <w:p>
      <w:pPr>
        <w:pStyle w:val="5"/>
        <w:spacing w:before="65"/>
        <w:rPr>
          <w:lang w:eastAsia="zh-CN"/>
        </w:rPr>
      </w:pPr>
      <w:r>
        <w:rPr>
          <w:spacing w:val="-20"/>
          <w:lang w:eastAsia="zh-CN"/>
        </w:rPr>
        <w:t xml:space="preserve">附件 </w:t>
      </w:r>
      <w:r>
        <w:rPr>
          <w:rFonts w:ascii="Times New Roman" w:eastAsia="Times New Roman"/>
          <w:lang w:eastAsia="zh-CN"/>
        </w:rPr>
        <w:t>2</w:t>
      </w:r>
      <w:r>
        <w:rPr>
          <w:lang w:eastAsia="zh-CN"/>
        </w:rPr>
        <w:t>：</w:t>
      </w:r>
    </w:p>
    <w:p>
      <w:pPr>
        <w:spacing w:before="377"/>
        <w:ind w:left="800"/>
        <w:rPr>
          <w:rFonts w:ascii="黑体" w:eastAsia="黑体"/>
          <w:sz w:val="48"/>
          <w:lang w:eastAsia="zh-CN"/>
        </w:rPr>
      </w:pPr>
      <w:r>
        <w:rPr>
          <w:lang w:eastAsia="zh-CN"/>
        </w:rPr>
        <w:br w:type="column"/>
      </w:r>
      <w:r>
        <w:rPr>
          <w:rFonts w:hint="eastAsia" w:ascii="黑体" w:eastAsia="黑体"/>
          <w:sz w:val="48"/>
          <w:lang w:eastAsia="zh-CN"/>
        </w:rPr>
        <w:t>保密协议</w:t>
      </w:r>
    </w:p>
    <w:p>
      <w:pPr>
        <w:rPr>
          <w:rFonts w:ascii="黑体" w:eastAsia="黑体"/>
          <w:sz w:val="48"/>
          <w:lang w:eastAsia="zh-CN"/>
        </w:rPr>
        <w:sectPr>
          <w:pgSz w:w="11910" w:h="16840"/>
          <w:pgMar w:top="1360" w:right="640" w:bottom="280" w:left="1000" w:header="720" w:footer="720" w:gutter="0"/>
          <w:cols w:equalWidth="0" w:num="2">
            <w:col w:w="1741" w:space="1451"/>
            <w:col w:w="7078"/>
          </w:cols>
        </w:sectPr>
      </w:pPr>
    </w:p>
    <w:p>
      <w:pPr>
        <w:pStyle w:val="5"/>
        <w:ind w:left="0"/>
        <w:rPr>
          <w:rFonts w:ascii="黑体"/>
          <w:sz w:val="20"/>
          <w:lang w:eastAsia="zh-CN"/>
        </w:rPr>
      </w:pPr>
    </w:p>
    <w:p>
      <w:pPr>
        <w:pStyle w:val="5"/>
        <w:spacing w:before="1"/>
        <w:ind w:left="0"/>
        <w:rPr>
          <w:rFonts w:ascii="黑体"/>
          <w:sz w:val="18"/>
          <w:lang w:eastAsia="zh-CN"/>
        </w:rPr>
      </w:pPr>
    </w:p>
    <w:p>
      <w:pPr>
        <w:pStyle w:val="5"/>
        <w:spacing w:before="66" w:line="364" w:lineRule="auto"/>
        <w:ind w:right="1065" w:firstLine="480"/>
        <w:rPr>
          <w:lang w:eastAsia="zh-CN"/>
        </w:rPr>
      </w:pPr>
      <w:r>
        <w:rPr>
          <w:lang w:eastAsia="zh-CN"/>
        </w:rPr>
        <w:t>为了保护买卖双方在项目实施以及合作过程中涉及的商业秘密和技术秘密， 买卖双方经友好协商，就卖方承担买方委托的项目，签订如下保密协议：</w:t>
      </w:r>
    </w:p>
    <w:p>
      <w:pPr>
        <w:pStyle w:val="4"/>
        <w:tabs>
          <w:tab w:val="left" w:pos="2059"/>
        </w:tabs>
        <w:spacing w:before="1"/>
        <w:ind w:left="980"/>
        <w:jc w:val="left"/>
        <w:rPr>
          <w:lang w:eastAsia="zh-CN"/>
        </w:rPr>
      </w:pPr>
      <w:r>
        <w:rPr>
          <w:lang w:eastAsia="zh-CN"/>
        </w:rPr>
        <w:t>（一）</w:t>
      </w:r>
      <w:r>
        <w:rPr>
          <w:lang w:eastAsia="zh-CN"/>
        </w:rPr>
        <w:tab/>
      </w:r>
      <w:r>
        <w:rPr>
          <w:lang w:eastAsia="zh-CN"/>
        </w:rPr>
        <w:t>保密内容和范围：</w:t>
      </w:r>
    </w:p>
    <w:p>
      <w:pPr>
        <w:pStyle w:val="11"/>
        <w:numPr>
          <w:ilvl w:val="0"/>
          <w:numId w:val="18"/>
        </w:numPr>
        <w:tabs>
          <w:tab w:val="left" w:pos="1461"/>
        </w:tabs>
        <w:spacing w:before="161" w:line="364" w:lineRule="auto"/>
        <w:ind w:right="917" w:firstLine="480"/>
        <w:rPr>
          <w:sz w:val="24"/>
          <w:lang w:eastAsia="zh-CN"/>
        </w:rPr>
      </w:pPr>
      <w:r>
        <w:rPr>
          <w:spacing w:val="-2"/>
          <w:sz w:val="24"/>
          <w:lang w:eastAsia="zh-CN"/>
        </w:rPr>
        <w:t>卖方在项目进行过程中从买方获得的所有文档资料、软件、与项目实施相关</w:t>
      </w:r>
      <w:r>
        <w:rPr>
          <w:sz w:val="24"/>
          <w:lang w:eastAsia="zh-CN"/>
        </w:rPr>
        <w:t>的系统账号（系统管理员账号、普通账号</w:t>
      </w:r>
      <w:r>
        <w:rPr>
          <w:spacing w:val="-120"/>
          <w:sz w:val="24"/>
          <w:lang w:eastAsia="zh-CN"/>
        </w:rPr>
        <w:t>）</w:t>
      </w:r>
      <w:r>
        <w:rPr>
          <w:sz w:val="24"/>
          <w:lang w:eastAsia="zh-CN"/>
        </w:rPr>
        <w:t>，和用以上账号可以获取的有关系 统</w:t>
      </w:r>
      <w:r>
        <w:rPr>
          <w:spacing w:val="-16"/>
          <w:sz w:val="24"/>
          <w:lang w:eastAsia="zh-CN"/>
        </w:rPr>
        <w:t>、业务、用户的数据和信息，及在项目进行过程中开发出的一切中间文档资料， 包</w:t>
      </w:r>
      <w:r>
        <w:rPr>
          <w:spacing w:val="-15"/>
          <w:sz w:val="24"/>
          <w:lang w:eastAsia="zh-CN"/>
        </w:rPr>
        <w:t>括</w:t>
      </w:r>
      <w:r>
        <w:rPr>
          <w:spacing w:val="-3"/>
          <w:sz w:val="24"/>
          <w:lang w:eastAsia="zh-CN"/>
        </w:rPr>
        <w:t>（</w:t>
      </w:r>
      <w:r>
        <w:rPr>
          <w:sz w:val="24"/>
          <w:lang w:eastAsia="zh-CN"/>
        </w:rPr>
        <w:t>但不限于</w:t>
      </w:r>
      <w:r>
        <w:rPr>
          <w:spacing w:val="-15"/>
          <w:sz w:val="24"/>
          <w:lang w:eastAsia="zh-CN"/>
        </w:rPr>
        <w:t>）</w:t>
      </w:r>
      <w:r>
        <w:rPr>
          <w:spacing w:val="-7"/>
          <w:sz w:val="24"/>
          <w:lang w:eastAsia="zh-CN"/>
        </w:rPr>
        <w:t>业务需求书、操作手册、软件开发说明书、系统安装、部署手 册</w:t>
      </w:r>
      <w:r>
        <w:rPr>
          <w:spacing w:val="-15"/>
          <w:sz w:val="24"/>
          <w:lang w:eastAsia="zh-CN"/>
        </w:rPr>
        <w:t>、接口规范说明书、测试文档、培训文档、管理文档、源代码、各种安装程序、技术支持文档、数据、技术、方法和其他信息，无论是以书面、口头、电子或其 他</w:t>
      </w:r>
      <w:r>
        <w:rPr>
          <w:spacing w:val="-17"/>
          <w:sz w:val="24"/>
          <w:lang w:eastAsia="zh-CN"/>
        </w:rPr>
        <w:t xml:space="preserve">任何形式或载于何种载体，都视为本项目实施以及合作过程中涉及的保密信息， </w:t>
      </w:r>
      <w:r>
        <w:rPr>
          <w:sz w:val="24"/>
          <w:lang w:eastAsia="zh-CN"/>
        </w:rPr>
        <w:t>这些信息的用途仅限于该项目。</w:t>
      </w:r>
    </w:p>
    <w:p>
      <w:pPr>
        <w:pStyle w:val="11"/>
        <w:numPr>
          <w:ilvl w:val="0"/>
          <w:numId w:val="18"/>
        </w:numPr>
        <w:tabs>
          <w:tab w:val="left" w:pos="1465"/>
        </w:tabs>
        <w:spacing w:before="5" w:line="364" w:lineRule="auto"/>
        <w:ind w:right="1065" w:firstLine="480"/>
        <w:rPr>
          <w:sz w:val="24"/>
          <w:lang w:eastAsia="zh-CN"/>
        </w:rPr>
      </w:pPr>
      <w:r>
        <w:rPr>
          <w:spacing w:val="3"/>
          <w:sz w:val="24"/>
          <w:lang w:eastAsia="zh-CN"/>
        </w:rPr>
        <w:t>买方在项目进行过程中从卖方获得的涉及卖方商业秘密和技术秘密的有</w:t>
      </w:r>
      <w:r>
        <w:rPr>
          <w:spacing w:val="2"/>
          <w:sz w:val="24"/>
          <w:lang w:eastAsia="zh-CN"/>
        </w:rPr>
        <w:t xml:space="preserve">关文件、资料等，无论是以书面、口头、电子或其他任何形式或载于何种载体， </w:t>
      </w:r>
      <w:r>
        <w:rPr>
          <w:sz w:val="24"/>
          <w:lang w:eastAsia="zh-CN"/>
        </w:rPr>
        <w:t>都属于保密信息。</w:t>
      </w:r>
    </w:p>
    <w:p>
      <w:pPr>
        <w:pStyle w:val="4"/>
        <w:tabs>
          <w:tab w:val="left" w:pos="2059"/>
        </w:tabs>
        <w:spacing w:before="1"/>
        <w:ind w:left="980"/>
        <w:jc w:val="left"/>
        <w:rPr>
          <w:lang w:eastAsia="zh-CN"/>
        </w:rPr>
      </w:pPr>
      <w:r>
        <w:rPr>
          <w:lang w:eastAsia="zh-CN"/>
        </w:rPr>
        <w:t>（二）</w:t>
      </w:r>
      <w:r>
        <w:rPr>
          <w:lang w:eastAsia="zh-CN"/>
        </w:rPr>
        <w:tab/>
      </w:r>
      <w:r>
        <w:rPr>
          <w:lang w:eastAsia="zh-CN"/>
        </w:rPr>
        <w:t>双方的权利和义务</w:t>
      </w:r>
    </w:p>
    <w:p>
      <w:pPr>
        <w:pStyle w:val="11"/>
        <w:numPr>
          <w:ilvl w:val="0"/>
          <w:numId w:val="19"/>
        </w:numPr>
        <w:tabs>
          <w:tab w:val="left" w:pos="1461"/>
        </w:tabs>
        <w:spacing w:before="161" w:line="364" w:lineRule="auto"/>
        <w:ind w:right="1157" w:firstLine="480"/>
        <w:jc w:val="both"/>
        <w:rPr>
          <w:sz w:val="24"/>
          <w:lang w:eastAsia="zh-CN"/>
        </w:rPr>
      </w:pPr>
      <w:r>
        <w:rPr>
          <w:spacing w:val="-3"/>
          <w:sz w:val="24"/>
          <w:lang w:eastAsia="zh-CN"/>
        </w:rPr>
        <w:t>买卖双方必须严格遵守双方签署的保密协议，保证不向除参与本项目工作</w:t>
      </w:r>
      <w:r>
        <w:rPr>
          <w:spacing w:val="-5"/>
          <w:sz w:val="24"/>
          <w:lang w:eastAsia="zh-CN"/>
        </w:rPr>
        <w:t>人员外的任何其他卖方人员及第三方透露本协议的存在、本协议的任何内容，以</w:t>
      </w:r>
      <w:r>
        <w:rPr>
          <w:spacing w:val="-7"/>
          <w:sz w:val="24"/>
          <w:lang w:eastAsia="zh-CN"/>
        </w:rPr>
        <w:t>及买卖双方的保密信息。除为履行项目合同外，未经对方书面同意，任何一方不</w:t>
      </w:r>
      <w:r>
        <w:rPr>
          <w:sz w:val="24"/>
          <w:lang w:eastAsia="zh-CN"/>
        </w:rPr>
        <w:t>得擅自使用对方的向任何第三方泄露对方的保密信息。</w:t>
      </w:r>
    </w:p>
    <w:p>
      <w:pPr>
        <w:pStyle w:val="11"/>
        <w:numPr>
          <w:ilvl w:val="0"/>
          <w:numId w:val="19"/>
        </w:numPr>
        <w:tabs>
          <w:tab w:val="left" w:pos="1461"/>
        </w:tabs>
        <w:spacing w:before="2" w:line="364" w:lineRule="auto"/>
        <w:ind w:right="1125" w:firstLine="480"/>
        <w:rPr>
          <w:sz w:val="24"/>
          <w:lang w:eastAsia="zh-CN"/>
        </w:rPr>
      </w:pPr>
      <w:r>
        <w:rPr>
          <w:spacing w:val="-1"/>
          <w:sz w:val="24"/>
          <w:lang w:eastAsia="zh-CN"/>
        </w:rPr>
        <w:t xml:space="preserve">未经买方书面同意，卖方不得将保密内容中约定的任何资料带出办公区， </w:t>
      </w:r>
      <w:r>
        <w:rPr>
          <w:sz w:val="24"/>
          <w:lang w:eastAsia="zh-CN"/>
        </w:rPr>
        <w:t>不得带回家中或公共场所，并禁止对任何信息进行复制和仿造。</w:t>
      </w:r>
    </w:p>
    <w:p>
      <w:pPr>
        <w:pStyle w:val="11"/>
        <w:numPr>
          <w:ilvl w:val="0"/>
          <w:numId w:val="19"/>
        </w:numPr>
        <w:tabs>
          <w:tab w:val="left" w:pos="1461"/>
        </w:tabs>
        <w:spacing w:line="364" w:lineRule="auto"/>
        <w:ind w:right="1037" w:firstLine="480"/>
        <w:rPr>
          <w:sz w:val="24"/>
          <w:lang w:eastAsia="zh-CN"/>
        </w:rPr>
      </w:pPr>
      <w:r>
        <w:rPr>
          <w:spacing w:val="-2"/>
          <w:sz w:val="24"/>
          <w:lang w:eastAsia="zh-CN"/>
        </w:rPr>
        <w:t>当买方要求卖方交回所提供的项目相关资料时，卖方应立即交回所有书面</w:t>
      </w:r>
      <w:r>
        <w:rPr>
          <w:spacing w:val="-10"/>
          <w:sz w:val="24"/>
          <w:lang w:eastAsia="zh-CN"/>
        </w:rPr>
        <w:t>的或以其他形式存在的资料，包括含有保密信息资料的媒体及其全部复印件或摘</w:t>
      </w:r>
      <w:r>
        <w:rPr>
          <w:spacing w:val="-18"/>
          <w:sz w:val="24"/>
          <w:lang w:eastAsia="zh-CN"/>
        </w:rPr>
        <w:t xml:space="preserve">要。如果该等资料属于不能归还的形式、或已经复制或转录到其他资料或载体中， </w:t>
      </w:r>
      <w:r>
        <w:rPr>
          <w:spacing w:val="-5"/>
          <w:sz w:val="24"/>
          <w:lang w:eastAsia="zh-CN"/>
        </w:rPr>
        <w:t>则应在买方的监督下进行删除或销毁。没有买方的允许，卖方不得丢弃和处理任何书面的或有形的资料及信息。</w:t>
      </w:r>
    </w:p>
    <w:p>
      <w:pPr>
        <w:spacing w:line="364" w:lineRule="auto"/>
        <w:rPr>
          <w:sz w:val="24"/>
          <w:lang w:eastAsia="zh-CN"/>
        </w:rPr>
        <w:sectPr>
          <w:type w:val="continuous"/>
          <w:pgSz w:w="11910" w:h="16840"/>
          <w:pgMar w:top="1580" w:right="640" w:bottom="280" w:left="1000" w:header="720" w:footer="720" w:gutter="0"/>
          <w:cols w:space="720" w:num="1"/>
        </w:sectPr>
      </w:pPr>
    </w:p>
    <w:p>
      <w:pPr>
        <w:pStyle w:val="11"/>
        <w:numPr>
          <w:ilvl w:val="0"/>
          <w:numId w:val="19"/>
        </w:numPr>
        <w:tabs>
          <w:tab w:val="left" w:pos="1461"/>
        </w:tabs>
        <w:spacing w:before="62"/>
        <w:ind w:left="1461"/>
        <w:rPr>
          <w:sz w:val="24"/>
          <w:lang w:eastAsia="zh-CN"/>
        </w:rPr>
      </w:pPr>
      <w:r>
        <w:rPr>
          <w:sz w:val="24"/>
          <w:lang w:eastAsia="zh-CN"/>
        </w:rPr>
        <w:t>若某一方参与本项目工作人员违反本协议约定，该方应承担责任。</w:t>
      </w:r>
    </w:p>
    <w:p>
      <w:pPr>
        <w:pStyle w:val="11"/>
        <w:numPr>
          <w:ilvl w:val="0"/>
          <w:numId w:val="19"/>
        </w:numPr>
        <w:tabs>
          <w:tab w:val="left" w:pos="1465"/>
        </w:tabs>
        <w:spacing w:before="160" w:line="364" w:lineRule="auto"/>
        <w:ind w:right="1160" w:firstLine="480"/>
        <w:rPr>
          <w:sz w:val="24"/>
          <w:lang w:eastAsia="zh-CN"/>
        </w:rPr>
      </w:pPr>
      <w:r>
        <w:rPr>
          <w:spacing w:val="3"/>
          <w:sz w:val="24"/>
          <w:lang w:eastAsia="zh-CN"/>
        </w:rPr>
        <w:t>双方应采取保密措施和制度保护该秘密该保密措施的保密程度应达到或高于为保护其自有保密信息所采用的措施和制度的保密程度。</w:t>
      </w:r>
    </w:p>
    <w:p>
      <w:pPr>
        <w:pStyle w:val="11"/>
        <w:numPr>
          <w:ilvl w:val="0"/>
          <w:numId w:val="19"/>
        </w:numPr>
        <w:tabs>
          <w:tab w:val="left" w:pos="1461"/>
        </w:tabs>
        <w:spacing w:before="2" w:line="364" w:lineRule="auto"/>
        <w:ind w:right="1157" w:firstLine="480"/>
        <w:jc w:val="both"/>
        <w:rPr>
          <w:sz w:val="24"/>
          <w:lang w:eastAsia="zh-CN"/>
        </w:rPr>
      </w:pPr>
      <w:r>
        <w:rPr>
          <w:spacing w:val="-5"/>
          <w:sz w:val="24"/>
          <w:lang w:eastAsia="zh-CN"/>
        </w:rPr>
        <w:t>除非买方明确授权，卖方不能将买方授予其关于项目任何信息的行为视为</w:t>
      </w:r>
      <w:r>
        <w:rPr>
          <w:spacing w:val="-8"/>
          <w:sz w:val="24"/>
          <w:lang w:eastAsia="zh-CN"/>
        </w:rPr>
        <w:t>对买方任何专利权、专利申请权、商标权、著作权、商业秘密或其它的知识产权</w:t>
      </w:r>
      <w:r>
        <w:rPr>
          <w:sz w:val="24"/>
          <w:lang w:eastAsia="zh-CN"/>
        </w:rPr>
        <w:t>的授予。</w:t>
      </w:r>
    </w:p>
    <w:p>
      <w:pPr>
        <w:pStyle w:val="11"/>
        <w:numPr>
          <w:ilvl w:val="0"/>
          <w:numId w:val="19"/>
        </w:numPr>
        <w:tabs>
          <w:tab w:val="left" w:pos="1461"/>
        </w:tabs>
        <w:ind w:left="1461"/>
        <w:rPr>
          <w:sz w:val="24"/>
          <w:lang w:eastAsia="zh-CN"/>
        </w:rPr>
      </w:pPr>
      <w:r>
        <w:rPr>
          <w:sz w:val="24"/>
          <w:lang w:eastAsia="zh-CN"/>
        </w:rPr>
        <w:t>除用于履行本合同外，任何时候均不得利用该秘密。</w:t>
      </w:r>
    </w:p>
    <w:p>
      <w:pPr>
        <w:pStyle w:val="11"/>
        <w:numPr>
          <w:ilvl w:val="0"/>
          <w:numId w:val="19"/>
        </w:numPr>
        <w:tabs>
          <w:tab w:val="left" w:pos="1461"/>
        </w:tabs>
        <w:spacing w:before="161" w:line="364" w:lineRule="auto"/>
        <w:ind w:right="1157" w:firstLine="480"/>
        <w:rPr>
          <w:sz w:val="24"/>
          <w:lang w:eastAsia="zh-CN"/>
        </w:rPr>
      </w:pPr>
      <w:r>
        <w:rPr>
          <w:spacing w:val="-3"/>
          <w:sz w:val="24"/>
          <w:lang w:eastAsia="zh-CN"/>
        </w:rPr>
        <w:t>任何一方在任何时间任何期限里没有行使其在本协议项下的权利，并不能</w:t>
      </w:r>
      <w:r>
        <w:rPr>
          <w:sz w:val="24"/>
          <w:lang w:eastAsia="zh-CN"/>
        </w:rPr>
        <w:t>解释为他已经放弃了该权利。</w:t>
      </w:r>
    </w:p>
    <w:p>
      <w:pPr>
        <w:pStyle w:val="4"/>
        <w:tabs>
          <w:tab w:val="left" w:pos="2059"/>
        </w:tabs>
        <w:spacing w:before="1"/>
        <w:ind w:left="980"/>
        <w:jc w:val="left"/>
        <w:rPr>
          <w:lang w:eastAsia="zh-CN"/>
        </w:rPr>
      </w:pPr>
      <w:r>
        <w:rPr>
          <w:lang w:eastAsia="zh-CN"/>
        </w:rPr>
        <w:t>（三）</w:t>
      </w:r>
      <w:r>
        <w:rPr>
          <w:lang w:eastAsia="zh-CN"/>
        </w:rPr>
        <w:tab/>
      </w:r>
      <w:r>
        <w:rPr>
          <w:lang w:eastAsia="zh-CN"/>
        </w:rPr>
        <w:t>例外约定</w:t>
      </w:r>
    </w:p>
    <w:p>
      <w:pPr>
        <w:pStyle w:val="5"/>
        <w:spacing w:before="161"/>
        <w:ind w:left="1234"/>
        <w:rPr>
          <w:lang w:eastAsia="zh-CN"/>
        </w:rPr>
      </w:pPr>
      <w:r>
        <w:rPr>
          <w:lang w:eastAsia="zh-CN"/>
        </w:rPr>
        <w:t>双方同意下述情形不属于保密范围：</w:t>
      </w:r>
    </w:p>
    <w:p>
      <w:pPr>
        <w:pStyle w:val="11"/>
        <w:numPr>
          <w:ilvl w:val="0"/>
          <w:numId w:val="20"/>
        </w:numPr>
        <w:tabs>
          <w:tab w:val="left" w:pos="1416"/>
        </w:tabs>
        <w:spacing w:before="160"/>
        <w:ind w:hanging="182"/>
        <w:rPr>
          <w:sz w:val="24"/>
          <w:lang w:eastAsia="zh-CN"/>
        </w:rPr>
      </w:pPr>
      <w:r>
        <w:rPr>
          <w:sz w:val="24"/>
          <w:lang w:eastAsia="zh-CN"/>
        </w:rPr>
        <w:t>该保密信息已经或正在变成公众可以获取的信息；</w:t>
      </w:r>
    </w:p>
    <w:p>
      <w:pPr>
        <w:pStyle w:val="11"/>
        <w:numPr>
          <w:ilvl w:val="0"/>
          <w:numId w:val="20"/>
        </w:numPr>
        <w:tabs>
          <w:tab w:val="left" w:pos="1416"/>
        </w:tabs>
        <w:spacing w:before="161"/>
        <w:ind w:hanging="182"/>
        <w:rPr>
          <w:sz w:val="24"/>
          <w:lang w:eastAsia="zh-CN"/>
        </w:rPr>
      </w:pPr>
      <w:r>
        <w:rPr>
          <w:sz w:val="24"/>
          <w:lang w:eastAsia="zh-CN"/>
        </w:rPr>
        <w:t>能书面证明接受方从拥有方收到保密信息之前已经熟知该保密信息；</w:t>
      </w:r>
    </w:p>
    <w:p>
      <w:pPr>
        <w:pStyle w:val="11"/>
        <w:numPr>
          <w:ilvl w:val="0"/>
          <w:numId w:val="20"/>
        </w:numPr>
        <w:tabs>
          <w:tab w:val="left" w:pos="1416"/>
        </w:tabs>
        <w:spacing w:before="160"/>
        <w:ind w:hanging="182"/>
        <w:rPr>
          <w:sz w:val="24"/>
        </w:rPr>
      </w:pPr>
      <w:r>
        <w:rPr>
          <w:sz w:val="24"/>
        </w:rPr>
        <w:t>由第三方合法提供的信息；</w:t>
      </w:r>
    </w:p>
    <w:p>
      <w:pPr>
        <w:pStyle w:val="11"/>
        <w:numPr>
          <w:ilvl w:val="0"/>
          <w:numId w:val="20"/>
        </w:numPr>
        <w:tabs>
          <w:tab w:val="left" w:pos="1416"/>
        </w:tabs>
        <w:spacing w:before="161"/>
        <w:ind w:hanging="182"/>
        <w:rPr>
          <w:sz w:val="24"/>
          <w:lang w:eastAsia="zh-CN"/>
        </w:rPr>
      </w:pPr>
      <w:r>
        <w:rPr>
          <w:sz w:val="24"/>
          <w:lang w:eastAsia="zh-CN"/>
        </w:rPr>
        <w:t>未使用拥有方的技术资料，由接受方独立开发出来的技术；</w:t>
      </w:r>
    </w:p>
    <w:p>
      <w:pPr>
        <w:pStyle w:val="11"/>
        <w:numPr>
          <w:ilvl w:val="0"/>
          <w:numId w:val="20"/>
        </w:numPr>
        <w:tabs>
          <w:tab w:val="left" w:pos="1416"/>
        </w:tabs>
        <w:spacing w:before="160"/>
        <w:ind w:hanging="182"/>
        <w:rPr>
          <w:sz w:val="24"/>
          <w:lang w:eastAsia="zh-CN"/>
        </w:rPr>
      </w:pPr>
      <w:r>
        <w:rPr>
          <w:sz w:val="24"/>
          <w:lang w:eastAsia="zh-CN"/>
        </w:rPr>
        <w:t>法律、法规要求必须公开的信息。</w:t>
      </w:r>
    </w:p>
    <w:p>
      <w:pPr>
        <w:pStyle w:val="4"/>
        <w:spacing w:before="161"/>
        <w:ind w:left="980"/>
        <w:jc w:val="both"/>
        <w:rPr>
          <w:lang w:eastAsia="zh-CN"/>
        </w:rPr>
      </w:pPr>
      <w:r>
        <w:rPr>
          <w:lang w:eastAsia="zh-CN"/>
        </w:rPr>
        <w:t>（四） 保密期限：</w:t>
      </w:r>
    </w:p>
    <w:p>
      <w:pPr>
        <w:pStyle w:val="5"/>
        <w:spacing w:before="160" w:line="364" w:lineRule="auto"/>
        <w:ind w:right="1157" w:firstLine="480"/>
        <w:jc w:val="both"/>
        <w:rPr>
          <w:lang w:eastAsia="zh-CN"/>
        </w:rPr>
      </w:pPr>
      <w:r>
        <w:rPr>
          <w:rFonts w:ascii="Times New Roman" w:eastAsia="Times New Roman"/>
          <w:lang w:eastAsia="zh-CN"/>
        </w:rPr>
        <w:t>1.</w:t>
      </w:r>
      <w:r>
        <w:rPr>
          <w:spacing w:val="3"/>
          <w:lang w:eastAsia="zh-CN"/>
        </w:rPr>
        <w:t>除非买卖双方以书面形式明确说明本协议所涉及的保密内容和范围可以</w:t>
      </w:r>
      <w:r>
        <w:rPr>
          <w:spacing w:val="-9"/>
          <w:lang w:eastAsia="zh-CN"/>
        </w:rPr>
        <w:t>不用保密，买卖双方必须按照本协议的约定承担保密义务，对在协议结束前收到</w:t>
      </w:r>
      <w:r>
        <w:rPr>
          <w:lang w:eastAsia="zh-CN"/>
        </w:rPr>
        <w:t>的所有信息进行保密，保密期限不受本协议所涉及的合同有效期限的限制。</w:t>
      </w:r>
    </w:p>
    <w:p>
      <w:pPr>
        <w:pStyle w:val="4"/>
        <w:spacing w:before="2"/>
        <w:ind w:left="980"/>
        <w:jc w:val="both"/>
      </w:pPr>
      <w:r>
        <w:t>（五） 违约责任：</w:t>
      </w:r>
    </w:p>
    <w:p>
      <w:pPr>
        <w:pStyle w:val="11"/>
        <w:numPr>
          <w:ilvl w:val="0"/>
          <w:numId w:val="21"/>
        </w:numPr>
        <w:tabs>
          <w:tab w:val="left" w:pos="1580"/>
        </w:tabs>
        <w:spacing w:before="160"/>
        <w:rPr>
          <w:sz w:val="24"/>
          <w:lang w:eastAsia="zh-CN"/>
        </w:rPr>
      </w:pPr>
      <w:r>
        <w:rPr>
          <w:spacing w:val="-3"/>
          <w:sz w:val="24"/>
          <w:lang w:eastAsia="zh-CN"/>
        </w:rPr>
        <w:t>任何一方违反此协议，在违约方承担责任后，双方可协商继续履行合同；</w:t>
      </w:r>
    </w:p>
    <w:p>
      <w:pPr>
        <w:pStyle w:val="11"/>
        <w:numPr>
          <w:ilvl w:val="0"/>
          <w:numId w:val="21"/>
        </w:numPr>
        <w:tabs>
          <w:tab w:val="left" w:pos="1583"/>
        </w:tabs>
        <w:spacing w:before="161" w:line="364" w:lineRule="auto"/>
        <w:ind w:left="800" w:right="1157" w:firstLine="480"/>
        <w:rPr>
          <w:sz w:val="24"/>
          <w:lang w:eastAsia="zh-CN"/>
        </w:rPr>
      </w:pPr>
      <w:r>
        <w:rPr>
          <w:sz w:val="24"/>
          <w:lang w:eastAsia="zh-CN"/>
        </w:rPr>
        <w:t>任何一方违约，给另一方造成损失或严重后果，另一方有权无条件解除项目合同，违约方承担违约责任并赔偿由此给守约方造成的全部损失。</w:t>
      </w:r>
    </w:p>
    <w:p>
      <w:pPr>
        <w:pStyle w:val="4"/>
        <w:tabs>
          <w:tab w:val="left" w:pos="2059"/>
        </w:tabs>
        <w:spacing w:before="1"/>
        <w:ind w:left="980"/>
        <w:jc w:val="left"/>
        <w:rPr>
          <w:lang w:eastAsia="zh-CN"/>
        </w:rPr>
      </w:pPr>
      <w:r>
        <w:rPr>
          <w:lang w:eastAsia="zh-CN"/>
        </w:rPr>
        <w:t>（六）</w:t>
      </w:r>
      <w:r>
        <w:rPr>
          <w:lang w:eastAsia="zh-CN"/>
        </w:rPr>
        <w:tab/>
      </w:r>
      <w:r>
        <w:rPr>
          <w:lang w:eastAsia="zh-CN"/>
        </w:rPr>
        <w:t>争议解决：</w:t>
      </w:r>
    </w:p>
    <w:p>
      <w:pPr>
        <w:pStyle w:val="5"/>
        <w:spacing w:before="161" w:line="364" w:lineRule="auto"/>
        <w:ind w:right="1157" w:firstLine="480"/>
        <w:rPr>
          <w:lang w:eastAsia="zh-CN"/>
        </w:rPr>
      </w:pPr>
      <w:r>
        <w:rPr>
          <w:spacing w:val="-6"/>
          <w:lang w:eastAsia="zh-CN"/>
        </w:rPr>
        <w:t>双方在履行本协议过程中出现争议时，双方进行友好协商，协商不成，双方</w:t>
      </w:r>
      <w:r>
        <w:rPr>
          <w:lang w:eastAsia="zh-CN"/>
        </w:rPr>
        <w:t>可向买方所在地法院提起诉讼。</w:t>
      </w:r>
    </w:p>
    <w:p>
      <w:pPr>
        <w:pStyle w:val="4"/>
        <w:tabs>
          <w:tab w:val="left" w:pos="2059"/>
        </w:tabs>
        <w:spacing w:before="1"/>
        <w:ind w:left="980"/>
        <w:jc w:val="left"/>
      </w:pPr>
      <w:r>
        <w:t>（七）</w:t>
      </w:r>
      <w:r>
        <w:tab/>
      </w:r>
      <w:r>
        <w:t>其他约定：</w:t>
      </w:r>
    </w:p>
    <w:p>
      <w:pPr>
        <w:pStyle w:val="11"/>
        <w:numPr>
          <w:ilvl w:val="0"/>
          <w:numId w:val="22"/>
        </w:numPr>
        <w:tabs>
          <w:tab w:val="left" w:pos="1461"/>
        </w:tabs>
        <w:spacing w:before="160"/>
        <w:rPr>
          <w:sz w:val="24"/>
          <w:lang w:eastAsia="zh-CN"/>
        </w:rPr>
      </w:pPr>
      <w:r>
        <w:rPr>
          <w:spacing w:val="-2"/>
          <w:sz w:val="24"/>
          <w:lang w:eastAsia="zh-CN"/>
        </w:rPr>
        <w:t>本协议于合同签字盖章之日签订并生效，本协议的保密义务不因本合同的</w:t>
      </w:r>
    </w:p>
    <w:p>
      <w:pPr>
        <w:rPr>
          <w:sz w:val="24"/>
          <w:lang w:eastAsia="zh-CN"/>
        </w:rPr>
        <w:sectPr>
          <w:pgSz w:w="11910" w:h="16840"/>
          <w:pgMar w:top="1440" w:right="640" w:bottom="280" w:left="1000" w:header="720" w:footer="720" w:gutter="0"/>
          <w:cols w:space="720" w:num="1"/>
        </w:sectPr>
      </w:pPr>
    </w:p>
    <w:p>
      <w:pPr>
        <w:pStyle w:val="5"/>
        <w:spacing w:before="42"/>
      </w:pPr>
      <w:r>
        <w:t>终止而终止。</w:t>
      </w:r>
    </w:p>
    <w:p>
      <w:pPr>
        <w:pStyle w:val="11"/>
        <w:numPr>
          <w:ilvl w:val="0"/>
          <w:numId w:val="22"/>
        </w:numPr>
        <w:tabs>
          <w:tab w:val="left" w:pos="1461"/>
        </w:tabs>
        <w:spacing w:before="160"/>
        <w:rPr>
          <w:sz w:val="24"/>
          <w:lang w:eastAsia="zh-CN"/>
        </w:rPr>
      </w:pPr>
      <w:r>
        <w:rPr>
          <w:sz w:val="24"/>
          <w:lang w:eastAsia="zh-CN"/>
        </w:rPr>
        <w:t>未尽事宜由双方友好协商解决。</w:t>
      </w:r>
    </w:p>
    <w:p>
      <w:pPr>
        <w:pStyle w:val="11"/>
        <w:numPr>
          <w:ilvl w:val="0"/>
          <w:numId w:val="22"/>
        </w:numPr>
        <w:tabs>
          <w:tab w:val="left" w:pos="1461"/>
        </w:tabs>
        <w:spacing w:before="161"/>
        <w:rPr>
          <w:sz w:val="24"/>
          <w:lang w:eastAsia="zh-CN"/>
        </w:rPr>
      </w:pPr>
      <w:r>
        <w:rPr>
          <w:spacing w:val="-2"/>
          <w:sz w:val="24"/>
          <w:lang w:eastAsia="zh-CN"/>
        </w:rPr>
        <w:t>此保密协议是双方所签订合同不可或缺的部分，与合同文本具有同等效力。</w:t>
      </w:r>
    </w:p>
    <w:p>
      <w:pPr>
        <w:rPr>
          <w:sz w:val="24"/>
          <w:lang w:eastAsia="zh-CN"/>
        </w:rPr>
        <w:sectPr>
          <w:pgSz w:w="11910" w:h="16840"/>
          <w:pgMar w:top="1460" w:right="640" w:bottom="280" w:left="1000" w:header="720" w:footer="720" w:gutter="0"/>
          <w:cols w:space="720" w:num="1"/>
        </w:sectPr>
      </w:pPr>
    </w:p>
    <w:p>
      <w:pPr>
        <w:pStyle w:val="5"/>
        <w:spacing w:before="52"/>
        <w:rPr>
          <w:lang w:eastAsia="zh-CN"/>
        </w:rPr>
      </w:pPr>
      <w:r>
        <w:rPr>
          <w:spacing w:val="-20"/>
          <w:lang w:eastAsia="zh-CN"/>
        </w:rPr>
        <w:t xml:space="preserve">附件 </w:t>
      </w:r>
      <w:r>
        <w:rPr>
          <w:rFonts w:ascii="Times New Roman" w:eastAsia="Times New Roman"/>
          <w:spacing w:val="-10"/>
          <w:lang w:eastAsia="zh-CN"/>
        </w:rPr>
        <w:t>3</w:t>
      </w:r>
      <w:r>
        <w:rPr>
          <w:spacing w:val="-10"/>
          <w:lang w:eastAsia="zh-CN"/>
        </w:rPr>
        <w:t>：</w:t>
      </w:r>
    </w:p>
    <w:p>
      <w:pPr>
        <w:pStyle w:val="2"/>
        <w:spacing w:before="411"/>
        <w:rPr>
          <w:lang w:eastAsia="zh-CN"/>
        </w:rPr>
      </w:pPr>
      <w:r>
        <w:rPr>
          <w:b w:val="0"/>
          <w:lang w:eastAsia="zh-CN"/>
        </w:rPr>
        <w:br w:type="column"/>
      </w:r>
      <w:r>
        <w:rPr>
          <w:lang w:eastAsia="zh-CN"/>
        </w:rPr>
        <w:t>外包服务水平协议（</w:t>
      </w:r>
      <w:r>
        <w:rPr>
          <w:rFonts w:ascii="Times New Roman" w:eastAsia="Times New Roman"/>
          <w:lang w:eastAsia="zh-CN"/>
        </w:rPr>
        <w:t>SLA</w:t>
      </w:r>
      <w:r>
        <w:rPr>
          <w:lang w:eastAsia="zh-CN"/>
        </w:rPr>
        <w:t>）</w:t>
      </w:r>
    </w:p>
    <w:p>
      <w:pPr>
        <w:rPr>
          <w:lang w:eastAsia="zh-CN"/>
        </w:rPr>
        <w:sectPr>
          <w:pgSz w:w="11910" w:h="16840"/>
          <w:pgMar w:top="1580" w:right="640" w:bottom="280" w:left="1000" w:header="720" w:footer="720" w:gutter="0"/>
          <w:cols w:equalWidth="0" w:num="2">
            <w:col w:w="1701" w:space="40"/>
            <w:col w:w="8529"/>
          </w:cols>
        </w:sectPr>
      </w:pPr>
    </w:p>
    <w:p>
      <w:pPr>
        <w:pStyle w:val="5"/>
        <w:ind w:left="0"/>
        <w:rPr>
          <w:rFonts w:ascii="宋体"/>
          <w:b/>
          <w:sz w:val="20"/>
          <w:lang w:eastAsia="zh-CN"/>
        </w:rPr>
      </w:pPr>
    </w:p>
    <w:p>
      <w:pPr>
        <w:pStyle w:val="5"/>
        <w:ind w:left="0"/>
        <w:rPr>
          <w:rFonts w:ascii="宋体"/>
          <w:b/>
          <w:sz w:val="20"/>
          <w:lang w:eastAsia="zh-CN"/>
        </w:rPr>
      </w:pPr>
    </w:p>
    <w:p>
      <w:pPr>
        <w:pStyle w:val="3"/>
        <w:spacing w:before="231"/>
        <w:rPr>
          <w:rFonts w:ascii="黑体" w:eastAsia="黑体"/>
          <w:lang w:eastAsia="zh-CN"/>
        </w:rPr>
      </w:pPr>
      <w:r>
        <w:rPr>
          <w:rFonts w:hint="eastAsia" w:ascii="黑体" w:eastAsia="黑体"/>
          <w:lang w:eastAsia="zh-CN"/>
        </w:rPr>
        <w:t>一、目标和内容</w:t>
      </w:r>
    </w:p>
    <w:p>
      <w:pPr>
        <w:pStyle w:val="5"/>
        <w:spacing w:before="214" w:line="364" w:lineRule="auto"/>
        <w:ind w:right="1090" w:firstLine="480"/>
        <w:jc w:val="both"/>
        <w:rPr>
          <w:lang w:eastAsia="zh-CN"/>
        </w:rPr>
      </w:pPr>
      <w:r>
        <w:rPr>
          <w:lang w:eastAsia="zh-CN"/>
        </w:rPr>
        <w:t>签订本服务水平协议（</w:t>
      </w:r>
      <w:r>
        <w:rPr>
          <w:rFonts w:ascii="Times New Roman" w:eastAsia="Times New Roman"/>
          <w:lang w:eastAsia="zh-CN"/>
        </w:rPr>
        <w:t>SLA</w:t>
      </w:r>
      <w:r>
        <w:rPr>
          <w:lang w:eastAsia="zh-CN"/>
        </w:rPr>
        <w:t>）的目标是为了清晰地定义由外包商（即卖方</w:t>
      </w:r>
      <w:r>
        <w:rPr>
          <w:spacing w:val="-16"/>
          <w:lang w:eastAsia="zh-CN"/>
        </w:rPr>
        <w:t xml:space="preserve">） </w:t>
      </w:r>
      <w:r>
        <w:rPr>
          <w:spacing w:val="-3"/>
          <w:lang w:eastAsia="zh-CN"/>
        </w:rPr>
        <w:t>在本项目中为辽宁省农村信用社</w:t>
      </w:r>
      <w:r>
        <w:rPr>
          <w:lang w:eastAsia="zh-CN"/>
        </w:rPr>
        <w:t>（即买方</w:t>
      </w:r>
      <w:r>
        <w:rPr>
          <w:spacing w:val="-32"/>
          <w:lang w:eastAsia="zh-CN"/>
        </w:rPr>
        <w:t>）</w:t>
      </w:r>
      <w:r>
        <w:rPr>
          <w:spacing w:val="-4"/>
          <w:lang w:eastAsia="zh-CN"/>
        </w:rPr>
        <w:t>提供的服务水平管理，本服务水平协议（</w:t>
      </w:r>
      <w:r>
        <w:rPr>
          <w:rFonts w:ascii="Times New Roman" w:eastAsia="Times New Roman"/>
          <w:spacing w:val="-4"/>
          <w:lang w:eastAsia="zh-CN"/>
        </w:rPr>
        <w:t>SLA</w:t>
      </w:r>
      <w:r>
        <w:rPr>
          <w:spacing w:val="-4"/>
          <w:lang w:eastAsia="zh-CN"/>
        </w:rPr>
        <w:t>）主要内容为：</w:t>
      </w:r>
    </w:p>
    <w:p>
      <w:pPr>
        <w:pStyle w:val="11"/>
        <w:numPr>
          <w:ilvl w:val="0"/>
          <w:numId w:val="23"/>
        </w:numPr>
        <w:tabs>
          <w:tab w:val="left" w:pos="1580"/>
        </w:tabs>
        <w:spacing w:before="2"/>
        <w:jc w:val="both"/>
        <w:rPr>
          <w:sz w:val="24"/>
          <w:lang w:eastAsia="zh-CN"/>
        </w:rPr>
      </w:pPr>
      <w:r>
        <w:rPr>
          <w:sz w:val="24"/>
          <w:lang w:eastAsia="zh-CN"/>
        </w:rPr>
        <w:t>明确买方对卖方所提供服务水平的期望。</w:t>
      </w:r>
    </w:p>
    <w:p>
      <w:pPr>
        <w:pStyle w:val="11"/>
        <w:numPr>
          <w:ilvl w:val="0"/>
          <w:numId w:val="23"/>
        </w:numPr>
        <w:tabs>
          <w:tab w:val="left" w:pos="1580"/>
        </w:tabs>
        <w:spacing w:before="160"/>
        <w:rPr>
          <w:sz w:val="24"/>
          <w:lang w:eastAsia="zh-CN"/>
        </w:rPr>
      </w:pPr>
      <w:r>
        <w:rPr>
          <w:sz w:val="24"/>
          <w:lang w:eastAsia="zh-CN"/>
        </w:rPr>
        <w:t>规范和加强买方对卖方所提供服务水平的控制。</w:t>
      </w:r>
    </w:p>
    <w:p>
      <w:pPr>
        <w:pStyle w:val="5"/>
        <w:spacing w:before="160" w:line="364" w:lineRule="auto"/>
        <w:ind w:right="1157" w:firstLine="480"/>
        <w:rPr>
          <w:lang w:eastAsia="zh-CN"/>
        </w:rPr>
      </w:pPr>
      <w:r>
        <w:rPr>
          <w:lang w:eastAsia="zh-CN"/>
        </w:rPr>
        <w:t>双方将针对本项目制定明确的职责分工表用来确定计划和管理服务水平协议的角色和职责。</w:t>
      </w:r>
    </w:p>
    <w:p>
      <w:pPr>
        <w:pStyle w:val="3"/>
        <w:spacing w:before="53"/>
        <w:rPr>
          <w:rFonts w:ascii="黑体" w:eastAsia="黑体"/>
          <w:lang w:eastAsia="zh-CN"/>
        </w:rPr>
      </w:pPr>
      <w:r>
        <w:rPr>
          <w:rFonts w:hint="eastAsia" w:ascii="黑体" w:eastAsia="黑体"/>
          <w:lang w:eastAsia="zh-CN"/>
        </w:rPr>
        <w:t>二、协议期限</w:t>
      </w:r>
    </w:p>
    <w:p>
      <w:pPr>
        <w:pStyle w:val="5"/>
        <w:spacing w:before="214"/>
        <w:ind w:left="1460"/>
        <w:rPr>
          <w:lang w:eastAsia="zh-CN"/>
        </w:rPr>
      </w:pPr>
      <w:r>
        <w:rPr>
          <w:lang w:eastAsia="zh-CN"/>
        </w:rPr>
        <w:t>根据双方达成的一致要求，本协议的有效期与合同期限一致。</w:t>
      </w:r>
    </w:p>
    <w:p>
      <w:pPr>
        <w:pStyle w:val="3"/>
        <w:spacing w:before="212"/>
        <w:rPr>
          <w:rFonts w:ascii="黑体" w:eastAsia="黑体"/>
        </w:rPr>
      </w:pPr>
      <w:r>
        <w:rPr>
          <w:rFonts w:hint="eastAsia" w:ascii="黑体" w:eastAsia="黑体"/>
        </w:rPr>
        <w:t>三、双方职责</w:t>
      </w:r>
    </w:p>
    <w:p>
      <w:pPr>
        <w:pStyle w:val="4"/>
        <w:numPr>
          <w:ilvl w:val="0"/>
          <w:numId w:val="24"/>
        </w:numPr>
        <w:tabs>
          <w:tab w:val="left" w:pos="1452"/>
        </w:tabs>
        <w:spacing w:before="214"/>
        <w:ind w:hanging="182"/>
      </w:pPr>
      <w:bookmarkStart w:id="17" w:name="1.卖方"/>
      <w:bookmarkEnd w:id="17"/>
      <w:r>
        <w:t>卖方</w:t>
      </w:r>
    </w:p>
    <w:p>
      <w:pPr>
        <w:pStyle w:val="5"/>
        <w:spacing w:before="160" w:line="364" w:lineRule="auto"/>
        <w:ind w:right="1086" w:firstLine="480"/>
        <w:rPr>
          <w:lang w:eastAsia="zh-CN"/>
        </w:rPr>
      </w:pPr>
      <w:r>
        <w:rPr>
          <w:lang w:eastAsia="zh-CN"/>
        </w:rPr>
        <w:t>卖方除了提交在</w:t>
      </w:r>
      <w:r>
        <w:rPr>
          <w:rFonts w:ascii="Times New Roman" w:hAnsi="Times New Roman" w:eastAsia="Times New Roman"/>
          <w:lang w:eastAsia="zh-CN"/>
        </w:rPr>
        <w:t>“</w:t>
      </w:r>
      <w:r>
        <w:rPr>
          <w:lang w:eastAsia="zh-CN"/>
        </w:rPr>
        <w:t>第八条服务水平和指标</w:t>
      </w:r>
      <w:r>
        <w:rPr>
          <w:rFonts w:ascii="Times New Roman" w:hAnsi="Times New Roman" w:eastAsia="Times New Roman"/>
          <w:lang w:eastAsia="zh-CN"/>
        </w:rPr>
        <w:t>”</w:t>
      </w:r>
      <w:r>
        <w:rPr>
          <w:lang w:eastAsia="zh-CN"/>
        </w:rPr>
        <w:t>中描述的服务水平衡量和目标，还应该承担以下职责：</w:t>
      </w:r>
    </w:p>
    <w:p>
      <w:pPr>
        <w:pStyle w:val="11"/>
        <w:numPr>
          <w:ilvl w:val="0"/>
          <w:numId w:val="25"/>
        </w:numPr>
        <w:tabs>
          <w:tab w:val="left" w:pos="1881"/>
        </w:tabs>
        <w:rPr>
          <w:sz w:val="24"/>
          <w:lang w:eastAsia="zh-CN"/>
        </w:rPr>
      </w:pPr>
      <w:r>
        <w:rPr>
          <w:sz w:val="24"/>
          <w:lang w:eastAsia="zh-CN"/>
        </w:rPr>
        <w:t>实时向买方管理层汇报发现的问题。</w:t>
      </w:r>
    </w:p>
    <w:p>
      <w:pPr>
        <w:pStyle w:val="11"/>
        <w:numPr>
          <w:ilvl w:val="0"/>
          <w:numId w:val="25"/>
        </w:numPr>
        <w:tabs>
          <w:tab w:val="left" w:pos="1941"/>
        </w:tabs>
        <w:spacing w:before="161"/>
        <w:ind w:left="1941"/>
        <w:rPr>
          <w:sz w:val="24"/>
        </w:rPr>
      </w:pPr>
      <w:r>
        <w:rPr>
          <w:spacing w:val="-9"/>
          <w:sz w:val="24"/>
        </w:rPr>
        <w:t xml:space="preserve">帮助买方管理 </w:t>
      </w:r>
      <w:r>
        <w:rPr>
          <w:rFonts w:ascii="Times New Roman" w:eastAsia="Times New Roman"/>
          <w:sz w:val="24"/>
        </w:rPr>
        <w:t>SLA</w:t>
      </w:r>
      <w:r>
        <w:rPr>
          <w:sz w:val="24"/>
        </w:rPr>
        <w:t>。</w:t>
      </w:r>
    </w:p>
    <w:p>
      <w:pPr>
        <w:pStyle w:val="11"/>
        <w:numPr>
          <w:ilvl w:val="0"/>
          <w:numId w:val="25"/>
        </w:numPr>
        <w:tabs>
          <w:tab w:val="left" w:pos="1881"/>
        </w:tabs>
        <w:spacing w:before="160" w:line="364" w:lineRule="auto"/>
        <w:ind w:left="800" w:right="1157" w:firstLine="480"/>
        <w:rPr>
          <w:sz w:val="24"/>
        </w:rPr>
      </w:pPr>
      <w:r>
        <w:rPr>
          <w:spacing w:val="-5"/>
          <w:sz w:val="24"/>
          <w:lang w:eastAsia="zh-CN"/>
        </w:rPr>
        <w:t xml:space="preserve">任何可能影响卖方向买方提供 </w:t>
      </w:r>
      <w:r>
        <w:rPr>
          <w:rFonts w:ascii="Times New Roman" w:eastAsia="Times New Roman"/>
          <w:sz w:val="24"/>
          <w:lang w:eastAsia="zh-CN"/>
        </w:rPr>
        <w:t xml:space="preserve">SLA </w:t>
      </w:r>
      <w:r>
        <w:rPr>
          <w:spacing w:val="-3"/>
          <w:sz w:val="24"/>
          <w:lang w:eastAsia="zh-CN"/>
        </w:rPr>
        <w:t xml:space="preserve">中约定服务的服务能力的事件， </w:t>
      </w:r>
      <w:r>
        <w:rPr>
          <w:spacing w:val="-4"/>
          <w:sz w:val="24"/>
          <w:lang w:eastAsia="zh-CN"/>
        </w:rPr>
        <w:t>卖方应尽早向买方提供预警信息。</w:t>
      </w:r>
      <w:r>
        <w:rPr>
          <w:spacing w:val="-4"/>
          <w:sz w:val="24"/>
        </w:rPr>
        <w:t>事件包括但不限于：</w:t>
      </w:r>
    </w:p>
    <w:p>
      <w:pPr>
        <w:pStyle w:val="5"/>
        <w:spacing w:before="2" w:line="364" w:lineRule="auto"/>
        <w:ind w:left="2000" w:right="6658"/>
        <w:rPr>
          <w:lang w:eastAsia="zh-CN"/>
        </w:rPr>
      </w:pPr>
      <w:r>
        <w:rPr>
          <w:rFonts w:ascii="Times New Roman" w:eastAsia="Times New Roman"/>
          <w:lang w:eastAsia="zh-CN"/>
        </w:rPr>
        <w:t>a.</w:t>
      </w:r>
      <w:r>
        <w:rPr>
          <w:spacing w:val="-4"/>
          <w:lang w:eastAsia="zh-CN"/>
        </w:rPr>
        <w:t>组织架构变更</w:t>
      </w:r>
      <w:r>
        <w:rPr>
          <w:rFonts w:ascii="Times New Roman" w:eastAsia="Times New Roman"/>
          <w:lang w:eastAsia="zh-CN"/>
        </w:rPr>
        <w:t>b.</w:t>
      </w:r>
      <w:r>
        <w:rPr>
          <w:lang w:eastAsia="zh-CN"/>
        </w:rPr>
        <w:t>技术变更</w:t>
      </w:r>
    </w:p>
    <w:p>
      <w:pPr>
        <w:pStyle w:val="5"/>
        <w:spacing w:before="1"/>
        <w:ind w:left="2000"/>
      </w:pPr>
      <w:r>
        <w:rPr>
          <w:rFonts w:ascii="Times New Roman" w:eastAsia="Times New Roman"/>
          <w:spacing w:val="-1"/>
        </w:rPr>
        <w:t>c.</w:t>
      </w:r>
      <w:r>
        <w:t>职能变更</w:t>
      </w:r>
    </w:p>
    <w:p>
      <w:pPr>
        <w:pStyle w:val="11"/>
        <w:numPr>
          <w:ilvl w:val="0"/>
          <w:numId w:val="25"/>
        </w:numPr>
        <w:tabs>
          <w:tab w:val="left" w:pos="1881"/>
        </w:tabs>
        <w:spacing w:before="160" w:line="364" w:lineRule="auto"/>
        <w:ind w:left="800" w:right="1160" w:firstLine="480"/>
        <w:rPr>
          <w:sz w:val="24"/>
          <w:lang w:eastAsia="zh-CN"/>
        </w:rPr>
      </w:pPr>
      <w:r>
        <w:rPr>
          <w:spacing w:val="-1"/>
          <w:sz w:val="24"/>
          <w:lang w:eastAsia="zh-CN"/>
        </w:rPr>
        <w:t>协助买方及时解决生产事件。当问题产生时，应尽快采取适当的措施</w:t>
      </w:r>
      <w:r>
        <w:rPr>
          <w:sz w:val="24"/>
          <w:lang w:eastAsia="zh-CN"/>
        </w:rPr>
        <w:t>识别并修复问题。</w:t>
      </w:r>
    </w:p>
    <w:p>
      <w:pPr>
        <w:pStyle w:val="11"/>
        <w:numPr>
          <w:ilvl w:val="0"/>
          <w:numId w:val="25"/>
        </w:numPr>
        <w:tabs>
          <w:tab w:val="left" w:pos="1881"/>
        </w:tabs>
        <w:rPr>
          <w:rFonts w:ascii="Times New Roman" w:eastAsia="Times New Roman"/>
          <w:sz w:val="24"/>
          <w:lang w:eastAsia="zh-CN"/>
        </w:rPr>
      </w:pPr>
      <w:r>
        <w:rPr>
          <w:spacing w:val="-4"/>
          <w:sz w:val="24"/>
          <w:lang w:eastAsia="zh-CN"/>
        </w:rPr>
        <w:t xml:space="preserve">卖方要建立完善的业务连续性体系，在服务期内保障买方业务系统 </w:t>
      </w:r>
      <w:r>
        <w:rPr>
          <w:rFonts w:ascii="Times New Roman" w:eastAsia="Times New Roman"/>
          <w:sz w:val="24"/>
          <w:lang w:eastAsia="zh-CN"/>
        </w:rPr>
        <w:t>24</w:t>
      </w:r>
    </w:p>
    <w:p>
      <w:pPr>
        <w:pStyle w:val="5"/>
        <w:spacing w:before="161"/>
      </w:pPr>
      <w:r>
        <w:t>小时安全稳定运行。</w:t>
      </w:r>
    </w:p>
    <w:p>
      <w:pPr>
        <w:sectPr>
          <w:type w:val="continuous"/>
          <w:pgSz w:w="11910" w:h="16840"/>
          <w:pgMar w:top="1580" w:right="640" w:bottom="280" w:left="1000" w:header="720" w:footer="720" w:gutter="0"/>
          <w:cols w:space="720" w:num="1"/>
        </w:sectPr>
      </w:pPr>
    </w:p>
    <w:p>
      <w:pPr>
        <w:pStyle w:val="11"/>
        <w:numPr>
          <w:ilvl w:val="0"/>
          <w:numId w:val="25"/>
        </w:numPr>
        <w:tabs>
          <w:tab w:val="left" w:pos="1881"/>
        </w:tabs>
        <w:spacing w:before="62" w:line="364" w:lineRule="auto"/>
        <w:ind w:left="800" w:right="1157" w:firstLine="480"/>
        <w:jc w:val="both"/>
        <w:rPr>
          <w:sz w:val="24"/>
          <w:lang w:eastAsia="zh-CN"/>
        </w:rPr>
      </w:pPr>
      <w:r>
        <w:rPr>
          <w:spacing w:val="-1"/>
          <w:sz w:val="24"/>
          <w:lang w:eastAsia="zh-CN"/>
        </w:rPr>
        <w:t>卖方应该定期开展风险管理评估和第三方审计工作，应该接受买方的</w:t>
      </w:r>
      <w:r>
        <w:rPr>
          <w:spacing w:val="-9"/>
          <w:sz w:val="24"/>
          <w:lang w:eastAsia="zh-CN"/>
        </w:rPr>
        <w:t>定期审核和评估，并配合接受来自监管机构的各项检查，配合对监管意见做出相</w:t>
      </w:r>
      <w:r>
        <w:rPr>
          <w:sz w:val="24"/>
          <w:lang w:eastAsia="zh-CN"/>
        </w:rPr>
        <w:t>应的管理、服务、基础设施、软硬件等整改。</w:t>
      </w:r>
    </w:p>
    <w:p>
      <w:pPr>
        <w:pStyle w:val="4"/>
        <w:numPr>
          <w:ilvl w:val="0"/>
          <w:numId w:val="24"/>
        </w:numPr>
        <w:tabs>
          <w:tab w:val="left" w:pos="1452"/>
        </w:tabs>
        <w:spacing w:before="2"/>
        <w:ind w:hanging="182"/>
      </w:pPr>
      <w:bookmarkStart w:id="18" w:name="2.买方"/>
      <w:bookmarkEnd w:id="18"/>
      <w:r>
        <w:t>买方</w:t>
      </w:r>
    </w:p>
    <w:p>
      <w:pPr>
        <w:pStyle w:val="11"/>
        <w:numPr>
          <w:ilvl w:val="0"/>
          <w:numId w:val="26"/>
        </w:numPr>
        <w:tabs>
          <w:tab w:val="left" w:pos="1881"/>
        </w:tabs>
        <w:spacing w:before="160"/>
        <w:rPr>
          <w:sz w:val="24"/>
          <w:lang w:eastAsia="zh-CN"/>
        </w:rPr>
      </w:pPr>
      <w:r>
        <w:rPr>
          <w:sz w:val="24"/>
          <w:lang w:eastAsia="zh-CN"/>
        </w:rPr>
        <w:t>买方将尽快将问题汇报给买方服务台和卖方管理层。</w:t>
      </w:r>
    </w:p>
    <w:p>
      <w:pPr>
        <w:pStyle w:val="11"/>
        <w:numPr>
          <w:ilvl w:val="0"/>
          <w:numId w:val="26"/>
        </w:numPr>
        <w:tabs>
          <w:tab w:val="left" w:pos="1881"/>
        </w:tabs>
        <w:spacing w:before="161"/>
        <w:rPr>
          <w:sz w:val="24"/>
        </w:rPr>
      </w:pPr>
      <w:r>
        <w:rPr>
          <w:spacing w:val="-9"/>
          <w:sz w:val="24"/>
        </w:rPr>
        <w:t xml:space="preserve">协助卖方管理 </w:t>
      </w:r>
      <w:r>
        <w:rPr>
          <w:rFonts w:ascii="Times New Roman" w:eastAsia="Times New Roman"/>
          <w:sz w:val="24"/>
        </w:rPr>
        <w:t>SLA</w:t>
      </w:r>
      <w:r>
        <w:rPr>
          <w:sz w:val="24"/>
        </w:rPr>
        <w:t>。</w:t>
      </w:r>
    </w:p>
    <w:p>
      <w:pPr>
        <w:pStyle w:val="11"/>
        <w:numPr>
          <w:ilvl w:val="0"/>
          <w:numId w:val="26"/>
        </w:numPr>
        <w:tabs>
          <w:tab w:val="left" w:pos="1881"/>
        </w:tabs>
        <w:spacing w:before="160" w:line="364" w:lineRule="auto"/>
        <w:ind w:left="800" w:right="1157" w:firstLine="480"/>
        <w:rPr>
          <w:sz w:val="24"/>
          <w:lang w:eastAsia="zh-CN"/>
        </w:rPr>
      </w:pPr>
      <w:r>
        <w:rPr>
          <w:spacing w:val="-4"/>
          <w:sz w:val="24"/>
          <w:lang w:eastAsia="zh-CN"/>
        </w:rPr>
        <w:t xml:space="preserve">提供任何可能影响卖方向买方提供 </w:t>
      </w:r>
      <w:r>
        <w:rPr>
          <w:rFonts w:ascii="Times New Roman" w:eastAsia="Times New Roman"/>
          <w:sz w:val="24"/>
          <w:lang w:eastAsia="zh-CN"/>
        </w:rPr>
        <w:t xml:space="preserve">SLA </w:t>
      </w:r>
      <w:r>
        <w:rPr>
          <w:sz w:val="24"/>
          <w:lang w:eastAsia="zh-CN"/>
        </w:rPr>
        <w:t>中约定服务的服务能力的事</w:t>
      </w:r>
      <w:r>
        <w:rPr>
          <w:spacing w:val="-4"/>
          <w:sz w:val="24"/>
          <w:lang w:eastAsia="zh-CN"/>
        </w:rPr>
        <w:t>件信息，包括但不限于：</w:t>
      </w:r>
    </w:p>
    <w:p>
      <w:pPr>
        <w:pStyle w:val="5"/>
        <w:spacing w:before="1" w:line="364" w:lineRule="auto"/>
        <w:ind w:left="1880" w:right="6778"/>
        <w:rPr>
          <w:lang w:eastAsia="zh-CN"/>
        </w:rPr>
      </w:pPr>
      <w:r>
        <w:rPr>
          <w:rFonts w:ascii="Times New Roman" w:eastAsia="Times New Roman"/>
          <w:lang w:eastAsia="zh-CN"/>
        </w:rPr>
        <w:t>a.</w:t>
      </w:r>
      <w:r>
        <w:rPr>
          <w:spacing w:val="-4"/>
          <w:lang w:eastAsia="zh-CN"/>
        </w:rPr>
        <w:t>组织架构变更</w:t>
      </w:r>
      <w:r>
        <w:rPr>
          <w:rFonts w:ascii="Times New Roman" w:eastAsia="Times New Roman"/>
          <w:lang w:eastAsia="zh-CN"/>
        </w:rPr>
        <w:t>b.</w:t>
      </w:r>
      <w:r>
        <w:rPr>
          <w:lang w:eastAsia="zh-CN"/>
        </w:rPr>
        <w:t>技术变更</w:t>
      </w:r>
    </w:p>
    <w:p>
      <w:pPr>
        <w:pStyle w:val="5"/>
        <w:spacing w:before="2"/>
        <w:ind w:left="1880"/>
        <w:rPr>
          <w:lang w:eastAsia="zh-CN"/>
        </w:rPr>
      </w:pPr>
      <w:r>
        <w:rPr>
          <w:rFonts w:ascii="Times New Roman" w:eastAsia="Times New Roman"/>
          <w:spacing w:val="-1"/>
          <w:lang w:eastAsia="zh-CN"/>
        </w:rPr>
        <w:t>c.</w:t>
      </w:r>
      <w:r>
        <w:rPr>
          <w:lang w:eastAsia="zh-CN"/>
        </w:rPr>
        <w:t>职能变更</w:t>
      </w:r>
    </w:p>
    <w:p>
      <w:pPr>
        <w:pStyle w:val="3"/>
        <w:spacing w:before="214"/>
        <w:rPr>
          <w:rFonts w:ascii="黑体" w:eastAsia="黑体"/>
          <w:lang w:eastAsia="zh-CN"/>
        </w:rPr>
      </w:pPr>
      <w:r>
        <w:rPr>
          <w:rFonts w:hint="eastAsia" w:ascii="黑体" w:eastAsia="黑体"/>
          <w:lang w:eastAsia="zh-CN"/>
        </w:rPr>
        <w:t>四、服务内容</w:t>
      </w:r>
    </w:p>
    <w:p>
      <w:pPr>
        <w:pStyle w:val="5"/>
        <w:spacing w:before="211" w:line="364" w:lineRule="auto"/>
        <w:ind w:right="1157" w:firstLine="480"/>
        <w:jc w:val="both"/>
        <w:rPr>
          <w:lang w:eastAsia="zh-CN"/>
        </w:rPr>
      </w:pPr>
      <w:r>
        <w:rPr>
          <w:spacing w:val="-6"/>
          <w:lang w:eastAsia="zh-CN"/>
        </w:rPr>
        <w:t>卖方为买方提供的具体服务内容详见招标文件、投标文件及合同，并能够按</w:t>
      </w:r>
      <w:r>
        <w:rPr>
          <w:spacing w:val="-7"/>
          <w:lang w:eastAsia="zh-CN"/>
        </w:rPr>
        <w:t>照合同约定提供人员培训、认证考试等知识转移服务，所提供知识转移服务能够</w:t>
      </w:r>
      <w:r>
        <w:rPr>
          <w:spacing w:val="-5"/>
          <w:lang w:eastAsia="zh-CN"/>
        </w:rPr>
        <w:t>对推进项目实施、提高人员业务能力等起到重要推动作用，。</w:t>
      </w:r>
    </w:p>
    <w:p>
      <w:pPr>
        <w:pStyle w:val="3"/>
        <w:spacing w:before="56"/>
        <w:rPr>
          <w:rFonts w:ascii="黑体" w:eastAsia="黑体"/>
        </w:rPr>
      </w:pPr>
      <w:r>
        <w:rPr>
          <w:rFonts w:hint="eastAsia" w:ascii="黑体" w:eastAsia="黑体"/>
        </w:rPr>
        <w:t>五、问题管理流程</w:t>
      </w:r>
    </w:p>
    <w:p>
      <w:pPr>
        <w:pStyle w:val="4"/>
        <w:numPr>
          <w:ilvl w:val="0"/>
          <w:numId w:val="27"/>
        </w:numPr>
        <w:tabs>
          <w:tab w:val="left" w:pos="1461"/>
        </w:tabs>
        <w:spacing w:before="211"/>
      </w:pPr>
      <w:r>
        <w:t>问题处理流程</w:t>
      </w:r>
    </w:p>
    <w:p>
      <w:pPr>
        <w:pStyle w:val="11"/>
        <w:numPr>
          <w:ilvl w:val="0"/>
          <w:numId w:val="28"/>
        </w:numPr>
        <w:tabs>
          <w:tab w:val="left" w:pos="1881"/>
        </w:tabs>
        <w:spacing w:before="161"/>
        <w:rPr>
          <w:sz w:val="24"/>
          <w:lang w:eastAsia="zh-CN"/>
        </w:rPr>
      </w:pPr>
      <w:r>
        <w:rPr>
          <w:sz w:val="24"/>
          <w:lang w:eastAsia="zh-CN"/>
        </w:rPr>
        <w:t>买方或卖方均可以首先提出对问题解决方案有不同意见的看法。</w:t>
      </w:r>
    </w:p>
    <w:p>
      <w:pPr>
        <w:pStyle w:val="11"/>
        <w:numPr>
          <w:ilvl w:val="0"/>
          <w:numId w:val="28"/>
        </w:numPr>
        <w:tabs>
          <w:tab w:val="left" w:pos="1881"/>
        </w:tabs>
        <w:spacing w:before="160"/>
        <w:rPr>
          <w:sz w:val="24"/>
          <w:lang w:eastAsia="zh-CN"/>
        </w:rPr>
      </w:pPr>
      <w:r>
        <w:rPr>
          <w:sz w:val="24"/>
          <w:lang w:eastAsia="zh-CN"/>
        </w:rPr>
        <w:t>买方管理层和卖方管理层将决定问题是否需要提升到更高的管理层。</w:t>
      </w:r>
    </w:p>
    <w:p>
      <w:pPr>
        <w:pStyle w:val="11"/>
        <w:numPr>
          <w:ilvl w:val="0"/>
          <w:numId w:val="28"/>
        </w:numPr>
        <w:tabs>
          <w:tab w:val="left" w:pos="1881"/>
        </w:tabs>
        <w:spacing w:before="161" w:line="364" w:lineRule="auto"/>
        <w:ind w:left="800" w:right="1160" w:firstLine="480"/>
        <w:rPr>
          <w:sz w:val="24"/>
          <w:lang w:eastAsia="zh-CN"/>
        </w:rPr>
      </w:pPr>
      <w:r>
        <w:rPr>
          <w:spacing w:val="-1"/>
          <w:sz w:val="24"/>
          <w:lang w:eastAsia="zh-CN"/>
        </w:rPr>
        <w:t>及时召开相关的会议讨论和解决问题，问题的相关文档应提前一天发</w:t>
      </w:r>
      <w:r>
        <w:rPr>
          <w:sz w:val="24"/>
          <w:lang w:eastAsia="zh-CN"/>
        </w:rPr>
        <w:t>送到与会者。</w:t>
      </w:r>
    </w:p>
    <w:p>
      <w:pPr>
        <w:pStyle w:val="11"/>
        <w:numPr>
          <w:ilvl w:val="0"/>
          <w:numId w:val="28"/>
        </w:numPr>
        <w:tabs>
          <w:tab w:val="left" w:pos="1881"/>
        </w:tabs>
        <w:spacing w:line="364" w:lineRule="auto"/>
        <w:ind w:left="800" w:right="1157" w:firstLine="480"/>
        <w:jc w:val="both"/>
        <w:rPr>
          <w:sz w:val="24"/>
          <w:lang w:eastAsia="zh-CN"/>
        </w:rPr>
      </w:pPr>
      <w:r>
        <w:rPr>
          <w:spacing w:val="-1"/>
          <w:sz w:val="24"/>
          <w:lang w:eastAsia="zh-CN"/>
        </w:rPr>
        <w:t>如有必要，买方和卖方管理层在永久性解决方案出台之前可以先共同</w:t>
      </w:r>
      <w:r>
        <w:rPr>
          <w:spacing w:val="-9"/>
          <w:sz w:val="24"/>
          <w:lang w:eastAsia="zh-CN"/>
        </w:rPr>
        <w:t>达成一套临时性的解决方案。卖方可以在会后与各利益相关方沟通并达成永久性</w:t>
      </w:r>
      <w:r>
        <w:rPr>
          <w:sz w:val="24"/>
          <w:lang w:eastAsia="zh-CN"/>
        </w:rPr>
        <w:t>的解决方案。</w:t>
      </w:r>
    </w:p>
    <w:p>
      <w:pPr>
        <w:pStyle w:val="11"/>
        <w:numPr>
          <w:ilvl w:val="0"/>
          <w:numId w:val="28"/>
        </w:numPr>
        <w:tabs>
          <w:tab w:val="left" w:pos="1881"/>
        </w:tabs>
        <w:spacing w:before="2"/>
        <w:rPr>
          <w:sz w:val="24"/>
          <w:lang w:eastAsia="zh-CN"/>
        </w:rPr>
      </w:pPr>
      <w:r>
        <w:rPr>
          <w:sz w:val="24"/>
          <w:lang w:eastAsia="zh-CN"/>
        </w:rPr>
        <w:t>如果问题协商难以解决时，双方可向买方所在地人民法院提出诉讼。</w:t>
      </w:r>
    </w:p>
    <w:p>
      <w:pPr>
        <w:pStyle w:val="4"/>
        <w:numPr>
          <w:ilvl w:val="0"/>
          <w:numId w:val="27"/>
        </w:numPr>
        <w:tabs>
          <w:tab w:val="left" w:pos="1461"/>
        </w:tabs>
        <w:spacing w:before="160"/>
      </w:pPr>
      <w:r>
        <w:t>问题升级流程</w:t>
      </w:r>
    </w:p>
    <w:p>
      <w:pPr>
        <w:pStyle w:val="11"/>
        <w:numPr>
          <w:ilvl w:val="0"/>
          <w:numId w:val="29"/>
        </w:numPr>
        <w:tabs>
          <w:tab w:val="left" w:pos="1881"/>
        </w:tabs>
        <w:spacing w:before="161"/>
        <w:rPr>
          <w:sz w:val="24"/>
          <w:lang w:eastAsia="zh-CN"/>
        </w:rPr>
      </w:pPr>
      <w:r>
        <w:rPr>
          <w:sz w:val="24"/>
          <w:lang w:eastAsia="zh-CN"/>
        </w:rPr>
        <w:t>买方或者卖方都可以首先提出该流程。</w:t>
      </w:r>
    </w:p>
    <w:p>
      <w:pPr>
        <w:pStyle w:val="11"/>
        <w:numPr>
          <w:ilvl w:val="0"/>
          <w:numId w:val="29"/>
        </w:numPr>
        <w:tabs>
          <w:tab w:val="left" w:pos="1881"/>
        </w:tabs>
        <w:spacing w:before="160"/>
        <w:rPr>
          <w:sz w:val="24"/>
          <w:lang w:eastAsia="zh-CN"/>
        </w:rPr>
      </w:pPr>
      <w:r>
        <w:rPr>
          <w:sz w:val="24"/>
          <w:lang w:eastAsia="zh-CN"/>
        </w:rPr>
        <w:t>首先提出的一方应及时通知对方问题升级流程已经启动。</w:t>
      </w:r>
    </w:p>
    <w:p>
      <w:pPr>
        <w:pStyle w:val="11"/>
        <w:numPr>
          <w:ilvl w:val="0"/>
          <w:numId w:val="29"/>
        </w:numPr>
        <w:tabs>
          <w:tab w:val="left" w:pos="1881"/>
        </w:tabs>
        <w:spacing w:before="161"/>
        <w:rPr>
          <w:sz w:val="24"/>
          <w:lang w:eastAsia="zh-CN"/>
        </w:rPr>
      </w:pPr>
      <w:r>
        <w:rPr>
          <w:sz w:val="24"/>
          <w:lang w:eastAsia="zh-CN"/>
        </w:rPr>
        <w:t>问题升级的层次在买方和卖方之间应当保持一致，直至解决该问题。</w:t>
      </w:r>
    </w:p>
    <w:p>
      <w:pPr>
        <w:rPr>
          <w:sz w:val="24"/>
          <w:lang w:eastAsia="zh-CN"/>
        </w:rPr>
        <w:sectPr>
          <w:pgSz w:w="11910" w:h="16840"/>
          <w:pgMar w:top="1440" w:right="640" w:bottom="280" w:left="1000" w:header="720" w:footer="720" w:gutter="0"/>
          <w:cols w:space="720" w:num="1"/>
        </w:sectPr>
      </w:pPr>
    </w:p>
    <w:p>
      <w:pPr>
        <w:pStyle w:val="3"/>
        <w:rPr>
          <w:rFonts w:ascii="黑体" w:eastAsia="黑体"/>
          <w:lang w:eastAsia="zh-CN"/>
        </w:rPr>
      </w:pPr>
      <w:r>
        <w:rPr>
          <w:rFonts w:hint="eastAsia" w:ascii="黑体" w:eastAsia="黑体"/>
          <w:lang w:eastAsia="zh-CN"/>
        </w:rPr>
        <w:t xml:space="preserve">六、 </w:t>
      </w:r>
      <w:r>
        <w:rPr>
          <w:rFonts w:ascii="Times New Roman" w:eastAsia="Times New Roman"/>
          <w:lang w:eastAsia="zh-CN"/>
        </w:rPr>
        <w:t xml:space="preserve">SLA </w:t>
      </w:r>
      <w:r>
        <w:rPr>
          <w:rFonts w:hint="eastAsia" w:ascii="黑体" w:eastAsia="黑体"/>
          <w:lang w:eastAsia="zh-CN"/>
        </w:rPr>
        <w:t>质量标准及变更</w:t>
      </w:r>
    </w:p>
    <w:p>
      <w:pPr>
        <w:pStyle w:val="5"/>
        <w:spacing w:before="212"/>
        <w:ind w:left="936" w:right="961"/>
        <w:jc w:val="center"/>
        <w:rPr>
          <w:lang w:eastAsia="zh-CN"/>
        </w:rPr>
      </w:pPr>
      <w:r>
        <w:rPr>
          <w:lang w:eastAsia="zh-CN"/>
        </w:rPr>
        <w:t>卖方提供的服务必须满足附件中对卖方服务水平的质量标准要求。</w:t>
      </w:r>
    </w:p>
    <w:p>
      <w:pPr>
        <w:pStyle w:val="5"/>
        <w:spacing w:before="161" w:line="364" w:lineRule="auto"/>
        <w:ind w:right="1157" w:firstLine="480"/>
        <w:jc w:val="both"/>
        <w:rPr>
          <w:lang w:eastAsia="zh-CN"/>
        </w:rPr>
      </w:pPr>
      <w:r>
        <w:rPr>
          <w:rFonts w:ascii="Times New Roman" w:eastAsia="Times New Roman"/>
          <w:lang w:eastAsia="zh-CN"/>
        </w:rPr>
        <w:t xml:space="preserve">SLA </w:t>
      </w:r>
      <w:r>
        <w:rPr>
          <w:lang w:eastAsia="zh-CN"/>
        </w:rPr>
        <w:t>可以根据买方在项目过程中的实际需求按照以下变更管理流程进行变更：</w:t>
      </w:r>
    </w:p>
    <w:p>
      <w:pPr>
        <w:pStyle w:val="11"/>
        <w:numPr>
          <w:ilvl w:val="0"/>
          <w:numId w:val="30"/>
        </w:numPr>
        <w:tabs>
          <w:tab w:val="left" w:pos="1463"/>
        </w:tabs>
        <w:spacing w:line="364" w:lineRule="auto"/>
        <w:ind w:right="1157" w:firstLine="480"/>
        <w:jc w:val="both"/>
        <w:rPr>
          <w:sz w:val="24"/>
          <w:lang w:eastAsia="zh-CN"/>
        </w:rPr>
      </w:pPr>
      <w:r>
        <w:rPr>
          <w:spacing w:val="-4"/>
          <w:sz w:val="24"/>
          <w:lang w:eastAsia="zh-CN"/>
        </w:rPr>
        <w:t xml:space="preserve">买方和卖方双方应至少每半年对 </w:t>
      </w:r>
      <w:r>
        <w:rPr>
          <w:rFonts w:ascii="Times New Roman" w:eastAsia="Times New Roman"/>
          <w:sz w:val="24"/>
          <w:lang w:eastAsia="zh-CN"/>
        </w:rPr>
        <w:t>SLA</w:t>
      </w:r>
      <w:r>
        <w:rPr>
          <w:rFonts w:ascii="Times New Roman" w:eastAsia="Times New Roman"/>
          <w:spacing w:val="15"/>
          <w:sz w:val="24"/>
          <w:lang w:eastAsia="zh-CN"/>
        </w:rPr>
        <w:t xml:space="preserve"> </w:t>
      </w:r>
      <w:r>
        <w:rPr>
          <w:sz w:val="24"/>
          <w:lang w:eastAsia="zh-CN"/>
        </w:rPr>
        <w:t>协议进行一次回顾。任何一方都可根据本协议提出修订要求，</w:t>
      </w:r>
      <w:r>
        <w:rPr>
          <w:rFonts w:ascii="Times New Roman" w:eastAsia="Times New Roman"/>
          <w:sz w:val="24"/>
          <w:lang w:eastAsia="zh-CN"/>
        </w:rPr>
        <w:t>SLA</w:t>
      </w:r>
      <w:r>
        <w:rPr>
          <w:rFonts w:ascii="Times New Roman" w:eastAsia="Times New Roman"/>
          <w:spacing w:val="28"/>
          <w:sz w:val="24"/>
          <w:lang w:eastAsia="zh-CN"/>
        </w:rPr>
        <w:t xml:space="preserve"> </w:t>
      </w:r>
      <w:r>
        <w:rPr>
          <w:sz w:val="24"/>
          <w:lang w:eastAsia="zh-CN"/>
        </w:rPr>
        <w:t>的变更可以通过谈判的形式在月度例会上进行</w:t>
      </w:r>
      <w:r>
        <w:rPr>
          <w:spacing w:val="-12"/>
          <w:sz w:val="24"/>
          <w:lang w:eastAsia="zh-CN"/>
        </w:rPr>
        <w:t>讨论。对无法达成一致观点的问题可以通过本协议第五条提到的问题处理流程和</w:t>
      </w:r>
      <w:r>
        <w:rPr>
          <w:sz w:val="24"/>
          <w:lang w:eastAsia="zh-CN"/>
        </w:rPr>
        <w:t>问题升级流程来进行解决。</w:t>
      </w:r>
    </w:p>
    <w:p>
      <w:pPr>
        <w:pStyle w:val="11"/>
        <w:numPr>
          <w:ilvl w:val="0"/>
          <w:numId w:val="30"/>
        </w:numPr>
        <w:tabs>
          <w:tab w:val="left" w:pos="1463"/>
        </w:tabs>
        <w:spacing w:before="2" w:line="364" w:lineRule="auto"/>
        <w:ind w:right="1157" w:firstLine="480"/>
        <w:jc w:val="both"/>
        <w:rPr>
          <w:sz w:val="24"/>
          <w:lang w:eastAsia="zh-CN"/>
        </w:rPr>
      </w:pPr>
      <w:r>
        <w:rPr>
          <w:spacing w:val="-6"/>
          <w:sz w:val="24"/>
          <w:lang w:eastAsia="zh-CN"/>
        </w:rPr>
        <w:t xml:space="preserve">如果出现以下条件的 </w:t>
      </w:r>
      <w:r>
        <w:rPr>
          <w:rFonts w:ascii="Times New Roman" w:eastAsia="Times New Roman"/>
          <w:sz w:val="24"/>
          <w:lang w:eastAsia="zh-CN"/>
        </w:rPr>
        <w:t>SLA</w:t>
      </w:r>
      <w:r>
        <w:rPr>
          <w:rFonts w:ascii="Times New Roman" w:eastAsia="Times New Roman"/>
          <w:spacing w:val="14"/>
          <w:sz w:val="24"/>
          <w:lang w:eastAsia="zh-CN"/>
        </w:rPr>
        <w:t xml:space="preserve"> </w:t>
      </w:r>
      <w:r>
        <w:rPr>
          <w:sz w:val="24"/>
          <w:lang w:eastAsia="zh-CN"/>
        </w:rPr>
        <w:t>变更时，买方和卖方双方将需要重新签订一套</w:t>
      </w:r>
      <w:r>
        <w:rPr>
          <w:spacing w:val="-21"/>
          <w:sz w:val="24"/>
          <w:lang w:eastAsia="zh-CN"/>
        </w:rPr>
        <w:t xml:space="preserve">新的 </w:t>
      </w:r>
      <w:r>
        <w:rPr>
          <w:rFonts w:ascii="Times New Roman" w:eastAsia="Times New Roman"/>
          <w:sz w:val="24"/>
          <w:lang w:eastAsia="zh-CN"/>
        </w:rPr>
        <w:t>SLA</w:t>
      </w:r>
      <w:r>
        <w:rPr>
          <w:sz w:val="24"/>
          <w:lang w:eastAsia="zh-CN"/>
        </w:rPr>
        <w:t>，条件包括：</w:t>
      </w:r>
    </w:p>
    <w:p>
      <w:pPr>
        <w:pStyle w:val="11"/>
        <w:numPr>
          <w:ilvl w:val="0"/>
          <w:numId w:val="31"/>
        </w:numPr>
        <w:tabs>
          <w:tab w:val="left" w:pos="1881"/>
        </w:tabs>
        <w:rPr>
          <w:sz w:val="24"/>
          <w:lang w:eastAsia="zh-CN"/>
        </w:rPr>
      </w:pPr>
      <w:r>
        <w:rPr>
          <w:sz w:val="24"/>
          <w:lang w:eastAsia="zh-CN"/>
        </w:rPr>
        <w:t>协议执行的时间需要增加一年以上。</w:t>
      </w:r>
    </w:p>
    <w:p>
      <w:pPr>
        <w:pStyle w:val="11"/>
        <w:numPr>
          <w:ilvl w:val="0"/>
          <w:numId w:val="31"/>
        </w:numPr>
        <w:tabs>
          <w:tab w:val="left" w:pos="1881"/>
        </w:tabs>
        <w:spacing w:before="161"/>
        <w:rPr>
          <w:sz w:val="24"/>
          <w:lang w:eastAsia="zh-CN"/>
        </w:rPr>
      </w:pPr>
      <w:r>
        <w:rPr>
          <w:rFonts w:ascii="Times New Roman" w:eastAsia="Times New Roman"/>
          <w:sz w:val="24"/>
          <w:lang w:eastAsia="zh-CN"/>
        </w:rPr>
        <w:t xml:space="preserve">SLA </w:t>
      </w:r>
      <w:r>
        <w:rPr>
          <w:spacing w:val="-4"/>
          <w:sz w:val="24"/>
          <w:lang w:eastAsia="zh-CN"/>
        </w:rPr>
        <w:t xml:space="preserve">的服务范围在本协议基础上扩大了 </w:t>
      </w:r>
      <w:r>
        <w:rPr>
          <w:rFonts w:ascii="Times New Roman" w:eastAsia="Times New Roman"/>
          <w:sz w:val="24"/>
          <w:lang w:eastAsia="zh-CN"/>
        </w:rPr>
        <w:t>40%</w:t>
      </w:r>
      <w:r>
        <w:rPr>
          <w:sz w:val="24"/>
          <w:lang w:eastAsia="zh-CN"/>
        </w:rPr>
        <w:t>以上。</w:t>
      </w:r>
    </w:p>
    <w:p>
      <w:pPr>
        <w:pStyle w:val="11"/>
        <w:numPr>
          <w:ilvl w:val="0"/>
          <w:numId w:val="31"/>
        </w:numPr>
        <w:tabs>
          <w:tab w:val="left" w:pos="1881"/>
        </w:tabs>
        <w:spacing w:before="160"/>
        <w:rPr>
          <w:sz w:val="24"/>
          <w:lang w:eastAsia="zh-CN"/>
        </w:rPr>
      </w:pPr>
      <w:r>
        <w:rPr>
          <w:sz w:val="24"/>
          <w:lang w:eastAsia="zh-CN"/>
        </w:rPr>
        <w:t>或其他有买方和卖方协商一致的重大变更。</w:t>
      </w:r>
    </w:p>
    <w:p>
      <w:pPr>
        <w:pStyle w:val="3"/>
        <w:spacing w:before="215"/>
        <w:rPr>
          <w:rFonts w:ascii="黑体" w:eastAsia="黑体"/>
        </w:rPr>
      </w:pPr>
      <w:r>
        <w:rPr>
          <w:rFonts w:hint="eastAsia" w:ascii="黑体" w:eastAsia="黑体"/>
        </w:rPr>
        <w:t>七、报告流程</w:t>
      </w:r>
    </w:p>
    <w:p>
      <w:pPr>
        <w:pStyle w:val="11"/>
        <w:numPr>
          <w:ilvl w:val="0"/>
          <w:numId w:val="32"/>
        </w:numPr>
        <w:tabs>
          <w:tab w:val="left" w:pos="1461"/>
        </w:tabs>
        <w:spacing w:before="211" w:line="364" w:lineRule="auto"/>
        <w:ind w:right="1161" w:firstLine="480"/>
        <w:rPr>
          <w:sz w:val="24"/>
          <w:lang w:eastAsia="zh-CN"/>
        </w:rPr>
      </w:pPr>
      <w:r>
        <w:rPr>
          <w:spacing w:val="-5"/>
          <w:sz w:val="24"/>
          <w:lang w:eastAsia="zh-CN"/>
        </w:rPr>
        <w:t xml:space="preserve">卖方管理层每月向买方提交 </w:t>
      </w:r>
      <w:r>
        <w:rPr>
          <w:rFonts w:ascii="Times New Roman" w:hAnsi="Times New Roman" w:eastAsia="Times New Roman"/>
          <w:sz w:val="24"/>
          <w:lang w:eastAsia="zh-CN"/>
        </w:rPr>
        <w:t>SLA</w:t>
      </w:r>
      <w:r>
        <w:rPr>
          <w:rFonts w:ascii="Times New Roman" w:hAnsi="Times New Roman" w:eastAsia="Times New Roman"/>
          <w:spacing w:val="1"/>
          <w:sz w:val="24"/>
          <w:lang w:eastAsia="zh-CN"/>
        </w:rPr>
        <w:t xml:space="preserve"> </w:t>
      </w:r>
      <w:r>
        <w:rPr>
          <w:sz w:val="24"/>
          <w:lang w:eastAsia="zh-CN"/>
        </w:rPr>
        <w:t>执行情况报告。报告将包括</w:t>
      </w:r>
      <w:r>
        <w:rPr>
          <w:rFonts w:ascii="Times New Roman" w:hAnsi="Times New Roman" w:eastAsia="Times New Roman"/>
          <w:sz w:val="24"/>
          <w:lang w:eastAsia="zh-CN"/>
        </w:rPr>
        <w:t>“</w:t>
      </w:r>
      <w:r>
        <w:rPr>
          <w:spacing w:val="-3"/>
          <w:sz w:val="24"/>
          <w:lang w:eastAsia="zh-CN"/>
        </w:rPr>
        <w:t>实际情况和</w:t>
      </w:r>
      <w:r>
        <w:rPr>
          <w:sz w:val="24"/>
          <w:lang w:eastAsia="zh-CN"/>
        </w:rPr>
        <w:t>目标的对比</w:t>
      </w:r>
      <w:r>
        <w:rPr>
          <w:rFonts w:ascii="Times New Roman" w:hAnsi="Times New Roman" w:eastAsia="Times New Roman"/>
          <w:sz w:val="24"/>
          <w:lang w:eastAsia="zh-CN"/>
        </w:rPr>
        <w:t>”</w:t>
      </w:r>
      <w:r>
        <w:rPr>
          <w:sz w:val="24"/>
          <w:lang w:eastAsia="zh-CN"/>
        </w:rPr>
        <w:t>、对比结果不一致的分析以及针对重要问题的讨论。</w:t>
      </w:r>
    </w:p>
    <w:p>
      <w:pPr>
        <w:pStyle w:val="11"/>
        <w:numPr>
          <w:ilvl w:val="0"/>
          <w:numId w:val="32"/>
        </w:numPr>
        <w:tabs>
          <w:tab w:val="left" w:pos="1461"/>
        </w:tabs>
        <w:spacing w:line="364" w:lineRule="auto"/>
        <w:ind w:right="1157" w:firstLine="480"/>
        <w:rPr>
          <w:sz w:val="24"/>
          <w:lang w:eastAsia="zh-CN"/>
        </w:rPr>
      </w:pPr>
      <w:r>
        <w:rPr>
          <w:spacing w:val="-4"/>
          <w:sz w:val="24"/>
          <w:lang w:eastAsia="zh-CN"/>
        </w:rPr>
        <w:t>卖方应建立风险事件信息共享机制，卖方在服务其他金融机构过程中，获</w:t>
      </w:r>
      <w:r>
        <w:rPr>
          <w:sz w:val="24"/>
          <w:lang w:eastAsia="zh-CN"/>
        </w:rPr>
        <w:t>得的风险事件信息要实时与买方进行信息共享。</w:t>
      </w:r>
    </w:p>
    <w:p>
      <w:pPr>
        <w:pStyle w:val="11"/>
        <w:numPr>
          <w:ilvl w:val="0"/>
          <w:numId w:val="32"/>
        </w:numPr>
        <w:tabs>
          <w:tab w:val="left" w:pos="1461"/>
        </w:tabs>
        <w:spacing w:before="2" w:line="364" w:lineRule="auto"/>
        <w:ind w:right="1037" w:firstLine="480"/>
        <w:rPr>
          <w:sz w:val="24"/>
          <w:lang w:eastAsia="zh-CN"/>
        </w:rPr>
      </w:pPr>
      <w:r>
        <w:rPr>
          <w:spacing w:val="-10"/>
          <w:sz w:val="24"/>
          <w:lang w:eastAsia="zh-CN"/>
        </w:rPr>
        <w:t>卖方应具有信息科技风险的管理体系，有效识别、监测、评估和控制风险。</w:t>
      </w:r>
      <w:r>
        <w:rPr>
          <w:spacing w:val="-5"/>
          <w:sz w:val="24"/>
          <w:lang w:eastAsia="zh-CN"/>
        </w:rPr>
        <w:t>每季度向买方报送外包风险监控报告，针对监控发现的潜在风险或风险事件，及时采取控制或缓释措施。</w:t>
      </w:r>
    </w:p>
    <w:p>
      <w:pPr>
        <w:pStyle w:val="5"/>
        <w:spacing w:before="1" w:line="364" w:lineRule="auto"/>
        <w:ind w:right="1157" w:firstLine="480"/>
        <w:rPr>
          <w:lang w:eastAsia="zh-CN"/>
        </w:rPr>
      </w:pPr>
      <w:r>
        <w:rPr>
          <w:spacing w:val="-10"/>
          <w:lang w:eastAsia="zh-CN"/>
        </w:rPr>
        <w:t>另外，卖方应当在每月向买方提交工作报告，包括项目情况跟踪及问题报告</w:t>
      </w:r>
      <w:r>
        <w:rPr>
          <w:lang w:eastAsia="zh-CN"/>
        </w:rPr>
        <w:t>等。</w:t>
      </w:r>
    </w:p>
    <w:p>
      <w:pPr>
        <w:pStyle w:val="3"/>
        <w:rPr>
          <w:rFonts w:ascii="黑体" w:eastAsia="黑体"/>
          <w:lang w:eastAsia="zh-CN"/>
        </w:rPr>
      </w:pPr>
      <w:r>
        <w:rPr>
          <w:rFonts w:hint="eastAsia" w:ascii="黑体" w:eastAsia="黑体"/>
          <w:lang w:eastAsia="zh-CN"/>
        </w:rPr>
        <w:t>八、服务水平和指标</w:t>
      </w:r>
    </w:p>
    <w:p>
      <w:pPr>
        <w:pStyle w:val="5"/>
        <w:spacing w:before="212" w:line="364" w:lineRule="auto"/>
        <w:ind w:right="1157" w:firstLine="480"/>
        <w:jc w:val="both"/>
        <w:rPr>
          <w:lang w:eastAsia="zh-CN"/>
        </w:rPr>
      </w:pPr>
      <w:r>
        <w:rPr>
          <w:spacing w:val="-6"/>
          <w:lang w:eastAsia="zh-CN"/>
        </w:rPr>
        <w:t>卖方提供的服务必须满足以下服务水平和指标要求，否则按每项罚则约定给</w:t>
      </w:r>
      <w:r>
        <w:rPr>
          <w:spacing w:val="-8"/>
          <w:lang w:eastAsia="zh-CN"/>
        </w:rPr>
        <w:t>予相应金额扣罚。扣罚金额以人民币计算，由买方直接从合同款项中扣除。卖方</w:t>
      </w:r>
      <w:r>
        <w:rPr>
          <w:spacing w:val="-5"/>
          <w:lang w:eastAsia="zh-CN"/>
        </w:rPr>
        <w:t>签订本合同即认可其派驻的项目经理被赋予项目管理的签字权，其签字内容承担</w:t>
      </w:r>
      <w:r>
        <w:rPr>
          <w:lang w:eastAsia="zh-CN"/>
        </w:rPr>
        <w:t>相应的法律责任。</w:t>
      </w:r>
    </w:p>
    <w:p>
      <w:pPr>
        <w:spacing w:line="364" w:lineRule="auto"/>
        <w:jc w:val="both"/>
        <w:rPr>
          <w:lang w:eastAsia="zh-CN"/>
        </w:rPr>
        <w:sectPr>
          <w:pgSz w:w="11910" w:h="16840"/>
          <w:pgMar w:top="1500" w:right="640" w:bottom="280" w:left="1000" w:header="720" w:footer="720" w:gutter="0"/>
          <w:cols w:space="720" w:num="1"/>
        </w:sectPr>
      </w:pPr>
    </w:p>
    <w:tbl>
      <w:tblPr>
        <w:tblStyle w:val="10"/>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0"/>
        <w:gridCol w:w="1062"/>
        <w:gridCol w:w="1134"/>
        <w:gridCol w:w="1417"/>
        <w:gridCol w:w="1701"/>
        <w:gridCol w:w="1701"/>
        <w:gridCol w:w="1134"/>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70" w:type="dxa"/>
          </w:tcPr>
          <w:p>
            <w:pPr>
              <w:pStyle w:val="12"/>
              <w:spacing w:before="21"/>
              <w:ind w:left="128"/>
              <w:rPr>
                <w:rFonts w:ascii="宋体" w:eastAsia="宋体"/>
                <w:b/>
                <w:sz w:val="21"/>
              </w:rPr>
            </w:pPr>
            <w:r>
              <w:rPr>
                <w:rFonts w:hint="eastAsia" w:ascii="宋体" w:eastAsia="宋体"/>
                <w:b/>
                <w:w w:val="99"/>
                <w:sz w:val="21"/>
              </w:rPr>
              <w:t>序</w:t>
            </w:r>
          </w:p>
          <w:p>
            <w:pPr>
              <w:pStyle w:val="12"/>
              <w:spacing w:before="43"/>
              <w:ind w:left="128"/>
              <w:rPr>
                <w:rFonts w:ascii="宋体" w:eastAsia="宋体"/>
                <w:b/>
                <w:sz w:val="21"/>
              </w:rPr>
            </w:pPr>
            <w:r>
              <w:rPr>
                <w:rFonts w:hint="eastAsia" w:ascii="宋体" w:eastAsia="宋体"/>
                <w:b/>
                <w:w w:val="99"/>
                <w:sz w:val="21"/>
              </w:rPr>
              <w:t>号</w:t>
            </w:r>
          </w:p>
        </w:tc>
        <w:tc>
          <w:tcPr>
            <w:tcW w:w="1062" w:type="dxa"/>
          </w:tcPr>
          <w:p>
            <w:pPr>
              <w:pStyle w:val="12"/>
              <w:spacing w:before="177"/>
              <w:ind w:left="107"/>
              <w:rPr>
                <w:rFonts w:ascii="宋体" w:eastAsia="宋体"/>
                <w:b/>
                <w:sz w:val="21"/>
              </w:rPr>
            </w:pPr>
            <w:r>
              <w:rPr>
                <w:rFonts w:hint="eastAsia" w:ascii="宋体" w:eastAsia="宋体"/>
                <w:b/>
                <w:sz w:val="21"/>
              </w:rPr>
              <w:t>服务内容</w:t>
            </w:r>
          </w:p>
        </w:tc>
        <w:tc>
          <w:tcPr>
            <w:tcW w:w="1134" w:type="dxa"/>
          </w:tcPr>
          <w:p>
            <w:pPr>
              <w:pStyle w:val="12"/>
              <w:spacing w:before="177"/>
              <w:ind w:left="144"/>
              <w:rPr>
                <w:rFonts w:ascii="宋体" w:eastAsia="宋体"/>
                <w:b/>
                <w:sz w:val="21"/>
              </w:rPr>
            </w:pPr>
            <w:r>
              <w:rPr>
                <w:rFonts w:hint="eastAsia" w:ascii="宋体" w:eastAsia="宋体"/>
                <w:b/>
                <w:sz w:val="21"/>
              </w:rPr>
              <w:t>服务定义</w:t>
            </w:r>
          </w:p>
        </w:tc>
        <w:tc>
          <w:tcPr>
            <w:tcW w:w="1417" w:type="dxa"/>
          </w:tcPr>
          <w:p>
            <w:pPr>
              <w:pStyle w:val="12"/>
              <w:spacing w:before="177"/>
              <w:ind w:left="287"/>
              <w:rPr>
                <w:rFonts w:ascii="宋体" w:eastAsia="宋体"/>
                <w:b/>
                <w:sz w:val="21"/>
              </w:rPr>
            </w:pPr>
            <w:r>
              <w:rPr>
                <w:rFonts w:hint="eastAsia" w:ascii="宋体" w:eastAsia="宋体"/>
                <w:b/>
                <w:sz w:val="21"/>
              </w:rPr>
              <w:t>服务标准</w:t>
            </w:r>
          </w:p>
        </w:tc>
        <w:tc>
          <w:tcPr>
            <w:tcW w:w="1701" w:type="dxa"/>
          </w:tcPr>
          <w:p>
            <w:pPr>
              <w:pStyle w:val="12"/>
              <w:spacing w:before="177"/>
              <w:ind w:left="216"/>
              <w:rPr>
                <w:rFonts w:ascii="宋体" w:eastAsia="宋体"/>
                <w:b/>
                <w:sz w:val="21"/>
              </w:rPr>
            </w:pPr>
            <w:r>
              <w:rPr>
                <w:rFonts w:hint="eastAsia" w:ascii="宋体" w:eastAsia="宋体"/>
                <w:b/>
                <w:sz w:val="21"/>
              </w:rPr>
              <w:t>服务标准计算</w:t>
            </w:r>
          </w:p>
        </w:tc>
        <w:tc>
          <w:tcPr>
            <w:tcW w:w="1701" w:type="dxa"/>
          </w:tcPr>
          <w:p>
            <w:pPr>
              <w:pStyle w:val="12"/>
              <w:spacing w:before="177"/>
              <w:ind w:left="428"/>
              <w:rPr>
                <w:rFonts w:ascii="宋体" w:eastAsia="宋体"/>
                <w:b/>
                <w:sz w:val="21"/>
              </w:rPr>
            </w:pPr>
            <w:r>
              <w:rPr>
                <w:rFonts w:hint="eastAsia" w:ascii="宋体" w:eastAsia="宋体"/>
                <w:b/>
                <w:sz w:val="21"/>
              </w:rPr>
              <w:t>操作流程</w:t>
            </w:r>
          </w:p>
        </w:tc>
        <w:tc>
          <w:tcPr>
            <w:tcW w:w="1134" w:type="dxa"/>
          </w:tcPr>
          <w:p>
            <w:pPr>
              <w:pStyle w:val="12"/>
              <w:spacing w:before="21"/>
              <w:ind w:left="123" w:right="117"/>
              <w:jc w:val="center"/>
              <w:rPr>
                <w:rFonts w:ascii="宋体" w:eastAsia="宋体"/>
                <w:b/>
                <w:sz w:val="21"/>
              </w:rPr>
            </w:pPr>
            <w:r>
              <w:rPr>
                <w:rFonts w:hint="eastAsia" w:ascii="宋体" w:eastAsia="宋体"/>
                <w:b/>
                <w:sz w:val="21"/>
              </w:rPr>
              <w:t>建议达到</w:t>
            </w:r>
          </w:p>
          <w:p>
            <w:pPr>
              <w:pStyle w:val="12"/>
              <w:spacing w:before="43"/>
              <w:ind w:left="123" w:right="113"/>
              <w:jc w:val="center"/>
              <w:rPr>
                <w:rFonts w:ascii="宋体" w:eastAsia="宋体"/>
                <w:b/>
                <w:sz w:val="21"/>
              </w:rPr>
            </w:pPr>
            <w:r>
              <w:rPr>
                <w:rFonts w:hint="eastAsia" w:ascii="宋体" w:eastAsia="宋体"/>
                <w:b/>
                <w:sz w:val="21"/>
              </w:rPr>
              <w:t>的标准</w:t>
            </w:r>
          </w:p>
        </w:tc>
        <w:tc>
          <w:tcPr>
            <w:tcW w:w="1418" w:type="dxa"/>
          </w:tcPr>
          <w:p>
            <w:pPr>
              <w:pStyle w:val="12"/>
              <w:spacing w:before="177"/>
              <w:ind w:left="476" w:right="469"/>
              <w:jc w:val="center"/>
              <w:rPr>
                <w:rFonts w:ascii="宋体" w:eastAsia="宋体"/>
                <w:b/>
                <w:sz w:val="21"/>
              </w:rPr>
            </w:pPr>
            <w:r>
              <w:rPr>
                <w:rFonts w:hint="eastAsia" w:ascii="宋体" w:eastAsia="宋体"/>
                <w:b/>
                <w:sz w:val="21"/>
              </w:rPr>
              <w:t>罚则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0" w:hRule="atLeast"/>
        </w:trPr>
        <w:tc>
          <w:tcPr>
            <w:tcW w:w="470" w:type="dxa"/>
          </w:tcPr>
          <w:p>
            <w:pPr>
              <w:pStyle w:val="12"/>
            </w:pPr>
          </w:p>
          <w:p>
            <w:pPr>
              <w:pStyle w:val="12"/>
              <w:spacing w:before="3"/>
              <w:rPr>
                <w:sz w:val="28"/>
              </w:rPr>
            </w:pPr>
          </w:p>
          <w:p>
            <w:pPr>
              <w:pStyle w:val="12"/>
              <w:ind w:left="7"/>
              <w:jc w:val="center"/>
              <w:rPr>
                <w:rFonts w:ascii="Times New Roman"/>
                <w:sz w:val="21"/>
              </w:rPr>
            </w:pPr>
            <w:r>
              <w:rPr>
                <w:rFonts w:ascii="Times New Roman"/>
                <w:w w:val="99"/>
                <w:sz w:val="21"/>
              </w:rPr>
              <w:t>1</w:t>
            </w:r>
          </w:p>
        </w:tc>
        <w:tc>
          <w:tcPr>
            <w:tcW w:w="1062" w:type="dxa"/>
          </w:tcPr>
          <w:p>
            <w:pPr>
              <w:pStyle w:val="12"/>
              <w:spacing w:before="7"/>
              <w:rPr>
                <w:sz w:val="35"/>
              </w:rPr>
            </w:pPr>
          </w:p>
          <w:p>
            <w:pPr>
              <w:pStyle w:val="12"/>
              <w:spacing w:before="1" w:line="242" w:lineRule="auto"/>
              <w:ind w:left="107" w:right="222"/>
              <w:rPr>
                <w:sz w:val="24"/>
              </w:rPr>
            </w:pPr>
            <w:r>
              <w:rPr>
                <w:sz w:val="24"/>
              </w:rPr>
              <w:t>人员出勤率</w:t>
            </w:r>
          </w:p>
        </w:tc>
        <w:tc>
          <w:tcPr>
            <w:tcW w:w="1134" w:type="dxa"/>
          </w:tcPr>
          <w:p>
            <w:pPr>
              <w:pStyle w:val="12"/>
              <w:spacing w:before="144" w:line="242" w:lineRule="auto"/>
              <w:ind w:left="108" w:right="293"/>
              <w:jc w:val="both"/>
              <w:rPr>
                <w:sz w:val="24"/>
                <w:lang w:eastAsia="zh-CN"/>
              </w:rPr>
            </w:pPr>
            <w:r>
              <w:rPr>
                <w:sz w:val="24"/>
                <w:lang w:eastAsia="zh-CN"/>
              </w:rPr>
              <w:t>评定卖方服务人员投入程度</w:t>
            </w:r>
          </w:p>
        </w:tc>
        <w:tc>
          <w:tcPr>
            <w:tcW w:w="1417" w:type="dxa"/>
          </w:tcPr>
          <w:p>
            <w:pPr>
              <w:pStyle w:val="12"/>
              <w:spacing w:before="144" w:line="242" w:lineRule="auto"/>
              <w:ind w:left="107" w:right="97"/>
              <w:jc w:val="both"/>
              <w:rPr>
                <w:sz w:val="24"/>
                <w:lang w:eastAsia="zh-CN"/>
              </w:rPr>
            </w:pPr>
            <w:r>
              <w:rPr>
                <w:sz w:val="24"/>
                <w:lang w:eastAsia="zh-CN"/>
              </w:rPr>
              <w:t>衡量人员出勤天数与当期工作日数比值</w:t>
            </w:r>
          </w:p>
        </w:tc>
        <w:tc>
          <w:tcPr>
            <w:tcW w:w="1701" w:type="dxa"/>
          </w:tcPr>
          <w:p>
            <w:pPr>
              <w:pStyle w:val="12"/>
              <w:spacing w:before="5"/>
              <w:rPr>
                <w:sz w:val="23"/>
                <w:lang w:eastAsia="zh-CN"/>
              </w:rPr>
            </w:pPr>
          </w:p>
          <w:p>
            <w:pPr>
              <w:pStyle w:val="12"/>
              <w:spacing w:line="242" w:lineRule="auto"/>
              <w:ind w:left="106" w:right="142"/>
              <w:rPr>
                <w:sz w:val="24"/>
                <w:lang w:eastAsia="zh-CN"/>
              </w:rPr>
            </w:pPr>
            <w:r>
              <w:rPr>
                <w:sz w:val="24"/>
                <w:lang w:eastAsia="zh-CN"/>
              </w:rPr>
              <w:t>出勤率</w:t>
            </w:r>
            <w:r>
              <w:rPr>
                <w:rFonts w:ascii="Times New Roman" w:eastAsia="Times New Roman"/>
                <w:sz w:val="24"/>
                <w:lang w:eastAsia="zh-CN"/>
              </w:rPr>
              <w:t>=</w:t>
            </w:r>
            <w:r>
              <w:rPr>
                <w:sz w:val="24"/>
                <w:lang w:eastAsia="zh-CN"/>
              </w:rPr>
              <w:t>人员出勤天数</w:t>
            </w:r>
            <w:r>
              <w:rPr>
                <w:rFonts w:ascii="Times New Roman" w:eastAsia="Times New Roman"/>
                <w:sz w:val="24"/>
                <w:lang w:eastAsia="zh-CN"/>
              </w:rPr>
              <w:t>/</w:t>
            </w:r>
            <w:r>
              <w:rPr>
                <w:sz w:val="24"/>
                <w:lang w:eastAsia="zh-CN"/>
              </w:rPr>
              <w:t>当期工作日天数</w:t>
            </w:r>
          </w:p>
        </w:tc>
        <w:tc>
          <w:tcPr>
            <w:tcW w:w="1701" w:type="dxa"/>
          </w:tcPr>
          <w:p>
            <w:pPr>
              <w:pStyle w:val="12"/>
              <w:spacing w:before="144" w:line="242" w:lineRule="auto"/>
              <w:ind w:left="107" w:right="141"/>
              <w:jc w:val="both"/>
              <w:rPr>
                <w:sz w:val="24"/>
                <w:lang w:eastAsia="zh-CN"/>
              </w:rPr>
            </w:pPr>
            <w:r>
              <w:rPr>
                <w:sz w:val="24"/>
                <w:lang w:eastAsia="zh-CN"/>
              </w:rPr>
              <w:t>以付款周期内的出勤天数和卖方人员工作日计算</w:t>
            </w:r>
          </w:p>
        </w:tc>
        <w:tc>
          <w:tcPr>
            <w:tcW w:w="1134" w:type="dxa"/>
          </w:tcPr>
          <w:p>
            <w:pPr>
              <w:pStyle w:val="12"/>
              <w:spacing w:before="7"/>
              <w:rPr>
                <w:sz w:val="35"/>
                <w:lang w:eastAsia="zh-CN"/>
              </w:rPr>
            </w:pPr>
          </w:p>
          <w:p>
            <w:pPr>
              <w:pStyle w:val="12"/>
              <w:spacing w:before="1"/>
              <w:ind w:left="107"/>
              <w:rPr>
                <w:sz w:val="24"/>
              </w:rPr>
            </w:pPr>
            <w:r>
              <w:rPr>
                <w:sz w:val="24"/>
              </w:rPr>
              <w:t>出勤率</w:t>
            </w:r>
          </w:p>
          <w:p>
            <w:pPr>
              <w:pStyle w:val="12"/>
              <w:spacing w:before="18"/>
              <w:ind w:left="107"/>
              <w:rPr>
                <w:rFonts w:ascii="Times New Roman" w:hAnsi="Times New Roman"/>
                <w:sz w:val="24"/>
              </w:rPr>
            </w:pPr>
            <w:r>
              <w:rPr>
                <w:rFonts w:ascii="Times New Roman" w:hAnsi="Times New Roman"/>
                <w:sz w:val="24"/>
              </w:rPr>
              <w:t>≥90%</w:t>
            </w:r>
          </w:p>
        </w:tc>
        <w:tc>
          <w:tcPr>
            <w:tcW w:w="1418" w:type="dxa"/>
          </w:tcPr>
          <w:p>
            <w:pPr>
              <w:pStyle w:val="12"/>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470" w:type="dxa"/>
          </w:tcPr>
          <w:p>
            <w:pPr>
              <w:pStyle w:val="12"/>
            </w:pPr>
          </w:p>
          <w:p>
            <w:pPr>
              <w:pStyle w:val="12"/>
            </w:pPr>
          </w:p>
          <w:p>
            <w:pPr>
              <w:pStyle w:val="12"/>
              <w:spacing w:before="8"/>
              <w:rPr>
                <w:sz w:val="19"/>
              </w:rPr>
            </w:pPr>
          </w:p>
          <w:p>
            <w:pPr>
              <w:pStyle w:val="12"/>
              <w:ind w:left="7"/>
              <w:jc w:val="center"/>
              <w:rPr>
                <w:rFonts w:ascii="Times New Roman"/>
                <w:sz w:val="21"/>
              </w:rPr>
            </w:pPr>
            <w:r>
              <w:rPr>
                <w:rFonts w:ascii="Times New Roman"/>
                <w:w w:val="99"/>
                <w:sz w:val="21"/>
              </w:rPr>
              <w:t>2</w:t>
            </w:r>
          </w:p>
        </w:tc>
        <w:tc>
          <w:tcPr>
            <w:tcW w:w="1062" w:type="dxa"/>
          </w:tcPr>
          <w:p>
            <w:pPr>
              <w:pStyle w:val="12"/>
              <w:rPr>
                <w:sz w:val="24"/>
              </w:rPr>
            </w:pPr>
          </w:p>
          <w:p>
            <w:pPr>
              <w:pStyle w:val="12"/>
              <w:spacing w:before="12"/>
              <w:rPr>
                <w:sz w:val="24"/>
              </w:rPr>
            </w:pPr>
          </w:p>
          <w:p>
            <w:pPr>
              <w:pStyle w:val="12"/>
              <w:spacing w:line="242" w:lineRule="auto"/>
              <w:ind w:left="107" w:right="222"/>
              <w:rPr>
                <w:sz w:val="24"/>
              </w:rPr>
            </w:pPr>
            <w:r>
              <w:rPr>
                <w:sz w:val="24"/>
              </w:rPr>
              <w:t>工作饱和度</w:t>
            </w:r>
          </w:p>
        </w:tc>
        <w:tc>
          <w:tcPr>
            <w:tcW w:w="1134" w:type="dxa"/>
          </w:tcPr>
          <w:p>
            <w:pPr>
              <w:pStyle w:val="12"/>
              <w:spacing w:before="159" w:line="242" w:lineRule="auto"/>
              <w:ind w:left="108" w:right="293"/>
              <w:jc w:val="both"/>
              <w:rPr>
                <w:sz w:val="24"/>
                <w:lang w:eastAsia="zh-CN"/>
              </w:rPr>
            </w:pPr>
            <w:r>
              <w:rPr>
                <w:sz w:val="24"/>
                <w:lang w:eastAsia="zh-CN"/>
              </w:rPr>
              <w:t>评定卖方服务人员工作饱和度</w:t>
            </w:r>
          </w:p>
        </w:tc>
        <w:tc>
          <w:tcPr>
            <w:tcW w:w="1417" w:type="dxa"/>
          </w:tcPr>
          <w:p>
            <w:pPr>
              <w:pStyle w:val="12"/>
              <w:rPr>
                <w:sz w:val="24"/>
                <w:lang w:eastAsia="zh-CN"/>
              </w:rPr>
            </w:pPr>
          </w:p>
          <w:p>
            <w:pPr>
              <w:pStyle w:val="12"/>
              <w:spacing w:before="164" w:line="242" w:lineRule="auto"/>
              <w:ind w:left="107" w:right="97"/>
              <w:jc w:val="both"/>
              <w:rPr>
                <w:sz w:val="24"/>
                <w:lang w:eastAsia="zh-CN"/>
              </w:rPr>
            </w:pPr>
            <w:r>
              <w:rPr>
                <w:sz w:val="24"/>
                <w:lang w:eastAsia="zh-CN"/>
              </w:rPr>
              <w:t>卖方人员工作量需达到一定饱和度</w:t>
            </w:r>
          </w:p>
        </w:tc>
        <w:tc>
          <w:tcPr>
            <w:tcW w:w="1701" w:type="dxa"/>
          </w:tcPr>
          <w:p>
            <w:pPr>
              <w:pStyle w:val="12"/>
              <w:rPr>
                <w:sz w:val="24"/>
                <w:lang w:eastAsia="zh-CN"/>
              </w:rPr>
            </w:pPr>
          </w:p>
          <w:p>
            <w:pPr>
              <w:pStyle w:val="12"/>
              <w:spacing w:before="164" w:line="242" w:lineRule="auto"/>
              <w:ind w:left="106" w:right="245"/>
              <w:jc w:val="both"/>
              <w:rPr>
                <w:sz w:val="24"/>
                <w:lang w:eastAsia="zh-CN"/>
              </w:rPr>
            </w:pPr>
            <w:r>
              <w:rPr>
                <w:sz w:val="24"/>
                <w:lang w:eastAsia="zh-CN"/>
              </w:rPr>
              <w:t>饱和度</w:t>
            </w:r>
            <w:r>
              <w:rPr>
                <w:rFonts w:ascii="Times New Roman" w:eastAsia="Times New Roman"/>
                <w:sz w:val="24"/>
                <w:lang w:eastAsia="zh-CN"/>
              </w:rPr>
              <w:t>=</w:t>
            </w:r>
            <w:r>
              <w:rPr>
                <w:sz w:val="24"/>
                <w:lang w:eastAsia="zh-CN"/>
              </w:rPr>
              <w:t>任务量</w:t>
            </w:r>
            <w:r>
              <w:rPr>
                <w:rFonts w:ascii="Times New Roman" w:eastAsia="Times New Roman"/>
                <w:sz w:val="24"/>
                <w:lang w:eastAsia="zh-CN"/>
              </w:rPr>
              <w:t>/</w:t>
            </w:r>
            <w:r>
              <w:rPr>
                <w:sz w:val="24"/>
                <w:lang w:eastAsia="zh-CN"/>
              </w:rPr>
              <w:t>出勤工作日</w:t>
            </w:r>
          </w:p>
        </w:tc>
        <w:tc>
          <w:tcPr>
            <w:tcW w:w="1701" w:type="dxa"/>
          </w:tcPr>
          <w:p>
            <w:pPr>
              <w:pStyle w:val="12"/>
              <w:rPr>
                <w:sz w:val="24"/>
                <w:lang w:eastAsia="zh-CN"/>
              </w:rPr>
            </w:pPr>
          </w:p>
          <w:p>
            <w:pPr>
              <w:pStyle w:val="12"/>
              <w:spacing w:before="164" w:line="242" w:lineRule="auto"/>
              <w:ind w:left="107" w:right="141"/>
              <w:jc w:val="both"/>
              <w:rPr>
                <w:sz w:val="24"/>
                <w:lang w:eastAsia="zh-CN"/>
              </w:rPr>
            </w:pPr>
            <w:r>
              <w:rPr>
                <w:sz w:val="24"/>
                <w:lang w:eastAsia="zh-CN"/>
              </w:rPr>
              <w:t>任务量及出勤工作日以人月为单位核算</w:t>
            </w:r>
          </w:p>
        </w:tc>
        <w:tc>
          <w:tcPr>
            <w:tcW w:w="1134" w:type="dxa"/>
          </w:tcPr>
          <w:p>
            <w:pPr>
              <w:pStyle w:val="12"/>
              <w:rPr>
                <w:sz w:val="24"/>
                <w:lang w:eastAsia="zh-CN"/>
              </w:rPr>
            </w:pPr>
          </w:p>
          <w:p>
            <w:pPr>
              <w:pStyle w:val="12"/>
              <w:spacing w:before="164" w:line="242" w:lineRule="auto"/>
              <w:ind w:left="107" w:right="294"/>
              <w:rPr>
                <w:sz w:val="24"/>
              </w:rPr>
            </w:pPr>
            <w:r>
              <w:rPr>
                <w:spacing w:val="-6"/>
                <w:sz w:val="24"/>
              </w:rPr>
              <w:t>工作饱</w:t>
            </w:r>
            <w:r>
              <w:rPr>
                <w:sz w:val="24"/>
              </w:rPr>
              <w:t>和度</w:t>
            </w:r>
          </w:p>
          <w:p>
            <w:pPr>
              <w:pStyle w:val="12"/>
              <w:spacing w:before="16"/>
              <w:ind w:left="107"/>
              <w:rPr>
                <w:rFonts w:ascii="Times New Roman" w:hAnsi="Times New Roman"/>
                <w:sz w:val="24"/>
              </w:rPr>
            </w:pPr>
            <w:r>
              <w:rPr>
                <w:rFonts w:ascii="Times New Roman" w:hAnsi="Times New Roman"/>
                <w:sz w:val="24"/>
              </w:rPr>
              <w:t>≥90%</w:t>
            </w:r>
          </w:p>
        </w:tc>
        <w:tc>
          <w:tcPr>
            <w:tcW w:w="1418" w:type="dxa"/>
          </w:tcPr>
          <w:p>
            <w:pPr>
              <w:pStyle w:val="12"/>
              <w:spacing w:before="3" w:line="242" w:lineRule="auto"/>
              <w:ind w:left="106" w:right="99"/>
              <w:rPr>
                <w:sz w:val="24"/>
                <w:lang w:eastAsia="zh-CN"/>
              </w:rPr>
            </w:pPr>
            <w:r>
              <w:rPr>
                <w:sz w:val="24"/>
                <w:lang w:eastAsia="zh-CN"/>
              </w:rPr>
              <w:t>若低于</w:t>
            </w:r>
            <w:r>
              <w:rPr>
                <w:rFonts w:ascii="Times New Roman" w:eastAsia="Times New Roman"/>
                <w:sz w:val="24"/>
                <w:lang w:eastAsia="zh-CN"/>
              </w:rPr>
              <w:t>90%</w:t>
            </w:r>
            <w:r>
              <w:rPr>
                <w:sz w:val="24"/>
                <w:lang w:eastAsia="zh-CN"/>
              </w:rPr>
              <w:t>，则每低一个百分点扣减当次结算金额的</w:t>
            </w:r>
          </w:p>
          <w:p>
            <w:pPr>
              <w:pStyle w:val="12"/>
              <w:spacing w:before="21" w:line="275" w:lineRule="exact"/>
              <w:ind w:left="106"/>
              <w:rPr>
                <w:rFonts w:ascii="Times New Roman"/>
                <w:sz w:val="24"/>
              </w:rPr>
            </w:pPr>
            <w:r>
              <w:rPr>
                <w:rFonts w:ascii="Times New Roman"/>
                <w:sz w:val="24"/>
              </w:rPr>
              <w:t>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83" w:hRule="atLeast"/>
        </w:trPr>
        <w:tc>
          <w:tcPr>
            <w:tcW w:w="470" w:type="dxa"/>
          </w:tcPr>
          <w:p>
            <w:pPr>
              <w:pStyle w:val="12"/>
            </w:pPr>
          </w:p>
          <w:p>
            <w:pPr>
              <w:pStyle w:val="12"/>
            </w:pPr>
          </w:p>
          <w:p>
            <w:pPr>
              <w:pStyle w:val="12"/>
              <w:spacing w:before="10"/>
              <w:rPr>
                <w:sz w:val="31"/>
              </w:rPr>
            </w:pPr>
          </w:p>
          <w:p>
            <w:pPr>
              <w:pStyle w:val="12"/>
              <w:ind w:left="7"/>
              <w:jc w:val="center"/>
              <w:rPr>
                <w:rFonts w:ascii="Times New Roman"/>
                <w:sz w:val="21"/>
              </w:rPr>
            </w:pPr>
            <w:r>
              <w:rPr>
                <w:rFonts w:ascii="Times New Roman"/>
                <w:w w:val="99"/>
                <w:sz w:val="21"/>
              </w:rPr>
              <w:t>3</w:t>
            </w:r>
          </w:p>
        </w:tc>
        <w:tc>
          <w:tcPr>
            <w:tcW w:w="1062" w:type="dxa"/>
          </w:tcPr>
          <w:p>
            <w:pPr>
              <w:pStyle w:val="12"/>
              <w:rPr>
                <w:sz w:val="26"/>
              </w:rPr>
            </w:pPr>
          </w:p>
          <w:p>
            <w:pPr>
              <w:pStyle w:val="12"/>
              <w:spacing w:before="1"/>
              <w:rPr>
                <w:sz w:val="35"/>
              </w:rPr>
            </w:pPr>
          </w:p>
          <w:p>
            <w:pPr>
              <w:pStyle w:val="12"/>
              <w:ind w:left="107"/>
              <w:rPr>
                <w:sz w:val="24"/>
              </w:rPr>
            </w:pPr>
            <w:r>
              <w:rPr>
                <w:rFonts w:ascii="Times New Roman" w:eastAsia="Times New Roman"/>
                <w:sz w:val="24"/>
              </w:rPr>
              <w:t xml:space="preserve">UAT </w:t>
            </w:r>
            <w:r>
              <w:rPr>
                <w:sz w:val="24"/>
              </w:rPr>
              <w:t>测</w:t>
            </w:r>
          </w:p>
          <w:p>
            <w:pPr>
              <w:pStyle w:val="12"/>
              <w:spacing w:before="5"/>
              <w:ind w:left="107"/>
              <w:rPr>
                <w:sz w:val="24"/>
              </w:rPr>
            </w:pPr>
            <w:r>
              <w:rPr>
                <w:sz w:val="24"/>
              </w:rPr>
              <w:t>试质量</w:t>
            </w:r>
          </w:p>
        </w:tc>
        <w:tc>
          <w:tcPr>
            <w:tcW w:w="1134" w:type="dxa"/>
          </w:tcPr>
          <w:p>
            <w:pPr>
              <w:pStyle w:val="12"/>
              <w:rPr>
                <w:sz w:val="24"/>
                <w:lang w:eastAsia="zh-CN"/>
              </w:rPr>
            </w:pPr>
          </w:p>
          <w:p>
            <w:pPr>
              <w:pStyle w:val="12"/>
              <w:spacing w:before="163" w:line="242" w:lineRule="auto"/>
              <w:ind w:left="108" w:right="293"/>
              <w:jc w:val="both"/>
              <w:rPr>
                <w:sz w:val="24"/>
                <w:lang w:eastAsia="zh-CN"/>
              </w:rPr>
            </w:pPr>
            <w:r>
              <w:rPr>
                <w:sz w:val="24"/>
                <w:lang w:eastAsia="zh-CN"/>
              </w:rPr>
              <w:t>控制项目集成测试交付质量</w:t>
            </w:r>
          </w:p>
        </w:tc>
        <w:tc>
          <w:tcPr>
            <w:tcW w:w="1417" w:type="dxa"/>
          </w:tcPr>
          <w:p>
            <w:pPr>
              <w:pStyle w:val="12"/>
              <w:rPr>
                <w:sz w:val="24"/>
                <w:lang w:eastAsia="zh-CN"/>
              </w:rPr>
            </w:pPr>
          </w:p>
          <w:p>
            <w:pPr>
              <w:pStyle w:val="12"/>
              <w:spacing w:before="163" w:line="242" w:lineRule="auto"/>
              <w:ind w:left="107" w:right="97"/>
              <w:rPr>
                <w:sz w:val="24"/>
                <w:lang w:eastAsia="zh-CN"/>
              </w:rPr>
            </w:pPr>
            <w:r>
              <w:rPr>
                <w:sz w:val="24"/>
                <w:lang w:eastAsia="zh-CN"/>
              </w:rPr>
              <w:t>买方确认的</w:t>
            </w:r>
            <w:r>
              <w:rPr>
                <w:rFonts w:ascii="Times New Roman" w:eastAsia="Times New Roman"/>
                <w:sz w:val="24"/>
                <w:lang w:eastAsia="zh-CN"/>
              </w:rPr>
              <w:t xml:space="preserve">UAT </w:t>
            </w:r>
            <w:r>
              <w:rPr>
                <w:sz w:val="24"/>
                <w:lang w:eastAsia="zh-CN"/>
              </w:rPr>
              <w:t>测试问题数量不得过高</w:t>
            </w:r>
          </w:p>
        </w:tc>
        <w:tc>
          <w:tcPr>
            <w:tcW w:w="1701" w:type="dxa"/>
          </w:tcPr>
          <w:p>
            <w:pPr>
              <w:pStyle w:val="12"/>
              <w:spacing w:before="7"/>
              <w:rPr>
                <w:sz w:val="24"/>
                <w:lang w:eastAsia="zh-CN"/>
              </w:rPr>
            </w:pPr>
          </w:p>
          <w:p>
            <w:pPr>
              <w:pStyle w:val="12"/>
              <w:spacing w:line="242" w:lineRule="auto"/>
              <w:ind w:left="106" w:right="96"/>
              <w:jc w:val="both"/>
              <w:rPr>
                <w:sz w:val="24"/>
                <w:lang w:eastAsia="zh-CN"/>
              </w:rPr>
            </w:pPr>
            <w:r>
              <w:rPr>
                <w:sz w:val="24"/>
                <w:lang w:eastAsia="zh-CN"/>
              </w:rPr>
              <w:t>因程序质量原</w:t>
            </w:r>
            <w:r>
              <w:rPr>
                <w:spacing w:val="-12"/>
                <w:sz w:val="24"/>
                <w:lang w:eastAsia="zh-CN"/>
              </w:rPr>
              <w:t xml:space="preserve">因产生的 </w:t>
            </w:r>
            <w:r>
              <w:rPr>
                <w:rFonts w:ascii="Times New Roman" w:eastAsia="Times New Roman"/>
                <w:spacing w:val="-16"/>
                <w:sz w:val="24"/>
                <w:lang w:eastAsia="zh-CN"/>
              </w:rPr>
              <w:t xml:space="preserve">UAT </w:t>
            </w:r>
            <w:r>
              <w:rPr>
                <w:sz w:val="24"/>
                <w:lang w:eastAsia="zh-CN"/>
              </w:rPr>
              <w:t>测试问题数与系统集成测试问题数比较</w:t>
            </w:r>
          </w:p>
        </w:tc>
        <w:tc>
          <w:tcPr>
            <w:tcW w:w="1701" w:type="dxa"/>
          </w:tcPr>
          <w:p>
            <w:pPr>
              <w:pStyle w:val="12"/>
              <w:spacing w:before="7"/>
              <w:rPr>
                <w:sz w:val="24"/>
                <w:lang w:eastAsia="zh-CN"/>
              </w:rPr>
            </w:pPr>
          </w:p>
          <w:p>
            <w:pPr>
              <w:pStyle w:val="12"/>
              <w:spacing w:line="242" w:lineRule="auto"/>
              <w:ind w:left="107" w:right="97"/>
              <w:jc w:val="both"/>
              <w:rPr>
                <w:sz w:val="24"/>
                <w:lang w:eastAsia="zh-CN"/>
              </w:rPr>
            </w:pPr>
            <w:r>
              <w:rPr>
                <w:sz w:val="24"/>
                <w:lang w:eastAsia="zh-CN"/>
              </w:rPr>
              <w:t>买方比对</w:t>
            </w:r>
            <w:r>
              <w:rPr>
                <w:rFonts w:ascii="Times New Roman" w:eastAsia="Times New Roman"/>
                <w:sz w:val="24"/>
                <w:lang w:eastAsia="zh-CN"/>
              </w:rPr>
              <w:t xml:space="preserve">UAT </w:t>
            </w:r>
            <w:r>
              <w:rPr>
                <w:sz w:val="24"/>
                <w:lang w:eastAsia="zh-CN"/>
              </w:rPr>
              <w:t>测试问题数量和卖方集成测试报告问题数量</w:t>
            </w:r>
          </w:p>
        </w:tc>
        <w:tc>
          <w:tcPr>
            <w:tcW w:w="1134" w:type="dxa"/>
          </w:tcPr>
          <w:p>
            <w:pPr>
              <w:pStyle w:val="12"/>
              <w:spacing w:before="3"/>
              <w:ind w:left="107"/>
              <w:rPr>
                <w:sz w:val="24"/>
                <w:lang w:eastAsia="zh-CN"/>
              </w:rPr>
            </w:pPr>
            <w:r>
              <w:rPr>
                <w:rFonts w:ascii="Times New Roman" w:eastAsia="Times New Roman"/>
                <w:sz w:val="24"/>
                <w:lang w:eastAsia="zh-CN"/>
              </w:rPr>
              <w:t xml:space="preserve">UAT </w:t>
            </w:r>
            <w:r>
              <w:rPr>
                <w:sz w:val="24"/>
                <w:lang w:eastAsia="zh-CN"/>
              </w:rPr>
              <w:t>测</w:t>
            </w:r>
          </w:p>
          <w:p>
            <w:pPr>
              <w:pStyle w:val="12"/>
              <w:spacing w:before="4" w:line="242" w:lineRule="auto"/>
              <w:ind w:left="107" w:right="162"/>
              <w:rPr>
                <w:sz w:val="24"/>
                <w:lang w:eastAsia="zh-CN"/>
              </w:rPr>
            </w:pPr>
            <w:r>
              <w:rPr>
                <w:sz w:val="24"/>
                <w:lang w:eastAsia="zh-CN"/>
              </w:rPr>
              <w:t>试问题总数</w:t>
            </w:r>
            <w:r>
              <w:rPr>
                <w:rFonts w:ascii="Times New Roman" w:hAnsi="Times New Roman" w:eastAsia="Times New Roman"/>
                <w:sz w:val="24"/>
                <w:lang w:eastAsia="zh-CN"/>
              </w:rPr>
              <w:t>≤</w:t>
            </w:r>
            <w:r>
              <w:rPr>
                <w:sz w:val="24"/>
                <w:lang w:eastAsia="zh-CN"/>
              </w:rPr>
              <w:t>系统集成测试问题总数</w:t>
            </w:r>
          </w:p>
          <w:p>
            <w:pPr>
              <w:pStyle w:val="12"/>
              <w:spacing w:before="23" w:line="273" w:lineRule="exact"/>
              <w:ind w:left="107"/>
              <w:rPr>
                <w:rFonts w:ascii="Times New Roman" w:hAnsi="Times New Roman"/>
                <w:sz w:val="24"/>
              </w:rPr>
            </w:pPr>
            <w:r>
              <w:rPr>
                <w:rFonts w:ascii="Times New Roman" w:hAnsi="Times New Roman"/>
                <w:sz w:val="24"/>
              </w:rPr>
              <w:t>×20%</w:t>
            </w:r>
          </w:p>
        </w:tc>
        <w:tc>
          <w:tcPr>
            <w:tcW w:w="1418" w:type="dxa"/>
          </w:tcPr>
          <w:p>
            <w:pPr>
              <w:pStyle w:val="12"/>
              <w:spacing w:before="159" w:line="242" w:lineRule="auto"/>
              <w:ind w:left="106" w:right="99"/>
              <w:rPr>
                <w:rFonts w:ascii="Times New Roman" w:eastAsia="Times New Roman"/>
                <w:sz w:val="24"/>
                <w:lang w:eastAsia="zh-CN"/>
              </w:rPr>
            </w:pPr>
            <w:r>
              <w:rPr>
                <w:sz w:val="24"/>
                <w:lang w:eastAsia="zh-CN"/>
              </w:rPr>
              <w:t>若超过</w:t>
            </w:r>
            <w:r>
              <w:rPr>
                <w:rFonts w:ascii="Times New Roman" w:eastAsia="Times New Roman"/>
                <w:sz w:val="24"/>
                <w:lang w:eastAsia="zh-CN"/>
              </w:rPr>
              <w:t>20%</w:t>
            </w:r>
            <w:r>
              <w:rPr>
                <w:sz w:val="24"/>
                <w:lang w:eastAsia="zh-CN"/>
              </w:rPr>
              <w:t xml:space="preserve">，则每增加一个百分点扣减当次结算金额的 </w:t>
            </w:r>
            <w:r>
              <w:rPr>
                <w:rFonts w:ascii="Times New Roman" w:eastAsia="Times New Roman"/>
                <w:sz w:val="24"/>
                <w:lang w:eastAsia="zh-CN"/>
              </w:rPr>
              <w:t>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84" w:hRule="atLeast"/>
        </w:trPr>
        <w:tc>
          <w:tcPr>
            <w:tcW w:w="470" w:type="dxa"/>
          </w:tcPr>
          <w:p>
            <w:pPr>
              <w:pStyle w:val="12"/>
              <w:rPr>
                <w:lang w:eastAsia="zh-CN"/>
              </w:rPr>
            </w:pPr>
          </w:p>
          <w:p>
            <w:pPr>
              <w:pStyle w:val="12"/>
              <w:rPr>
                <w:lang w:eastAsia="zh-CN"/>
              </w:rPr>
            </w:pPr>
          </w:p>
          <w:p>
            <w:pPr>
              <w:pStyle w:val="12"/>
              <w:spacing w:before="9"/>
              <w:rPr>
                <w:sz w:val="31"/>
                <w:lang w:eastAsia="zh-CN"/>
              </w:rPr>
            </w:pPr>
          </w:p>
          <w:p>
            <w:pPr>
              <w:pStyle w:val="12"/>
              <w:spacing w:before="1"/>
              <w:ind w:left="7"/>
              <w:jc w:val="center"/>
              <w:rPr>
                <w:rFonts w:ascii="Times New Roman"/>
                <w:sz w:val="21"/>
              </w:rPr>
            </w:pPr>
            <w:r>
              <w:rPr>
                <w:rFonts w:ascii="Times New Roman"/>
                <w:w w:val="99"/>
                <w:sz w:val="21"/>
              </w:rPr>
              <w:t>4</w:t>
            </w:r>
          </w:p>
        </w:tc>
        <w:tc>
          <w:tcPr>
            <w:tcW w:w="1062" w:type="dxa"/>
          </w:tcPr>
          <w:p>
            <w:pPr>
              <w:pStyle w:val="12"/>
              <w:rPr>
                <w:sz w:val="24"/>
              </w:rPr>
            </w:pPr>
          </w:p>
          <w:p>
            <w:pPr>
              <w:pStyle w:val="12"/>
              <w:spacing w:before="11"/>
              <w:rPr>
                <w:sz w:val="24"/>
              </w:rPr>
            </w:pPr>
          </w:p>
          <w:p>
            <w:pPr>
              <w:pStyle w:val="12"/>
              <w:spacing w:line="242" w:lineRule="auto"/>
              <w:ind w:left="107" w:right="222"/>
              <w:jc w:val="both"/>
              <w:rPr>
                <w:sz w:val="24"/>
              </w:rPr>
            </w:pPr>
            <w:r>
              <w:rPr>
                <w:sz w:val="24"/>
              </w:rPr>
              <w:t>上线后重大质量缺陷</w:t>
            </w:r>
          </w:p>
        </w:tc>
        <w:tc>
          <w:tcPr>
            <w:tcW w:w="1134" w:type="dxa"/>
          </w:tcPr>
          <w:p>
            <w:pPr>
              <w:pStyle w:val="12"/>
              <w:spacing w:before="158" w:line="242" w:lineRule="auto"/>
              <w:ind w:left="108" w:right="293"/>
              <w:jc w:val="both"/>
              <w:rPr>
                <w:sz w:val="24"/>
                <w:lang w:eastAsia="zh-CN"/>
              </w:rPr>
            </w:pPr>
            <w:r>
              <w:rPr>
                <w:sz w:val="24"/>
                <w:lang w:eastAsia="zh-CN"/>
              </w:rPr>
              <w:t>衡量卖方在系统上线运行后的稳定性</w:t>
            </w:r>
          </w:p>
        </w:tc>
        <w:tc>
          <w:tcPr>
            <w:tcW w:w="1417" w:type="dxa"/>
          </w:tcPr>
          <w:p>
            <w:pPr>
              <w:pStyle w:val="12"/>
              <w:spacing w:before="3" w:line="242" w:lineRule="auto"/>
              <w:ind w:left="107" w:right="97"/>
              <w:jc w:val="both"/>
              <w:rPr>
                <w:sz w:val="24"/>
                <w:lang w:eastAsia="zh-CN"/>
              </w:rPr>
            </w:pPr>
            <w:r>
              <w:rPr>
                <w:spacing w:val="-4"/>
                <w:sz w:val="24"/>
                <w:lang w:eastAsia="zh-CN"/>
              </w:rPr>
              <w:t>系统上线后不能发生由于卖方人员原因产生的重大质量缺</w:t>
            </w:r>
            <w:r>
              <w:rPr>
                <w:sz w:val="24"/>
                <w:lang w:eastAsia="zh-CN"/>
              </w:rPr>
              <w:t>陷（</w:t>
            </w:r>
            <w:r>
              <w:rPr>
                <w:spacing w:val="-6"/>
                <w:sz w:val="24"/>
                <w:lang w:eastAsia="zh-CN"/>
              </w:rPr>
              <w:t>严重及</w:t>
            </w:r>
          </w:p>
          <w:p>
            <w:pPr>
              <w:pStyle w:val="12"/>
              <w:spacing w:before="8" w:line="289" w:lineRule="exact"/>
              <w:ind w:left="107"/>
              <w:rPr>
                <w:sz w:val="24"/>
              </w:rPr>
            </w:pPr>
            <w:r>
              <w:rPr>
                <w:sz w:val="24"/>
              </w:rPr>
              <w:t>致命缺陷）</w:t>
            </w:r>
          </w:p>
        </w:tc>
        <w:tc>
          <w:tcPr>
            <w:tcW w:w="1701" w:type="dxa"/>
          </w:tcPr>
          <w:p>
            <w:pPr>
              <w:pStyle w:val="12"/>
              <w:rPr>
                <w:sz w:val="24"/>
              </w:rPr>
            </w:pPr>
          </w:p>
          <w:p>
            <w:pPr>
              <w:pStyle w:val="12"/>
              <w:rPr>
                <w:sz w:val="24"/>
              </w:rPr>
            </w:pPr>
          </w:p>
          <w:p>
            <w:pPr>
              <w:pStyle w:val="12"/>
              <w:spacing w:before="168" w:line="242" w:lineRule="auto"/>
              <w:ind w:left="106" w:right="142"/>
              <w:rPr>
                <w:sz w:val="24"/>
              </w:rPr>
            </w:pPr>
            <w:r>
              <w:rPr>
                <w:sz w:val="24"/>
              </w:rPr>
              <w:t>生产缺陷程度和数量</w:t>
            </w:r>
          </w:p>
        </w:tc>
        <w:tc>
          <w:tcPr>
            <w:tcW w:w="1701" w:type="dxa"/>
          </w:tcPr>
          <w:p>
            <w:pPr>
              <w:pStyle w:val="12"/>
              <w:rPr>
                <w:sz w:val="24"/>
                <w:lang w:eastAsia="zh-CN"/>
              </w:rPr>
            </w:pPr>
          </w:p>
          <w:p>
            <w:pPr>
              <w:pStyle w:val="12"/>
              <w:spacing w:before="163" w:line="242" w:lineRule="auto"/>
              <w:ind w:left="107" w:right="141"/>
              <w:jc w:val="both"/>
              <w:rPr>
                <w:sz w:val="24"/>
                <w:lang w:eastAsia="zh-CN"/>
              </w:rPr>
            </w:pPr>
            <w:r>
              <w:rPr>
                <w:sz w:val="24"/>
                <w:lang w:eastAsia="zh-CN"/>
              </w:rPr>
              <w:t>买方根据系统上线运行的缺陷程度和数量判定</w:t>
            </w:r>
          </w:p>
        </w:tc>
        <w:tc>
          <w:tcPr>
            <w:tcW w:w="1134" w:type="dxa"/>
          </w:tcPr>
          <w:p>
            <w:pPr>
              <w:pStyle w:val="12"/>
              <w:rPr>
                <w:sz w:val="24"/>
                <w:lang w:eastAsia="zh-CN"/>
              </w:rPr>
            </w:pPr>
          </w:p>
          <w:p>
            <w:pPr>
              <w:pStyle w:val="12"/>
              <w:spacing w:before="11"/>
              <w:rPr>
                <w:sz w:val="24"/>
                <w:lang w:eastAsia="zh-CN"/>
              </w:rPr>
            </w:pPr>
          </w:p>
          <w:p>
            <w:pPr>
              <w:pStyle w:val="12"/>
              <w:spacing w:line="242" w:lineRule="auto"/>
              <w:ind w:left="107" w:right="294"/>
              <w:rPr>
                <w:sz w:val="24"/>
              </w:rPr>
            </w:pPr>
            <w:r>
              <w:rPr>
                <w:sz w:val="24"/>
              </w:rPr>
              <w:t>重大质量缺陷</w:t>
            </w:r>
          </w:p>
          <w:p>
            <w:pPr>
              <w:pStyle w:val="12"/>
              <w:spacing w:before="19"/>
              <w:ind w:left="107"/>
              <w:rPr>
                <w:rFonts w:ascii="Times New Roman"/>
                <w:sz w:val="24"/>
              </w:rPr>
            </w:pPr>
            <w:r>
              <w:rPr>
                <w:rFonts w:ascii="Times New Roman"/>
                <w:sz w:val="24"/>
              </w:rPr>
              <w:t>=0</w:t>
            </w:r>
          </w:p>
        </w:tc>
        <w:tc>
          <w:tcPr>
            <w:tcW w:w="1418" w:type="dxa"/>
          </w:tcPr>
          <w:p>
            <w:pPr>
              <w:pStyle w:val="12"/>
              <w:spacing w:before="158" w:line="242" w:lineRule="auto"/>
              <w:ind w:left="106" w:right="99"/>
              <w:jc w:val="both"/>
              <w:rPr>
                <w:sz w:val="24"/>
                <w:lang w:eastAsia="zh-CN"/>
              </w:rPr>
            </w:pPr>
            <w:r>
              <w:rPr>
                <w:sz w:val="24"/>
                <w:lang w:eastAsia="zh-CN"/>
              </w:rPr>
              <w:t>系统上线后发生重大质量缺陷每出现一个按一个人月单价进行罚款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6" w:hRule="atLeast"/>
        </w:trPr>
        <w:tc>
          <w:tcPr>
            <w:tcW w:w="470" w:type="dxa"/>
          </w:tcPr>
          <w:p>
            <w:pPr>
              <w:pStyle w:val="12"/>
              <w:rPr>
                <w:lang w:eastAsia="zh-CN"/>
              </w:rPr>
            </w:pPr>
          </w:p>
          <w:p>
            <w:pPr>
              <w:pStyle w:val="12"/>
              <w:rPr>
                <w:lang w:eastAsia="zh-CN"/>
              </w:rPr>
            </w:pPr>
          </w:p>
          <w:p>
            <w:pPr>
              <w:pStyle w:val="12"/>
              <w:rPr>
                <w:lang w:eastAsia="zh-CN"/>
              </w:rPr>
            </w:pPr>
          </w:p>
          <w:p>
            <w:pPr>
              <w:pStyle w:val="12"/>
              <w:spacing w:before="11"/>
              <w:rPr>
                <w:sz w:val="21"/>
                <w:lang w:eastAsia="zh-CN"/>
              </w:rPr>
            </w:pPr>
          </w:p>
          <w:p>
            <w:pPr>
              <w:pStyle w:val="12"/>
              <w:ind w:left="7"/>
              <w:jc w:val="center"/>
              <w:rPr>
                <w:rFonts w:ascii="Times New Roman"/>
                <w:sz w:val="21"/>
              </w:rPr>
            </w:pPr>
            <w:r>
              <w:rPr>
                <w:rFonts w:ascii="Times New Roman"/>
                <w:w w:val="99"/>
                <w:sz w:val="21"/>
              </w:rPr>
              <w:t>5</w:t>
            </w:r>
          </w:p>
        </w:tc>
        <w:tc>
          <w:tcPr>
            <w:tcW w:w="1062" w:type="dxa"/>
          </w:tcPr>
          <w:p>
            <w:pPr>
              <w:pStyle w:val="12"/>
              <w:rPr>
                <w:sz w:val="24"/>
              </w:rPr>
            </w:pPr>
          </w:p>
          <w:p>
            <w:pPr>
              <w:pStyle w:val="12"/>
              <w:rPr>
                <w:sz w:val="24"/>
              </w:rPr>
            </w:pPr>
          </w:p>
          <w:p>
            <w:pPr>
              <w:pStyle w:val="12"/>
              <w:spacing w:before="167" w:line="242" w:lineRule="auto"/>
              <w:ind w:left="107" w:right="222"/>
              <w:jc w:val="both"/>
              <w:rPr>
                <w:sz w:val="24"/>
              </w:rPr>
            </w:pPr>
            <w:r>
              <w:rPr>
                <w:sz w:val="24"/>
              </w:rPr>
              <w:t>上线后重大问题处理</w:t>
            </w:r>
          </w:p>
        </w:tc>
        <w:tc>
          <w:tcPr>
            <w:tcW w:w="1134" w:type="dxa"/>
          </w:tcPr>
          <w:p>
            <w:pPr>
              <w:pStyle w:val="12"/>
              <w:spacing w:before="2" w:line="242" w:lineRule="auto"/>
              <w:ind w:left="108" w:right="293"/>
              <w:jc w:val="both"/>
              <w:rPr>
                <w:sz w:val="24"/>
                <w:lang w:eastAsia="zh-CN"/>
              </w:rPr>
            </w:pPr>
            <w:r>
              <w:rPr>
                <w:sz w:val="24"/>
                <w:lang w:eastAsia="zh-CN"/>
              </w:rPr>
              <w:t>衡量卖方在系统上线运行后及时处理重大</w:t>
            </w:r>
          </w:p>
          <w:p>
            <w:pPr>
              <w:pStyle w:val="12"/>
              <w:spacing w:before="6" w:line="310" w:lineRule="atLeast"/>
              <w:ind w:left="108" w:right="293"/>
              <w:rPr>
                <w:sz w:val="24"/>
              </w:rPr>
            </w:pPr>
            <w:r>
              <w:rPr>
                <w:sz w:val="24"/>
              </w:rPr>
              <w:t>问题的能力</w:t>
            </w:r>
          </w:p>
        </w:tc>
        <w:tc>
          <w:tcPr>
            <w:tcW w:w="1417" w:type="dxa"/>
          </w:tcPr>
          <w:p>
            <w:pPr>
              <w:pStyle w:val="12"/>
              <w:rPr>
                <w:sz w:val="24"/>
                <w:lang w:eastAsia="zh-CN"/>
              </w:rPr>
            </w:pPr>
          </w:p>
          <w:p>
            <w:pPr>
              <w:pStyle w:val="12"/>
              <w:spacing w:before="11"/>
              <w:rPr>
                <w:sz w:val="24"/>
                <w:lang w:eastAsia="zh-CN"/>
              </w:rPr>
            </w:pPr>
          </w:p>
          <w:p>
            <w:pPr>
              <w:pStyle w:val="12"/>
              <w:spacing w:line="242" w:lineRule="auto"/>
              <w:ind w:left="107" w:right="97"/>
              <w:jc w:val="both"/>
              <w:rPr>
                <w:sz w:val="24"/>
                <w:lang w:eastAsia="zh-CN"/>
              </w:rPr>
            </w:pPr>
            <w:r>
              <w:rPr>
                <w:sz w:val="24"/>
                <w:lang w:eastAsia="zh-CN"/>
              </w:rPr>
              <w:t>上线后遗留问题或生产缺陷解决的及时性</w:t>
            </w:r>
          </w:p>
        </w:tc>
        <w:tc>
          <w:tcPr>
            <w:tcW w:w="1701" w:type="dxa"/>
          </w:tcPr>
          <w:p>
            <w:pPr>
              <w:pStyle w:val="12"/>
              <w:rPr>
                <w:sz w:val="24"/>
                <w:lang w:eastAsia="zh-CN"/>
              </w:rPr>
            </w:pPr>
          </w:p>
          <w:p>
            <w:pPr>
              <w:pStyle w:val="12"/>
              <w:rPr>
                <w:sz w:val="24"/>
                <w:lang w:eastAsia="zh-CN"/>
              </w:rPr>
            </w:pPr>
          </w:p>
          <w:p>
            <w:pPr>
              <w:pStyle w:val="12"/>
              <w:spacing w:before="3"/>
              <w:rPr>
                <w:sz w:val="25"/>
                <w:lang w:eastAsia="zh-CN"/>
              </w:rPr>
            </w:pPr>
          </w:p>
          <w:p>
            <w:pPr>
              <w:pStyle w:val="12"/>
              <w:spacing w:line="242" w:lineRule="auto"/>
              <w:ind w:left="106" w:right="142"/>
              <w:rPr>
                <w:sz w:val="24"/>
                <w:lang w:eastAsia="zh-CN"/>
              </w:rPr>
            </w:pPr>
            <w:r>
              <w:rPr>
                <w:sz w:val="24"/>
                <w:lang w:eastAsia="zh-CN"/>
              </w:rPr>
              <w:t>缺陷与问题解决的及时性</w:t>
            </w:r>
          </w:p>
        </w:tc>
        <w:tc>
          <w:tcPr>
            <w:tcW w:w="1701" w:type="dxa"/>
          </w:tcPr>
          <w:p>
            <w:pPr>
              <w:pStyle w:val="12"/>
              <w:rPr>
                <w:sz w:val="24"/>
                <w:lang w:eastAsia="zh-CN"/>
              </w:rPr>
            </w:pPr>
          </w:p>
          <w:p>
            <w:pPr>
              <w:pStyle w:val="12"/>
              <w:spacing w:before="11"/>
              <w:rPr>
                <w:sz w:val="24"/>
                <w:lang w:eastAsia="zh-CN"/>
              </w:rPr>
            </w:pPr>
          </w:p>
          <w:p>
            <w:pPr>
              <w:pStyle w:val="12"/>
              <w:spacing w:line="242" w:lineRule="auto"/>
              <w:ind w:left="107" w:right="141"/>
              <w:jc w:val="both"/>
              <w:rPr>
                <w:sz w:val="24"/>
                <w:lang w:eastAsia="zh-CN"/>
              </w:rPr>
            </w:pPr>
            <w:r>
              <w:rPr>
                <w:sz w:val="24"/>
                <w:lang w:eastAsia="zh-CN"/>
              </w:rPr>
              <w:t>买方根据系统上线运行后的重大问题处理情况判定</w:t>
            </w:r>
          </w:p>
        </w:tc>
        <w:tc>
          <w:tcPr>
            <w:tcW w:w="1134" w:type="dxa"/>
          </w:tcPr>
          <w:p>
            <w:pPr>
              <w:pStyle w:val="12"/>
              <w:rPr>
                <w:sz w:val="24"/>
                <w:lang w:eastAsia="zh-CN"/>
              </w:rPr>
            </w:pPr>
          </w:p>
          <w:p>
            <w:pPr>
              <w:pStyle w:val="12"/>
              <w:spacing w:before="11"/>
              <w:rPr>
                <w:sz w:val="24"/>
                <w:lang w:eastAsia="zh-CN"/>
              </w:rPr>
            </w:pPr>
          </w:p>
          <w:p>
            <w:pPr>
              <w:pStyle w:val="12"/>
              <w:spacing w:line="242" w:lineRule="auto"/>
              <w:ind w:left="107" w:right="294"/>
              <w:jc w:val="both"/>
              <w:rPr>
                <w:sz w:val="24"/>
              </w:rPr>
            </w:pPr>
            <w:r>
              <w:rPr>
                <w:spacing w:val="-6"/>
                <w:sz w:val="24"/>
              </w:rPr>
              <w:t>生产缺陷解决及时率</w:t>
            </w:r>
          </w:p>
          <w:p>
            <w:pPr>
              <w:pStyle w:val="12"/>
              <w:spacing w:before="20"/>
              <w:ind w:left="107"/>
              <w:rPr>
                <w:rFonts w:ascii="Times New Roman"/>
                <w:sz w:val="24"/>
              </w:rPr>
            </w:pPr>
            <w:r>
              <w:rPr>
                <w:rFonts w:ascii="Times New Roman"/>
                <w:sz w:val="24"/>
              </w:rPr>
              <w:t>=100%</w:t>
            </w:r>
          </w:p>
        </w:tc>
        <w:tc>
          <w:tcPr>
            <w:tcW w:w="1418" w:type="dxa"/>
          </w:tcPr>
          <w:p>
            <w:pPr>
              <w:pStyle w:val="12"/>
              <w:spacing w:before="158" w:line="242" w:lineRule="auto"/>
              <w:ind w:left="106" w:right="99"/>
              <w:rPr>
                <w:sz w:val="24"/>
                <w:lang w:eastAsia="zh-CN"/>
              </w:rPr>
            </w:pPr>
            <w:r>
              <w:rPr>
                <w:sz w:val="24"/>
                <w:lang w:eastAsia="zh-CN"/>
              </w:rPr>
              <w:t xml:space="preserve">重大生产缺陷、问题不能得到及时解决，每次按当次结算金额的 </w:t>
            </w:r>
            <w:r>
              <w:rPr>
                <w:rFonts w:ascii="Times New Roman" w:eastAsia="Times New Roman"/>
                <w:sz w:val="24"/>
                <w:lang w:eastAsia="zh-CN"/>
              </w:rPr>
              <w:t xml:space="preserve">5% </w:t>
            </w:r>
            <w:r>
              <w:rPr>
                <w:sz w:val="24"/>
                <w:lang w:eastAsia="zh-CN"/>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72" w:hRule="atLeast"/>
        </w:trPr>
        <w:tc>
          <w:tcPr>
            <w:tcW w:w="470" w:type="dxa"/>
          </w:tcPr>
          <w:p>
            <w:pPr>
              <w:pStyle w:val="12"/>
              <w:rPr>
                <w:lang w:eastAsia="zh-CN"/>
              </w:rPr>
            </w:pPr>
          </w:p>
          <w:p>
            <w:pPr>
              <w:pStyle w:val="12"/>
              <w:rPr>
                <w:lang w:eastAsia="zh-CN"/>
              </w:rPr>
            </w:pPr>
          </w:p>
          <w:p>
            <w:pPr>
              <w:pStyle w:val="12"/>
              <w:spacing w:before="6"/>
              <w:rPr>
                <w:sz w:val="19"/>
                <w:lang w:eastAsia="zh-CN"/>
              </w:rPr>
            </w:pPr>
          </w:p>
          <w:p>
            <w:pPr>
              <w:pStyle w:val="12"/>
              <w:ind w:left="7"/>
              <w:jc w:val="center"/>
              <w:rPr>
                <w:rFonts w:ascii="Times New Roman"/>
                <w:sz w:val="21"/>
              </w:rPr>
            </w:pPr>
            <w:r>
              <w:rPr>
                <w:rFonts w:ascii="Times New Roman"/>
                <w:w w:val="99"/>
                <w:sz w:val="21"/>
              </w:rPr>
              <w:t>6</w:t>
            </w:r>
          </w:p>
        </w:tc>
        <w:tc>
          <w:tcPr>
            <w:tcW w:w="1062" w:type="dxa"/>
          </w:tcPr>
          <w:p>
            <w:pPr>
              <w:pStyle w:val="12"/>
              <w:rPr>
                <w:sz w:val="24"/>
              </w:rPr>
            </w:pPr>
          </w:p>
          <w:p>
            <w:pPr>
              <w:pStyle w:val="12"/>
              <w:spacing w:before="11"/>
              <w:rPr>
                <w:sz w:val="24"/>
              </w:rPr>
            </w:pPr>
          </w:p>
          <w:p>
            <w:pPr>
              <w:pStyle w:val="12"/>
              <w:spacing w:line="242" w:lineRule="auto"/>
              <w:ind w:left="107" w:right="222"/>
              <w:rPr>
                <w:sz w:val="24"/>
              </w:rPr>
            </w:pPr>
            <w:r>
              <w:rPr>
                <w:sz w:val="24"/>
              </w:rPr>
              <w:t>人力资源投入</w:t>
            </w:r>
          </w:p>
        </w:tc>
        <w:tc>
          <w:tcPr>
            <w:tcW w:w="1134" w:type="dxa"/>
          </w:tcPr>
          <w:p>
            <w:pPr>
              <w:pStyle w:val="12"/>
              <w:spacing w:before="6"/>
              <w:rPr>
                <w:sz w:val="24"/>
                <w:lang w:eastAsia="zh-CN"/>
              </w:rPr>
            </w:pPr>
          </w:p>
          <w:p>
            <w:pPr>
              <w:pStyle w:val="12"/>
              <w:spacing w:line="242" w:lineRule="auto"/>
              <w:ind w:left="108" w:right="293"/>
              <w:jc w:val="both"/>
              <w:rPr>
                <w:sz w:val="24"/>
                <w:lang w:eastAsia="zh-CN"/>
              </w:rPr>
            </w:pPr>
            <w:r>
              <w:rPr>
                <w:sz w:val="24"/>
                <w:lang w:eastAsia="zh-CN"/>
              </w:rPr>
              <w:t>衡量卖方人员服务的符合度</w:t>
            </w:r>
          </w:p>
        </w:tc>
        <w:tc>
          <w:tcPr>
            <w:tcW w:w="1417" w:type="dxa"/>
          </w:tcPr>
          <w:p>
            <w:pPr>
              <w:pStyle w:val="12"/>
              <w:spacing w:before="6"/>
              <w:rPr>
                <w:sz w:val="24"/>
                <w:lang w:eastAsia="zh-CN"/>
              </w:rPr>
            </w:pPr>
          </w:p>
          <w:p>
            <w:pPr>
              <w:pStyle w:val="12"/>
              <w:spacing w:line="242" w:lineRule="auto"/>
              <w:ind w:left="107" w:right="97"/>
              <w:jc w:val="both"/>
              <w:rPr>
                <w:sz w:val="24"/>
                <w:lang w:eastAsia="zh-CN"/>
              </w:rPr>
            </w:pPr>
            <w:r>
              <w:rPr>
                <w:sz w:val="24"/>
                <w:lang w:eastAsia="zh-CN"/>
              </w:rPr>
              <w:t>投入人员情况符合投标文件或合同要求</w:t>
            </w:r>
          </w:p>
        </w:tc>
        <w:tc>
          <w:tcPr>
            <w:tcW w:w="1701" w:type="dxa"/>
          </w:tcPr>
          <w:p>
            <w:pPr>
              <w:pStyle w:val="12"/>
              <w:spacing w:before="2"/>
              <w:ind w:left="106"/>
              <w:rPr>
                <w:sz w:val="24"/>
                <w:lang w:eastAsia="zh-CN"/>
              </w:rPr>
            </w:pPr>
            <w:r>
              <w:rPr>
                <w:sz w:val="24"/>
                <w:lang w:eastAsia="zh-CN"/>
              </w:rPr>
              <w:t>人员数量差异</w:t>
            </w:r>
          </w:p>
          <w:p>
            <w:pPr>
              <w:pStyle w:val="12"/>
              <w:spacing w:before="4" w:line="242" w:lineRule="auto"/>
              <w:ind w:left="106" w:right="166"/>
              <w:rPr>
                <w:sz w:val="24"/>
                <w:lang w:eastAsia="zh-CN"/>
              </w:rPr>
            </w:pPr>
            <w:r>
              <w:rPr>
                <w:rFonts w:ascii="Times New Roman" w:eastAsia="Times New Roman"/>
                <w:sz w:val="24"/>
                <w:lang w:eastAsia="zh-CN"/>
              </w:rPr>
              <w:t>=</w:t>
            </w:r>
            <w:r>
              <w:rPr>
                <w:sz w:val="24"/>
                <w:lang w:eastAsia="zh-CN"/>
              </w:rPr>
              <w:t>承诺人数</w:t>
            </w:r>
            <w:r>
              <w:rPr>
                <w:rFonts w:ascii="Times New Roman" w:eastAsia="Times New Roman"/>
                <w:sz w:val="24"/>
                <w:lang w:eastAsia="zh-CN"/>
              </w:rPr>
              <w:t>-</w:t>
            </w:r>
            <w:r>
              <w:rPr>
                <w:sz w:val="24"/>
                <w:lang w:eastAsia="zh-CN"/>
              </w:rPr>
              <w:t>实际人数</w:t>
            </w:r>
          </w:p>
          <w:p>
            <w:pPr>
              <w:pStyle w:val="12"/>
              <w:spacing w:before="3" w:line="242" w:lineRule="auto"/>
              <w:ind w:left="106" w:right="247"/>
              <w:rPr>
                <w:sz w:val="24"/>
                <w:lang w:eastAsia="zh-CN"/>
              </w:rPr>
            </w:pPr>
            <w:r>
              <w:rPr>
                <w:sz w:val="24"/>
                <w:lang w:eastAsia="zh-CN"/>
              </w:rPr>
              <w:t>人员一致率</w:t>
            </w:r>
            <w:r>
              <w:rPr>
                <w:rFonts w:ascii="Times New Roman" w:eastAsia="Times New Roman"/>
                <w:sz w:val="24"/>
                <w:lang w:eastAsia="zh-CN"/>
              </w:rPr>
              <w:t xml:space="preserve">= </w:t>
            </w:r>
            <w:r>
              <w:rPr>
                <w:sz w:val="24"/>
                <w:lang w:eastAsia="zh-CN"/>
              </w:rPr>
              <w:t>差异人数</w:t>
            </w:r>
            <w:r>
              <w:rPr>
                <w:rFonts w:ascii="Times New Roman" w:eastAsia="Times New Roman"/>
                <w:sz w:val="24"/>
                <w:lang w:eastAsia="zh-CN"/>
              </w:rPr>
              <w:t>/</w:t>
            </w:r>
            <w:r>
              <w:rPr>
                <w:sz w:val="24"/>
                <w:lang w:eastAsia="zh-CN"/>
              </w:rPr>
              <w:t>承</w:t>
            </w:r>
          </w:p>
          <w:p>
            <w:pPr>
              <w:pStyle w:val="12"/>
              <w:spacing w:before="3" w:line="290" w:lineRule="exact"/>
              <w:ind w:left="106"/>
              <w:rPr>
                <w:sz w:val="24"/>
                <w:lang w:eastAsia="zh-CN"/>
              </w:rPr>
            </w:pPr>
            <w:r>
              <w:rPr>
                <w:sz w:val="24"/>
                <w:lang w:eastAsia="zh-CN"/>
              </w:rPr>
              <w:t>诺人数</w:t>
            </w:r>
          </w:p>
        </w:tc>
        <w:tc>
          <w:tcPr>
            <w:tcW w:w="1701" w:type="dxa"/>
          </w:tcPr>
          <w:p>
            <w:pPr>
              <w:pStyle w:val="12"/>
              <w:spacing w:before="6"/>
              <w:rPr>
                <w:sz w:val="24"/>
                <w:lang w:eastAsia="zh-CN"/>
              </w:rPr>
            </w:pPr>
          </w:p>
          <w:p>
            <w:pPr>
              <w:pStyle w:val="12"/>
              <w:spacing w:line="242" w:lineRule="auto"/>
              <w:ind w:left="107" w:right="141"/>
              <w:jc w:val="both"/>
              <w:rPr>
                <w:sz w:val="24"/>
                <w:lang w:eastAsia="zh-CN"/>
              </w:rPr>
            </w:pPr>
            <w:r>
              <w:rPr>
                <w:sz w:val="24"/>
                <w:lang w:eastAsia="zh-CN"/>
              </w:rPr>
              <w:t>买方按合同或标书要求判定卖方人员投入情况</w:t>
            </w:r>
          </w:p>
        </w:tc>
        <w:tc>
          <w:tcPr>
            <w:tcW w:w="1134" w:type="dxa"/>
          </w:tcPr>
          <w:p>
            <w:pPr>
              <w:pStyle w:val="12"/>
              <w:spacing w:before="2" w:line="242" w:lineRule="auto"/>
              <w:ind w:left="107" w:right="294"/>
              <w:rPr>
                <w:sz w:val="24"/>
                <w:lang w:eastAsia="zh-CN"/>
              </w:rPr>
            </w:pPr>
            <w:r>
              <w:rPr>
                <w:sz w:val="24"/>
                <w:lang w:eastAsia="zh-CN"/>
              </w:rPr>
              <w:t>人员数量差异</w:t>
            </w:r>
          </w:p>
          <w:p>
            <w:pPr>
              <w:pStyle w:val="12"/>
              <w:spacing w:before="3" w:line="242" w:lineRule="auto"/>
              <w:ind w:left="107" w:right="222"/>
              <w:jc w:val="both"/>
              <w:rPr>
                <w:sz w:val="24"/>
                <w:lang w:eastAsia="zh-CN"/>
              </w:rPr>
            </w:pPr>
            <w:r>
              <w:rPr>
                <w:rFonts w:ascii="Times New Roman" w:hAnsi="Times New Roman" w:eastAsia="Times New Roman"/>
                <w:sz w:val="24"/>
                <w:lang w:eastAsia="zh-CN"/>
              </w:rPr>
              <w:t xml:space="preserve">≤2 </w:t>
            </w:r>
            <w:r>
              <w:rPr>
                <w:spacing w:val="-9"/>
                <w:sz w:val="24"/>
                <w:lang w:eastAsia="zh-CN"/>
              </w:rPr>
              <w:t>并且</w:t>
            </w:r>
            <w:r>
              <w:rPr>
                <w:sz w:val="24"/>
                <w:lang w:eastAsia="zh-CN"/>
              </w:rPr>
              <w:t>人员一致率</w:t>
            </w:r>
          </w:p>
          <w:p>
            <w:pPr>
              <w:pStyle w:val="12"/>
              <w:spacing w:before="20" w:line="274" w:lineRule="exact"/>
              <w:ind w:left="107"/>
              <w:rPr>
                <w:rFonts w:ascii="Times New Roman" w:hAnsi="Times New Roman"/>
                <w:sz w:val="24"/>
              </w:rPr>
            </w:pPr>
            <w:r>
              <w:rPr>
                <w:rFonts w:ascii="Times New Roman" w:hAnsi="Times New Roman"/>
                <w:sz w:val="24"/>
              </w:rPr>
              <w:t>≥80%</w:t>
            </w:r>
          </w:p>
        </w:tc>
        <w:tc>
          <w:tcPr>
            <w:tcW w:w="1418" w:type="dxa"/>
          </w:tcPr>
          <w:p>
            <w:pPr>
              <w:pStyle w:val="12"/>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3" w:hRule="atLeast"/>
        </w:trPr>
        <w:tc>
          <w:tcPr>
            <w:tcW w:w="470" w:type="dxa"/>
          </w:tcPr>
          <w:p>
            <w:pPr>
              <w:pStyle w:val="12"/>
              <w:spacing w:before="2"/>
              <w:rPr>
                <w:sz w:val="27"/>
              </w:rPr>
            </w:pPr>
          </w:p>
          <w:p>
            <w:pPr>
              <w:pStyle w:val="12"/>
              <w:ind w:left="7"/>
              <w:jc w:val="center"/>
              <w:rPr>
                <w:rFonts w:ascii="Times New Roman"/>
                <w:sz w:val="21"/>
              </w:rPr>
            </w:pPr>
            <w:r>
              <w:rPr>
                <w:rFonts w:ascii="Times New Roman"/>
                <w:w w:val="99"/>
                <w:sz w:val="21"/>
              </w:rPr>
              <w:t>7</w:t>
            </w:r>
          </w:p>
        </w:tc>
        <w:tc>
          <w:tcPr>
            <w:tcW w:w="1062" w:type="dxa"/>
          </w:tcPr>
          <w:p>
            <w:pPr>
              <w:pStyle w:val="12"/>
              <w:spacing w:before="160" w:line="242" w:lineRule="auto"/>
              <w:ind w:left="107" w:right="222"/>
              <w:rPr>
                <w:sz w:val="24"/>
              </w:rPr>
            </w:pPr>
            <w:r>
              <w:rPr>
                <w:sz w:val="24"/>
              </w:rPr>
              <w:t>人员变动</w:t>
            </w:r>
          </w:p>
        </w:tc>
        <w:tc>
          <w:tcPr>
            <w:tcW w:w="1134" w:type="dxa"/>
          </w:tcPr>
          <w:p>
            <w:pPr>
              <w:pStyle w:val="12"/>
              <w:spacing w:before="4" w:line="242" w:lineRule="auto"/>
              <w:ind w:left="108" w:right="293"/>
              <w:rPr>
                <w:sz w:val="24"/>
              </w:rPr>
            </w:pPr>
            <w:r>
              <w:rPr>
                <w:spacing w:val="-6"/>
                <w:sz w:val="24"/>
              </w:rPr>
              <w:t>衡量卖方人员</w:t>
            </w:r>
          </w:p>
          <w:p>
            <w:pPr>
              <w:pStyle w:val="12"/>
              <w:spacing w:before="3" w:line="286" w:lineRule="exact"/>
              <w:ind w:left="108"/>
              <w:rPr>
                <w:sz w:val="24"/>
              </w:rPr>
            </w:pPr>
            <w:r>
              <w:rPr>
                <w:sz w:val="24"/>
              </w:rPr>
              <w:t>服务的</w:t>
            </w:r>
          </w:p>
        </w:tc>
        <w:tc>
          <w:tcPr>
            <w:tcW w:w="1417" w:type="dxa"/>
          </w:tcPr>
          <w:p>
            <w:pPr>
              <w:pStyle w:val="12"/>
              <w:spacing w:before="4" w:line="242" w:lineRule="auto"/>
              <w:ind w:left="107" w:right="97"/>
              <w:rPr>
                <w:sz w:val="24"/>
                <w:lang w:eastAsia="zh-CN"/>
              </w:rPr>
            </w:pPr>
            <w:r>
              <w:rPr>
                <w:spacing w:val="-4"/>
                <w:sz w:val="24"/>
                <w:lang w:eastAsia="zh-CN"/>
              </w:rPr>
              <w:t>卖方项目组人员变动比</w:t>
            </w:r>
          </w:p>
          <w:p>
            <w:pPr>
              <w:pStyle w:val="12"/>
              <w:spacing w:before="3" w:line="286" w:lineRule="exact"/>
              <w:ind w:left="107"/>
              <w:rPr>
                <w:sz w:val="24"/>
                <w:lang w:eastAsia="zh-CN"/>
              </w:rPr>
            </w:pPr>
            <w:r>
              <w:rPr>
                <w:sz w:val="24"/>
                <w:lang w:eastAsia="zh-CN"/>
              </w:rPr>
              <w:t>例不得高于</w:t>
            </w:r>
          </w:p>
        </w:tc>
        <w:tc>
          <w:tcPr>
            <w:tcW w:w="1701" w:type="dxa"/>
          </w:tcPr>
          <w:p>
            <w:pPr>
              <w:pStyle w:val="12"/>
              <w:spacing w:before="4"/>
              <w:ind w:left="106"/>
              <w:rPr>
                <w:sz w:val="24"/>
                <w:lang w:eastAsia="zh-CN"/>
              </w:rPr>
            </w:pPr>
            <w:r>
              <w:rPr>
                <w:sz w:val="24"/>
                <w:lang w:eastAsia="zh-CN"/>
              </w:rPr>
              <w:t>人员变动人数</w:t>
            </w:r>
          </w:p>
          <w:p>
            <w:pPr>
              <w:pStyle w:val="12"/>
              <w:spacing w:before="2" w:line="310" w:lineRule="atLeast"/>
              <w:ind w:left="106" w:right="315"/>
              <w:rPr>
                <w:sz w:val="24"/>
                <w:lang w:eastAsia="zh-CN"/>
              </w:rPr>
            </w:pPr>
            <w:r>
              <w:rPr>
                <w:rFonts w:ascii="Times New Roman" w:eastAsia="Times New Roman"/>
                <w:sz w:val="24"/>
                <w:lang w:eastAsia="zh-CN"/>
              </w:rPr>
              <w:t>/</w:t>
            </w:r>
            <w:r>
              <w:rPr>
                <w:sz w:val="24"/>
                <w:lang w:eastAsia="zh-CN"/>
              </w:rPr>
              <w:t>原项目组人员总人数</w:t>
            </w:r>
          </w:p>
        </w:tc>
        <w:tc>
          <w:tcPr>
            <w:tcW w:w="1701" w:type="dxa"/>
          </w:tcPr>
          <w:p>
            <w:pPr>
              <w:pStyle w:val="12"/>
              <w:spacing w:before="4" w:line="242" w:lineRule="auto"/>
              <w:ind w:left="107" w:right="141"/>
              <w:rPr>
                <w:sz w:val="24"/>
                <w:lang w:eastAsia="zh-CN"/>
              </w:rPr>
            </w:pPr>
            <w:r>
              <w:rPr>
                <w:spacing w:val="-3"/>
                <w:sz w:val="24"/>
                <w:lang w:eastAsia="zh-CN"/>
              </w:rPr>
              <w:t>买方根据卖方人员变动的具</w:t>
            </w:r>
          </w:p>
          <w:p>
            <w:pPr>
              <w:pStyle w:val="12"/>
              <w:spacing w:before="3" w:line="286" w:lineRule="exact"/>
              <w:ind w:left="107"/>
              <w:rPr>
                <w:sz w:val="24"/>
              </w:rPr>
            </w:pPr>
            <w:r>
              <w:rPr>
                <w:sz w:val="24"/>
              </w:rPr>
              <w:t>体时间和原因</w:t>
            </w:r>
          </w:p>
        </w:tc>
        <w:tc>
          <w:tcPr>
            <w:tcW w:w="1134" w:type="dxa"/>
          </w:tcPr>
          <w:p>
            <w:pPr>
              <w:pStyle w:val="12"/>
              <w:spacing w:before="4" w:line="242" w:lineRule="auto"/>
              <w:ind w:left="107" w:right="294"/>
              <w:rPr>
                <w:sz w:val="24"/>
              </w:rPr>
            </w:pPr>
            <w:r>
              <w:rPr>
                <w:spacing w:val="-6"/>
                <w:sz w:val="24"/>
              </w:rPr>
              <w:t>人员变</w:t>
            </w:r>
            <w:r>
              <w:rPr>
                <w:sz w:val="24"/>
              </w:rPr>
              <w:t>动率</w:t>
            </w:r>
          </w:p>
          <w:p>
            <w:pPr>
              <w:pStyle w:val="12"/>
              <w:spacing w:before="16" w:line="272" w:lineRule="exact"/>
              <w:ind w:left="107"/>
              <w:rPr>
                <w:rFonts w:ascii="Times New Roman" w:hAnsi="Times New Roman"/>
                <w:sz w:val="24"/>
              </w:rPr>
            </w:pPr>
            <w:r>
              <w:rPr>
                <w:rFonts w:ascii="Times New Roman" w:hAnsi="Times New Roman"/>
                <w:sz w:val="24"/>
              </w:rPr>
              <w:t>≤30%</w:t>
            </w:r>
          </w:p>
        </w:tc>
        <w:tc>
          <w:tcPr>
            <w:tcW w:w="1418" w:type="dxa"/>
          </w:tcPr>
          <w:p>
            <w:pPr>
              <w:pStyle w:val="12"/>
              <w:spacing w:before="4" w:line="242" w:lineRule="auto"/>
              <w:ind w:left="106" w:right="99" w:firstLine="480"/>
              <w:rPr>
                <w:sz w:val="24"/>
                <w:lang w:eastAsia="zh-CN"/>
              </w:rPr>
            </w:pPr>
            <w:r>
              <w:rPr>
                <w:spacing w:val="-6"/>
                <w:sz w:val="24"/>
                <w:lang w:eastAsia="zh-CN"/>
              </w:rPr>
              <w:t>技术骨</w:t>
            </w:r>
            <w:r>
              <w:rPr>
                <w:spacing w:val="-4"/>
                <w:sz w:val="24"/>
                <w:lang w:eastAsia="zh-CN"/>
              </w:rPr>
              <w:t>干及项目经</w:t>
            </w:r>
          </w:p>
          <w:p>
            <w:pPr>
              <w:pStyle w:val="12"/>
              <w:spacing w:before="3" w:line="286" w:lineRule="exact"/>
              <w:ind w:left="106"/>
              <w:rPr>
                <w:sz w:val="24"/>
                <w:lang w:eastAsia="zh-CN"/>
              </w:rPr>
            </w:pPr>
            <w:r>
              <w:rPr>
                <w:sz w:val="24"/>
                <w:lang w:eastAsia="zh-CN"/>
              </w:rPr>
              <w:t>理变动扣罚</w:t>
            </w:r>
          </w:p>
        </w:tc>
      </w:tr>
    </w:tbl>
    <w:p>
      <w:pPr>
        <w:spacing w:line="286" w:lineRule="exact"/>
        <w:rPr>
          <w:sz w:val="24"/>
          <w:lang w:eastAsia="zh-CN"/>
        </w:rPr>
        <w:sectPr>
          <w:pgSz w:w="11910" w:h="16840"/>
          <w:pgMar w:top="1420" w:right="640" w:bottom="280" w:left="1000" w:header="720" w:footer="720" w:gutter="0"/>
          <w:cols w:space="720" w:num="1"/>
        </w:sectPr>
      </w:pPr>
    </w:p>
    <w:tbl>
      <w:tblPr>
        <w:tblStyle w:val="10"/>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0"/>
        <w:gridCol w:w="1062"/>
        <w:gridCol w:w="1134"/>
        <w:gridCol w:w="1417"/>
        <w:gridCol w:w="1701"/>
        <w:gridCol w:w="1701"/>
        <w:gridCol w:w="1134"/>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7" w:hRule="atLeast"/>
        </w:trPr>
        <w:tc>
          <w:tcPr>
            <w:tcW w:w="470" w:type="dxa"/>
          </w:tcPr>
          <w:p>
            <w:pPr>
              <w:pStyle w:val="12"/>
              <w:rPr>
                <w:rFonts w:ascii="Times New Roman"/>
                <w:lang w:eastAsia="zh-CN"/>
              </w:rPr>
            </w:pPr>
          </w:p>
        </w:tc>
        <w:tc>
          <w:tcPr>
            <w:tcW w:w="1062" w:type="dxa"/>
          </w:tcPr>
          <w:p>
            <w:pPr>
              <w:pStyle w:val="12"/>
              <w:rPr>
                <w:rFonts w:ascii="Times New Roman"/>
                <w:lang w:eastAsia="zh-CN"/>
              </w:rPr>
            </w:pPr>
          </w:p>
        </w:tc>
        <w:tc>
          <w:tcPr>
            <w:tcW w:w="1134" w:type="dxa"/>
          </w:tcPr>
          <w:p>
            <w:pPr>
              <w:pStyle w:val="12"/>
              <w:spacing w:before="3"/>
              <w:ind w:left="108"/>
              <w:rPr>
                <w:sz w:val="24"/>
              </w:rPr>
            </w:pPr>
            <w:r>
              <w:rPr>
                <w:sz w:val="24"/>
              </w:rPr>
              <w:t>稳定性</w:t>
            </w:r>
          </w:p>
        </w:tc>
        <w:tc>
          <w:tcPr>
            <w:tcW w:w="1417" w:type="dxa"/>
          </w:tcPr>
          <w:p>
            <w:pPr>
              <w:pStyle w:val="12"/>
              <w:spacing w:before="19"/>
              <w:ind w:left="107"/>
              <w:rPr>
                <w:rFonts w:ascii="Times New Roman"/>
                <w:sz w:val="24"/>
              </w:rPr>
            </w:pPr>
            <w:r>
              <w:rPr>
                <w:rFonts w:ascii="Times New Roman"/>
                <w:sz w:val="24"/>
              </w:rPr>
              <w:t>30%</w:t>
            </w:r>
          </w:p>
        </w:tc>
        <w:tc>
          <w:tcPr>
            <w:tcW w:w="1701" w:type="dxa"/>
          </w:tcPr>
          <w:p>
            <w:pPr>
              <w:pStyle w:val="12"/>
              <w:rPr>
                <w:rFonts w:ascii="Times New Roman"/>
              </w:rPr>
            </w:pPr>
          </w:p>
        </w:tc>
        <w:tc>
          <w:tcPr>
            <w:tcW w:w="1701" w:type="dxa"/>
          </w:tcPr>
          <w:p>
            <w:pPr>
              <w:pStyle w:val="12"/>
              <w:spacing w:before="3"/>
              <w:ind w:left="107"/>
              <w:rPr>
                <w:sz w:val="24"/>
              </w:rPr>
            </w:pPr>
            <w:r>
              <w:rPr>
                <w:sz w:val="24"/>
              </w:rPr>
              <w:t>测算</w:t>
            </w:r>
          </w:p>
        </w:tc>
        <w:tc>
          <w:tcPr>
            <w:tcW w:w="1134" w:type="dxa"/>
          </w:tcPr>
          <w:p>
            <w:pPr>
              <w:pStyle w:val="12"/>
              <w:rPr>
                <w:rFonts w:ascii="Times New Roman"/>
              </w:rPr>
            </w:pPr>
          </w:p>
        </w:tc>
        <w:tc>
          <w:tcPr>
            <w:tcW w:w="1418" w:type="dxa"/>
          </w:tcPr>
          <w:p>
            <w:pPr>
              <w:pStyle w:val="12"/>
              <w:spacing w:before="3" w:line="242" w:lineRule="auto"/>
              <w:ind w:left="106" w:right="97"/>
              <w:rPr>
                <w:sz w:val="24"/>
                <w:lang w:eastAsia="zh-CN"/>
              </w:rPr>
            </w:pPr>
            <w:r>
              <w:rPr>
                <w:spacing w:val="-3"/>
                <w:sz w:val="24"/>
                <w:lang w:eastAsia="zh-CN"/>
              </w:rPr>
              <w:t>技术骨干人</w:t>
            </w:r>
            <w:r>
              <w:rPr>
                <w:sz w:val="24"/>
                <w:lang w:eastAsia="zh-CN"/>
              </w:rPr>
              <w:t>月单价（</w:t>
            </w:r>
            <w:r>
              <w:rPr>
                <w:spacing w:val="-15"/>
                <w:sz w:val="24"/>
                <w:lang w:eastAsia="zh-CN"/>
              </w:rPr>
              <w:t>至</w:t>
            </w:r>
            <w:r>
              <w:rPr>
                <w:spacing w:val="-12"/>
                <w:sz w:val="24"/>
                <w:lang w:eastAsia="zh-CN"/>
              </w:rPr>
              <w:t xml:space="preserve">少不低于 </w:t>
            </w:r>
            <w:r>
              <w:rPr>
                <w:rFonts w:ascii="Times New Roman" w:eastAsia="Times New Roman"/>
                <w:sz w:val="24"/>
                <w:lang w:eastAsia="zh-CN"/>
              </w:rPr>
              <w:t xml:space="preserve">3 </w:t>
            </w:r>
            <w:r>
              <w:rPr>
                <w:sz w:val="24"/>
                <w:lang w:eastAsia="zh-CN"/>
              </w:rPr>
              <w:t>万元</w:t>
            </w:r>
            <w:r>
              <w:rPr>
                <w:spacing w:val="-119"/>
                <w:sz w:val="24"/>
                <w:lang w:eastAsia="zh-CN"/>
              </w:rPr>
              <w:t>）</w:t>
            </w:r>
            <w:r>
              <w:rPr>
                <w:spacing w:val="-46"/>
                <w:sz w:val="24"/>
                <w:lang w:eastAsia="zh-CN"/>
              </w:rPr>
              <w:t>，技术</w:t>
            </w:r>
            <w:r>
              <w:rPr>
                <w:spacing w:val="-3"/>
                <w:sz w:val="24"/>
                <w:lang w:eastAsia="zh-CN"/>
              </w:rPr>
              <w:t>人员变动高</w:t>
            </w:r>
            <w:r>
              <w:rPr>
                <w:sz w:val="24"/>
                <w:lang w:eastAsia="zh-CN"/>
              </w:rPr>
              <w:t>于超过</w:t>
            </w:r>
            <w:r>
              <w:rPr>
                <w:rFonts w:ascii="Times New Roman" w:eastAsia="Times New Roman"/>
                <w:sz w:val="24"/>
                <w:lang w:eastAsia="zh-CN"/>
              </w:rPr>
              <w:t>30%</w:t>
            </w:r>
            <w:r>
              <w:rPr>
                <w:sz w:val="24"/>
                <w:lang w:eastAsia="zh-CN"/>
              </w:rPr>
              <w:t>，扣罚</w:t>
            </w:r>
            <w:r>
              <w:rPr>
                <w:spacing w:val="-15"/>
                <w:sz w:val="24"/>
                <w:lang w:eastAsia="zh-CN"/>
              </w:rPr>
              <w:t xml:space="preserve">人民币 </w:t>
            </w:r>
            <w:r>
              <w:rPr>
                <w:rFonts w:ascii="Times New Roman" w:eastAsia="Times New Roman"/>
                <w:sz w:val="24"/>
                <w:lang w:eastAsia="zh-CN"/>
              </w:rPr>
              <w:t xml:space="preserve">2 </w:t>
            </w:r>
            <w:r>
              <w:rPr>
                <w:spacing w:val="-15"/>
                <w:sz w:val="24"/>
                <w:lang w:eastAsia="zh-CN"/>
              </w:rPr>
              <w:t>万</w:t>
            </w:r>
          </w:p>
          <w:p>
            <w:pPr>
              <w:pStyle w:val="12"/>
              <w:spacing w:before="11" w:line="289" w:lineRule="exact"/>
              <w:ind w:left="106"/>
              <w:rPr>
                <w:sz w:val="24"/>
              </w:rPr>
            </w:pPr>
            <w:r>
              <w:rPr>
                <w:sz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470" w:type="dxa"/>
          </w:tcPr>
          <w:p>
            <w:pPr>
              <w:pStyle w:val="12"/>
            </w:pPr>
          </w:p>
          <w:p>
            <w:pPr>
              <w:pStyle w:val="12"/>
            </w:pPr>
          </w:p>
          <w:p>
            <w:pPr>
              <w:pStyle w:val="12"/>
              <w:spacing w:before="7"/>
              <w:rPr>
                <w:sz w:val="19"/>
              </w:rPr>
            </w:pPr>
          </w:p>
          <w:p>
            <w:pPr>
              <w:pStyle w:val="12"/>
              <w:ind w:left="7"/>
              <w:jc w:val="center"/>
              <w:rPr>
                <w:rFonts w:ascii="Times New Roman"/>
                <w:sz w:val="21"/>
              </w:rPr>
            </w:pPr>
            <w:r>
              <w:rPr>
                <w:rFonts w:ascii="Times New Roman"/>
                <w:w w:val="99"/>
                <w:sz w:val="21"/>
              </w:rPr>
              <w:t>8</w:t>
            </w:r>
          </w:p>
        </w:tc>
        <w:tc>
          <w:tcPr>
            <w:tcW w:w="1062" w:type="dxa"/>
          </w:tcPr>
          <w:p>
            <w:pPr>
              <w:pStyle w:val="12"/>
              <w:rPr>
                <w:sz w:val="24"/>
              </w:rPr>
            </w:pPr>
          </w:p>
          <w:p>
            <w:pPr>
              <w:pStyle w:val="12"/>
              <w:spacing w:before="11"/>
              <w:rPr>
                <w:sz w:val="24"/>
              </w:rPr>
            </w:pPr>
          </w:p>
          <w:p>
            <w:pPr>
              <w:pStyle w:val="12"/>
              <w:spacing w:before="1" w:line="242" w:lineRule="auto"/>
              <w:ind w:left="107" w:right="222"/>
              <w:rPr>
                <w:sz w:val="24"/>
              </w:rPr>
            </w:pPr>
            <w:r>
              <w:rPr>
                <w:sz w:val="24"/>
              </w:rPr>
              <w:t>人员异常退出</w:t>
            </w:r>
          </w:p>
        </w:tc>
        <w:tc>
          <w:tcPr>
            <w:tcW w:w="1134" w:type="dxa"/>
          </w:tcPr>
          <w:p>
            <w:pPr>
              <w:pStyle w:val="12"/>
              <w:spacing w:before="158" w:line="242" w:lineRule="auto"/>
              <w:ind w:left="108" w:right="293"/>
              <w:jc w:val="both"/>
              <w:rPr>
                <w:sz w:val="24"/>
                <w:lang w:eastAsia="zh-CN"/>
              </w:rPr>
            </w:pPr>
            <w:r>
              <w:rPr>
                <w:sz w:val="24"/>
                <w:lang w:eastAsia="zh-CN"/>
              </w:rPr>
              <w:t>衡量卖方人员是否提供持续服务</w:t>
            </w:r>
          </w:p>
        </w:tc>
        <w:tc>
          <w:tcPr>
            <w:tcW w:w="1417" w:type="dxa"/>
          </w:tcPr>
          <w:p>
            <w:pPr>
              <w:pStyle w:val="12"/>
              <w:spacing w:before="3" w:line="242" w:lineRule="auto"/>
              <w:ind w:left="107" w:right="97"/>
              <w:jc w:val="both"/>
              <w:rPr>
                <w:sz w:val="24"/>
                <w:lang w:eastAsia="zh-CN"/>
              </w:rPr>
            </w:pPr>
            <w:r>
              <w:rPr>
                <w:sz w:val="24"/>
                <w:lang w:eastAsia="zh-CN"/>
              </w:rPr>
              <w:t>未经买方同意，卖方人员辞职和离职或无计划的调离项目</w:t>
            </w:r>
          </w:p>
          <w:p>
            <w:pPr>
              <w:pStyle w:val="12"/>
              <w:spacing w:before="7" w:line="289" w:lineRule="exact"/>
              <w:ind w:left="107"/>
              <w:rPr>
                <w:sz w:val="24"/>
              </w:rPr>
            </w:pPr>
            <w:r>
              <w:rPr>
                <w:sz w:val="24"/>
              </w:rPr>
              <w:t>组</w:t>
            </w:r>
          </w:p>
        </w:tc>
        <w:tc>
          <w:tcPr>
            <w:tcW w:w="1701" w:type="dxa"/>
          </w:tcPr>
          <w:p>
            <w:pPr>
              <w:pStyle w:val="12"/>
              <w:rPr>
                <w:sz w:val="24"/>
                <w:lang w:eastAsia="zh-CN"/>
              </w:rPr>
            </w:pPr>
          </w:p>
          <w:p>
            <w:pPr>
              <w:pStyle w:val="12"/>
              <w:spacing w:before="163" w:line="242" w:lineRule="auto"/>
              <w:ind w:left="106" w:right="142"/>
              <w:jc w:val="both"/>
              <w:rPr>
                <w:sz w:val="24"/>
                <w:lang w:eastAsia="zh-CN"/>
              </w:rPr>
            </w:pPr>
            <w:r>
              <w:rPr>
                <w:sz w:val="24"/>
                <w:lang w:eastAsia="zh-CN"/>
              </w:rPr>
              <w:t>异常退出项目的卖方人员次数</w:t>
            </w:r>
          </w:p>
        </w:tc>
        <w:tc>
          <w:tcPr>
            <w:tcW w:w="1701" w:type="dxa"/>
          </w:tcPr>
          <w:p>
            <w:pPr>
              <w:pStyle w:val="12"/>
              <w:spacing w:before="7"/>
              <w:rPr>
                <w:sz w:val="24"/>
                <w:lang w:eastAsia="zh-CN"/>
              </w:rPr>
            </w:pPr>
          </w:p>
          <w:p>
            <w:pPr>
              <w:pStyle w:val="12"/>
              <w:spacing w:line="242" w:lineRule="auto"/>
              <w:ind w:left="107" w:right="141"/>
              <w:jc w:val="both"/>
              <w:rPr>
                <w:sz w:val="24"/>
                <w:lang w:eastAsia="zh-CN"/>
              </w:rPr>
            </w:pPr>
            <w:r>
              <w:rPr>
                <w:sz w:val="24"/>
                <w:lang w:eastAsia="zh-CN"/>
              </w:rPr>
              <w:t>买方根据卖方人员退出的具体时间和原因测算</w:t>
            </w:r>
          </w:p>
        </w:tc>
        <w:tc>
          <w:tcPr>
            <w:tcW w:w="1134" w:type="dxa"/>
          </w:tcPr>
          <w:p>
            <w:pPr>
              <w:pStyle w:val="12"/>
              <w:spacing w:before="9"/>
              <w:rPr>
                <w:sz w:val="36"/>
                <w:lang w:eastAsia="zh-CN"/>
              </w:rPr>
            </w:pPr>
          </w:p>
          <w:p>
            <w:pPr>
              <w:pStyle w:val="12"/>
              <w:spacing w:line="242" w:lineRule="auto"/>
              <w:ind w:left="107" w:right="279"/>
              <w:jc w:val="both"/>
              <w:rPr>
                <w:rFonts w:ascii="Times New Roman" w:eastAsia="Times New Roman"/>
                <w:sz w:val="24"/>
              </w:rPr>
            </w:pPr>
            <w:r>
              <w:rPr>
                <w:sz w:val="24"/>
              </w:rPr>
              <w:t>人员异常退出次数</w:t>
            </w:r>
            <w:r>
              <w:rPr>
                <w:rFonts w:ascii="Times New Roman" w:eastAsia="Times New Roman"/>
                <w:sz w:val="24"/>
              </w:rPr>
              <w:t>=0</w:t>
            </w:r>
          </w:p>
        </w:tc>
        <w:tc>
          <w:tcPr>
            <w:tcW w:w="1418" w:type="dxa"/>
          </w:tcPr>
          <w:p>
            <w:pPr>
              <w:pStyle w:val="12"/>
              <w:spacing w:before="158" w:line="242" w:lineRule="auto"/>
              <w:ind w:left="106" w:right="99"/>
              <w:rPr>
                <w:sz w:val="24"/>
                <w:lang w:eastAsia="zh-CN"/>
              </w:rPr>
            </w:pPr>
            <w:r>
              <w:rPr>
                <w:sz w:val="24"/>
                <w:lang w:eastAsia="zh-CN"/>
              </w:rPr>
              <w:t xml:space="preserve">每次人员异常退出扣罚卖方金额人民 币 </w:t>
            </w:r>
            <w:r>
              <w:rPr>
                <w:rFonts w:ascii="Times New Roman" w:eastAsia="Times New Roman"/>
                <w:sz w:val="24"/>
                <w:lang w:eastAsia="zh-CN"/>
              </w:rPr>
              <w:t xml:space="preserve">1000 </w:t>
            </w:r>
            <w:r>
              <w:rPr>
                <w:sz w:val="24"/>
                <w:lang w:eastAsia="zh-CN"/>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0" w:hRule="atLeast"/>
        </w:trPr>
        <w:tc>
          <w:tcPr>
            <w:tcW w:w="470" w:type="dxa"/>
          </w:tcPr>
          <w:p>
            <w:pPr>
              <w:pStyle w:val="12"/>
              <w:rPr>
                <w:lang w:eastAsia="zh-CN"/>
              </w:rPr>
            </w:pPr>
          </w:p>
          <w:p>
            <w:pPr>
              <w:pStyle w:val="12"/>
              <w:rPr>
                <w:lang w:eastAsia="zh-CN"/>
              </w:rPr>
            </w:pPr>
          </w:p>
          <w:p>
            <w:pPr>
              <w:pStyle w:val="12"/>
              <w:rPr>
                <w:lang w:eastAsia="zh-CN"/>
              </w:rPr>
            </w:pPr>
          </w:p>
          <w:p>
            <w:pPr>
              <w:pStyle w:val="12"/>
              <w:rPr>
                <w:lang w:eastAsia="zh-CN"/>
              </w:rPr>
            </w:pPr>
          </w:p>
          <w:p>
            <w:pPr>
              <w:pStyle w:val="12"/>
              <w:spacing w:before="3"/>
              <w:rPr>
                <w:sz w:val="24"/>
                <w:lang w:eastAsia="zh-CN"/>
              </w:rPr>
            </w:pPr>
          </w:p>
          <w:p>
            <w:pPr>
              <w:pStyle w:val="12"/>
              <w:ind w:left="7"/>
              <w:jc w:val="center"/>
              <w:rPr>
                <w:rFonts w:ascii="Times New Roman"/>
                <w:sz w:val="21"/>
              </w:rPr>
            </w:pPr>
            <w:r>
              <w:rPr>
                <w:rFonts w:ascii="Times New Roman"/>
                <w:w w:val="99"/>
                <w:sz w:val="21"/>
              </w:rPr>
              <w:t>9</w:t>
            </w:r>
          </w:p>
        </w:tc>
        <w:tc>
          <w:tcPr>
            <w:tcW w:w="1062" w:type="dxa"/>
          </w:tcPr>
          <w:p>
            <w:pPr>
              <w:pStyle w:val="12"/>
              <w:rPr>
                <w:sz w:val="24"/>
              </w:rPr>
            </w:pPr>
          </w:p>
          <w:p>
            <w:pPr>
              <w:pStyle w:val="12"/>
              <w:rPr>
                <w:sz w:val="24"/>
              </w:rPr>
            </w:pPr>
          </w:p>
          <w:p>
            <w:pPr>
              <w:pStyle w:val="12"/>
              <w:rPr>
                <w:sz w:val="24"/>
              </w:rPr>
            </w:pPr>
          </w:p>
          <w:p>
            <w:pPr>
              <w:pStyle w:val="12"/>
              <w:spacing w:before="7"/>
              <w:rPr>
                <w:sz w:val="25"/>
              </w:rPr>
            </w:pPr>
          </w:p>
          <w:p>
            <w:pPr>
              <w:pStyle w:val="12"/>
              <w:spacing w:line="242" w:lineRule="auto"/>
              <w:ind w:left="107" w:right="222"/>
              <w:rPr>
                <w:sz w:val="24"/>
              </w:rPr>
            </w:pPr>
            <w:r>
              <w:rPr>
                <w:sz w:val="24"/>
              </w:rPr>
              <w:t>人员纪律性</w:t>
            </w:r>
          </w:p>
        </w:tc>
        <w:tc>
          <w:tcPr>
            <w:tcW w:w="1134" w:type="dxa"/>
          </w:tcPr>
          <w:p>
            <w:pPr>
              <w:pStyle w:val="12"/>
              <w:spacing w:before="6"/>
              <w:rPr>
                <w:sz w:val="24"/>
                <w:lang w:eastAsia="zh-CN"/>
              </w:rPr>
            </w:pPr>
          </w:p>
          <w:p>
            <w:pPr>
              <w:pStyle w:val="12"/>
              <w:spacing w:before="1" w:line="242" w:lineRule="auto"/>
              <w:ind w:left="108" w:right="293"/>
              <w:jc w:val="both"/>
              <w:rPr>
                <w:sz w:val="24"/>
                <w:lang w:eastAsia="zh-CN"/>
              </w:rPr>
            </w:pPr>
            <w:r>
              <w:rPr>
                <w:sz w:val="24"/>
                <w:lang w:eastAsia="zh-CN"/>
              </w:rPr>
              <w:t>衡量卖方人员是否遵守买方的日常规章和操作规范</w:t>
            </w:r>
          </w:p>
        </w:tc>
        <w:tc>
          <w:tcPr>
            <w:tcW w:w="1417" w:type="dxa"/>
          </w:tcPr>
          <w:p>
            <w:pPr>
              <w:pStyle w:val="12"/>
              <w:rPr>
                <w:sz w:val="24"/>
                <w:lang w:eastAsia="zh-CN"/>
              </w:rPr>
            </w:pPr>
          </w:p>
          <w:p>
            <w:pPr>
              <w:pStyle w:val="12"/>
              <w:rPr>
                <w:sz w:val="24"/>
                <w:lang w:eastAsia="zh-CN"/>
              </w:rPr>
            </w:pPr>
          </w:p>
          <w:p>
            <w:pPr>
              <w:pStyle w:val="12"/>
              <w:spacing w:before="167" w:line="242" w:lineRule="auto"/>
              <w:ind w:left="107" w:right="97"/>
              <w:jc w:val="both"/>
              <w:rPr>
                <w:sz w:val="24"/>
                <w:lang w:eastAsia="zh-CN"/>
              </w:rPr>
            </w:pPr>
            <w:r>
              <w:rPr>
                <w:sz w:val="24"/>
                <w:lang w:eastAsia="zh-CN"/>
              </w:rPr>
              <w:t>卖方人员不得违反买方的各项规章制度和操作规范</w:t>
            </w:r>
          </w:p>
        </w:tc>
        <w:tc>
          <w:tcPr>
            <w:tcW w:w="1701" w:type="dxa"/>
          </w:tcPr>
          <w:p>
            <w:pPr>
              <w:pStyle w:val="12"/>
              <w:rPr>
                <w:sz w:val="24"/>
                <w:lang w:eastAsia="zh-CN"/>
              </w:rPr>
            </w:pPr>
          </w:p>
          <w:p>
            <w:pPr>
              <w:pStyle w:val="12"/>
              <w:rPr>
                <w:sz w:val="24"/>
                <w:lang w:eastAsia="zh-CN"/>
              </w:rPr>
            </w:pPr>
          </w:p>
          <w:p>
            <w:pPr>
              <w:pStyle w:val="12"/>
              <w:rPr>
                <w:sz w:val="24"/>
                <w:lang w:eastAsia="zh-CN"/>
              </w:rPr>
            </w:pPr>
          </w:p>
          <w:p>
            <w:pPr>
              <w:pStyle w:val="12"/>
              <w:spacing w:before="7"/>
              <w:rPr>
                <w:sz w:val="25"/>
                <w:lang w:eastAsia="zh-CN"/>
              </w:rPr>
            </w:pPr>
          </w:p>
          <w:p>
            <w:pPr>
              <w:pStyle w:val="12"/>
              <w:spacing w:line="242" w:lineRule="auto"/>
              <w:ind w:left="106" w:right="142"/>
              <w:rPr>
                <w:sz w:val="24"/>
              </w:rPr>
            </w:pPr>
            <w:r>
              <w:rPr>
                <w:sz w:val="24"/>
              </w:rPr>
              <w:t>卖方人员违规次数</w:t>
            </w:r>
          </w:p>
        </w:tc>
        <w:tc>
          <w:tcPr>
            <w:tcW w:w="1701" w:type="dxa"/>
          </w:tcPr>
          <w:p>
            <w:pPr>
              <w:pStyle w:val="12"/>
              <w:spacing w:before="2" w:line="242" w:lineRule="auto"/>
              <w:ind w:left="107" w:right="141"/>
              <w:rPr>
                <w:sz w:val="24"/>
                <w:lang w:eastAsia="zh-CN"/>
              </w:rPr>
            </w:pPr>
            <w:r>
              <w:rPr>
                <w:spacing w:val="-3"/>
                <w:sz w:val="24"/>
                <w:lang w:eastAsia="zh-CN"/>
              </w:rPr>
              <w:t>买方根据自身检查及其他管理部门和处室的检查结果为依据统计卖方</w:t>
            </w:r>
            <w:r>
              <w:rPr>
                <w:sz w:val="24"/>
                <w:lang w:eastAsia="zh-CN"/>
              </w:rPr>
              <w:t xml:space="preserve">人员违规次 </w:t>
            </w:r>
            <w:r>
              <w:rPr>
                <w:spacing w:val="-3"/>
                <w:sz w:val="24"/>
                <w:lang w:eastAsia="zh-CN"/>
              </w:rPr>
              <w:t>数，每一份违规报告需要得到卖方人员的</w:t>
            </w:r>
          </w:p>
          <w:p>
            <w:pPr>
              <w:pStyle w:val="12"/>
              <w:spacing w:before="13" w:line="290" w:lineRule="exact"/>
              <w:ind w:left="107"/>
              <w:rPr>
                <w:sz w:val="24"/>
              </w:rPr>
            </w:pPr>
            <w:r>
              <w:rPr>
                <w:sz w:val="24"/>
              </w:rPr>
              <w:t>确认。</w:t>
            </w:r>
          </w:p>
        </w:tc>
        <w:tc>
          <w:tcPr>
            <w:tcW w:w="1134" w:type="dxa"/>
          </w:tcPr>
          <w:p>
            <w:pPr>
              <w:pStyle w:val="12"/>
              <w:rPr>
                <w:sz w:val="24"/>
              </w:rPr>
            </w:pPr>
          </w:p>
          <w:p>
            <w:pPr>
              <w:pStyle w:val="12"/>
              <w:rPr>
                <w:sz w:val="24"/>
              </w:rPr>
            </w:pPr>
          </w:p>
          <w:p>
            <w:pPr>
              <w:pStyle w:val="12"/>
              <w:rPr>
                <w:sz w:val="24"/>
              </w:rPr>
            </w:pPr>
          </w:p>
          <w:p>
            <w:pPr>
              <w:pStyle w:val="12"/>
              <w:spacing w:before="172" w:line="242" w:lineRule="auto"/>
              <w:ind w:left="107" w:right="294"/>
              <w:rPr>
                <w:sz w:val="24"/>
              </w:rPr>
            </w:pPr>
            <w:r>
              <w:rPr>
                <w:sz w:val="24"/>
              </w:rPr>
              <w:t>人员违规次数</w:t>
            </w:r>
          </w:p>
          <w:p>
            <w:pPr>
              <w:pStyle w:val="12"/>
              <w:spacing w:before="2"/>
              <w:ind w:left="107"/>
              <w:rPr>
                <w:sz w:val="24"/>
              </w:rPr>
            </w:pPr>
            <w:r>
              <w:rPr>
                <w:rFonts w:ascii="Times New Roman" w:hAnsi="Times New Roman" w:eastAsia="Times New Roman"/>
                <w:sz w:val="24"/>
              </w:rPr>
              <w:t xml:space="preserve">≤2 </w:t>
            </w:r>
            <w:r>
              <w:rPr>
                <w:sz w:val="24"/>
              </w:rPr>
              <w:t>次</w:t>
            </w:r>
          </w:p>
        </w:tc>
        <w:tc>
          <w:tcPr>
            <w:tcW w:w="1418" w:type="dxa"/>
          </w:tcPr>
          <w:p>
            <w:pPr>
              <w:pStyle w:val="12"/>
              <w:rPr>
                <w:sz w:val="26"/>
                <w:lang w:eastAsia="zh-CN"/>
              </w:rPr>
            </w:pPr>
          </w:p>
          <w:p>
            <w:pPr>
              <w:pStyle w:val="12"/>
              <w:spacing w:before="11"/>
              <w:rPr>
                <w:lang w:eastAsia="zh-CN"/>
              </w:rPr>
            </w:pPr>
          </w:p>
          <w:p>
            <w:pPr>
              <w:pStyle w:val="12"/>
              <w:spacing w:line="242" w:lineRule="auto"/>
              <w:ind w:left="106" w:right="99"/>
              <w:jc w:val="both"/>
              <w:rPr>
                <w:sz w:val="24"/>
                <w:lang w:eastAsia="zh-CN"/>
              </w:rPr>
            </w:pPr>
            <w:r>
              <w:rPr>
                <w:spacing w:val="-4"/>
                <w:sz w:val="24"/>
                <w:lang w:eastAsia="zh-CN"/>
              </w:rPr>
              <w:t>卖方人员违</w:t>
            </w:r>
            <w:r>
              <w:rPr>
                <w:spacing w:val="-15"/>
                <w:sz w:val="24"/>
                <w:lang w:eastAsia="zh-CN"/>
              </w:rPr>
              <w:t xml:space="preserve">规达到 </w:t>
            </w:r>
            <w:r>
              <w:rPr>
                <w:rFonts w:ascii="Times New Roman" w:eastAsia="Times New Roman"/>
                <w:sz w:val="24"/>
                <w:lang w:eastAsia="zh-CN"/>
              </w:rPr>
              <w:t xml:space="preserve">3 </w:t>
            </w:r>
            <w:r>
              <w:rPr>
                <w:spacing w:val="-17"/>
                <w:sz w:val="24"/>
                <w:lang w:eastAsia="zh-CN"/>
              </w:rPr>
              <w:t>次</w:t>
            </w:r>
            <w:r>
              <w:rPr>
                <w:spacing w:val="-4"/>
                <w:sz w:val="24"/>
                <w:lang w:eastAsia="zh-CN"/>
              </w:rPr>
              <w:t>及以上，每次扣罚卖方金额人民币</w:t>
            </w:r>
            <w:r>
              <w:rPr>
                <w:rFonts w:ascii="Times New Roman" w:eastAsia="Times New Roman"/>
                <w:sz w:val="24"/>
                <w:lang w:eastAsia="zh-CN"/>
              </w:rPr>
              <w:t xml:space="preserve">500 </w:t>
            </w:r>
            <w:r>
              <w:rPr>
                <w:sz w:val="24"/>
                <w:lang w:eastAsia="zh-CN"/>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2" w:hRule="atLeast"/>
        </w:trPr>
        <w:tc>
          <w:tcPr>
            <w:tcW w:w="470" w:type="dxa"/>
          </w:tcPr>
          <w:p>
            <w:pPr>
              <w:pStyle w:val="12"/>
              <w:rPr>
                <w:lang w:eastAsia="zh-CN"/>
              </w:rPr>
            </w:pPr>
          </w:p>
          <w:p>
            <w:pPr>
              <w:pStyle w:val="12"/>
              <w:rPr>
                <w:lang w:eastAsia="zh-CN"/>
              </w:rPr>
            </w:pPr>
          </w:p>
          <w:p>
            <w:pPr>
              <w:pStyle w:val="12"/>
              <w:rPr>
                <w:lang w:eastAsia="zh-CN"/>
              </w:rPr>
            </w:pPr>
          </w:p>
          <w:p>
            <w:pPr>
              <w:pStyle w:val="12"/>
              <w:rPr>
                <w:lang w:eastAsia="zh-CN"/>
              </w:rPr>
            </w:pPr>
          </w:p>
          <w:p>
            <w:pPr>
              <w:pStyle w:val="12"/>
              <w:rPr>
                <w:lang w:eastAsia="zh-CN"/>
              </w:rPr>
            </w:pPr>
          </w:p>
          <w:p>
            <w:pPr>
              <w:pStyle w:val="12"/>
              <w:spacing w:before="184"/>
              <w:ind w:left="106" w:right="99"/>
              <w:jc w:val="center"/>
              <w:rPr>
                <w:rFonts w:ascii="Times New Roman"/>
                <w:sz w:val="21"/>
              </w:rPr>
            </w:pPr>
            <w:r>
              <w:rPr>
                <w:rFonts w:ascii="Times New Roman"/>
                <w:sz w:val="21"/>
              </w:rPr>
              <w:t>10</w:t>
            </w:r>
          </w:p>
        </w:tc>
        <w:tc>
          <w:tcPr>
            <w:tcW w:w="1062" w:type="dxa"/>
          </w:tcPr>
          <w:p>
            <w:pPr>
              <w:pStyle w:val="12"/>
              <w:rPr>
                <w:sz w:val="24"/>
              </w:rPr>
            </w:pPr>
          </w:p>
          <w:p>
            <w:pPr>
              <w:pStyle w:val="12"/>
              <w:rPr>
                <w:sz w:val="24"/>
              </w:rPr>
            </w:pPr>
          </w:p>
          <w:p>
            <w:pPr>
              <w:pStyle w:val="12"/>
              <w:rPr>
                <w:sz w:val="24"/>
              </w:rPr>
            </w:pPr>
          </w:p>
          <w:p>
            <w:pPr>
              <w:pStyle w:val="12"/>
              <w:rPr>
                <w:sz w:val="24"/>
              </w:rPr>
            </w:pPr>
          </w:p>
          <w:p>
            <w:pPr>
              <w:pStyle w:val="12"/>
              <w:spacing w:before="176" w:line="242" w:lineRule="auto"/>
              <w:ind w:left="107" w:right="222"/>
              <w:rPr>
                <w:sz w:val="24"/>
              </w:rPr>
            </w:pPr>
            <w:r>
              <w:rPr>
                <w:sz w:val="24"/>
              </w:rPr>
              <w:t>外包安全事件</w:t>
            </w:r>
          </w:p>
        </w:tc>
        <w:tc>
          <w:tcPr>
            <w:tcW w:w="1134" w:type="dxa"/>
          </w:tcPr>
          <w:p>
            <w:pPr>
              <w:pStyle w:val="12"/>
              <w:rPr>
                <w:sz w:val="24"/>
              </w:rPr>
            </w:pPr>
          </w:p>
          <w:p>
            <w:pPr>
              <w:pStyle w:val="12"/>
              <w:rPr>
                <w:sz w:val="24"/>
              </w:rPr>
            </w:pPr>
          </w:p>
          <w:p>
            <w:pPr>
              <w:pStyle w:val="12"/>
              <w:rPr>
                <w:sz w:val="24"/>
              </w:rPr>
            </w:pPr>
          </w:p>
          <w:p>
            <w:pPr>
              <w:pStyle w:val="12"/>
              <w:spacing w:before="7"/>
              <w:rPr>
                <w:sz w:val="25"/>
              </w:rPr>
            </w:pPr>
          </w:p>
          <w:p>
            <w:pPr>
              <w:pStyle w:val="12"/>
              <w:spacing w:line="242" w:lineRule="auto"/>
              <w:ind w:left="108" w:right="293"/>
              <w:jc w:val="both"/>
              <w:rPr>
                <w:sz w:val="24"/>
              </w:rPr>
            </w:pPr>
            <w:r>
              <w:rPr>
                <w:sz w:val="24"/>
              </w:rPr>
              <w:t>控制外包操作风险</w:t>
            </w:r>
          </w:p>
        </w:tc>
        <w:tc>
          <w:tcPr>
            <w:tcW w:w="1417" w:type="dxa"/>
          </w:tcPr>
          <w:p>
            <w:pPr>
              <w:pStyle w:val="12"/>
              <w:rPr>
                <w:sz w:val="24"/>
                <w:lang w:eastAsia="zh-CN"/>
              </w:rPr>
            </w:pPr>
          </w:p>
          <w:p>
            <w:pPr>
              <w:pStyle w:val="12"/>
              <w:spacing w:before="11"/>
              <w:rPr>
                <w:sz w:val="24"/>
                <w:lang w:eastAsia="zh-CN"/>
              </w:rPr>
            </w:pPr>
          </w:p>
          <w:p>
            <w:pPr>
              <w:pStyle w:val="12"/>
              <w:spacing w:line="242" w:lineRule="auto"/>
              <w:ind w:left="107" w:right="97"/>
              <w:jc w:val="both"/>
              <w:rPr>
                <w:sz w:val="24"/>
                <w:lang w:eastAsia="zh-CN"/>
              </w:rPr>
            </w:pPr>
            <w:r>
              <w:rPr>
                <w:sz w:val="24"/>
                <w:lang w:eastAsia="zh-CN"/>
              </w:rPr>
              <w:t>卖方不得出现危害买方生产运行安全、数据安全等并造成后果的外包安全事件。</w:t>
            </w:r>
          </w:p>
        </w:tc>
        <w:tc>
          <w:tcPr>
            <w:tcW w:w="1701" w:type="dxa"/>
          </w:tcPr>
          <w:p>
            <w:pPr>
              <w:pStyle w:val="12"/>
              <w:spacing w:before="2" w:line="242" w:lineRule="auto"/>
              <w:ind w:left="106" w:right="142"/>
              <w:jc w:val="both"/>
              <w:rPr>
                <w:sz w:val="24"/>
                <w:lang w:eastAsia="zh-CN"/>
              </w:rPr>
            </w:pPr>
            <w:r>
              <w:rPr>
                <w:sz w:val="24"/>
                <w:lang w:eastAsia="zh-CN"/>
              </w:rPr>
              <w:t>根据买方监管要求定义的安全事件，包括破坏测试环境数据，在生产运营系统上违反约定进行数据操作或在实施过程中留下信息系统后门</w:t>
            </w:r>
          </w:p>
          <w:p>
            <w:pPr>
              <w:pStyle w:val="12"/>
              <w:spacing w:before="14" w:line="290" w:lineRule="exact"/>
              <w:ind w:left="106"/>
              <w:rPr>
                <w:sz w:val="24"/>
              </w:rPr>
            </w:pPr>
            <w:r>
              <w:rPr>
                <w:sz w:val="24"/>
              </w:rPr>
              <w:t>等行为。</w:t>
            </w:r>
          </w:p>
        </w:tc>
        <w:tc>
          <w:tcPr>
            <w:tcW w:w="1701" w:type="dxa"/>
          </w:tcPr>
          <w:p>
            <w:pPr>
              <w:pStyle w:val="12"/>
              <w:rPr>
                <w:sz w:val="24"/>
                <w:lang w:eastAsia="zh-CN"/>
              </w:rPr>
            </w:pPr>
          </w:p>
          <w:p>
            <w:pPr>
              <w:pStyle w:val="12"/>
              <w:rPr>
                <w:sz w:val="24"/>
                <w:lang w:eastAsia="zh-CN"/>
              </w:rPr>
            </w:pPr>
          </w:p>
          <w:p>
            <w:pPr>
              <w:pStyle w:val="12"/>
              <w:rPr>
                <w:sz w:val="24"/>
                <w:lang w:eastAsia="zh-CN"/>
              </w:rPr>
            </w:pPr>
          </w:p>
          <w:p>
            <w:pPr>
              <w:pStyle w:val="12"/>
              <w:spacing w:before="7"/>
              <w:rPr>
                <w:sz w:val="25"/>
                <w:lang w:eastAsia="zh-CN"/>
              </w:rPr>
            </w:pPr>
          </w:p>
          <w:p>
            <w:pPr>
              <w:pStyle w:val="12"/>
              <w:spacing w:line="242" w:lineRule="auto"/>
              <w:ind w:left="107" w:right="141"/>
              <w:jc w:val="both"/>
              <w:rPr>
                <w:sz w:val="24"/>
                <w:lang w:eastAsia="zh-CN"/>
              </w:rPr>
            </w:pPr>
            <w:r>
              <w:rPr>
                <w:sz w:val="24"/>
                <w:lang w:eastAsia="zh-CN"/>
              </w:rPr>
              <w:t>买方根据监管要求及时间的危害程度判定</w:t>
            </w:r>
          </w:p>
        </w:tc>
        <w:tc>
          <w:tcPr>
            <w:tcW w:w="1134" w:type="dxa"/>
          </w:tcPr>
          <w:p>
            <w:pPr>
              <w:pStyle w:val="12"/>
              <w:rPr>
                <w:sz w:val="24"/>
                <w:lang w:eastAsia="zh-CN"/>
              </w:rPr>
            </w:pPr>
          </w:p>
          <w:p>
            <w:pPr>
              <w:pStyle w:val="12"/>
              <w:rPr>
                <w:sz w:val="24"/>
                <w:lang w:eastAsia="zh-CN"/>
              </w:rPr>
            </w:pPr>
          </w:p>
          <w:p>
            <w:pPr>
              <w:pStyle w:val="12"/>
              <w:rPr>
                <w:sz w:val="24"/>
                <w:lang w:eastAsia="zh-CN"/>
              </w:rPr>
            </w:pPr>
          </w:p>
          <w:p>
            <w:pPr>
              <w:pStyle w:val="12"/>
              <w:spacing w:before="7"/>
              <w:rPr>
                <w:sz w:val="25"/>
                <w:lang w:eastAsia="zh-CN"/>
              </w:rPr>
            </w:pPr>
          </w:p>
          <w:p>
            <w:pPr>
              <w:pStyle w:val="12"/>
              <w:spacing w:line="242" w:lineRule="auto"/>
              <w:ind w:left="107" w:right="294"/>
              <w:rPr>
                <w:sz w:val="24"/>
              </w:rPr>
            </w:pPr>
            <w:r>
              <w:rPr>
                <w:sz w:val="24"/>
              </w:rPr>
              <w:t>外包安全事件</w:t>
            </w:r>
          </w:p>
          <w:p>
            <w:pPr>
              <w:pStyle w:val="12"/>
              <w:spacing w:before="19"/>
              <w:ind w:left="107"/>
              <w:rPr>
                <w:rFonts w:ascii="Times New Roman"/>
                <w:sz w:val="24"/>
              </w:rPr>
            </w:pPr>
            <w:r>
              <w:rPr>
                <w:rFonts w:ascii="Times New Roman"/>
                <w:sz w:val="24"/>
              </w:rPr>
              <w:t>=0</w:t>
            </w:r>
          </w:p>
        </w:tc>
        <w:tc>
          <w:tcPr>
            <w:tcW w:w="1418" w:type="dxa"/>
          </w:tcPr>
          <w:p>
            <w:pPr>
              <w:pStyle w:val="12"/>
              <w:rPr>
                <w:sz w:val="24"/>
                <w:lang w:eastAsia="zh-CN"/>
              </w:rPr>
            </w:pPr>
          </w:p>
          <w:p>
            <w:pPr>
              <w:pStyle w:val="12"/>
              <w:spacing w:before="11"/>
              <w:rPr>
                <w:sz w:val="24"/>
                <w:lang w:eastAsia="zh-CN"/>
              </w:rPr>
            </w:pPr>
          </w:p>
          <w:p>
            <w:pPr>
              <w:pStyle w:val="12"/>
              <w:spacing w:line="242" w:lineRule="auto"/>
              <w:ind w:left="106" w:right="-29"/>
              <w:rPr>
                <w:sz w:val="24"/>
                <w:lang w:eastAsia="zh-CN"/>
              </w:rPr>
            </w:pPr>
            <w:r>
              <w:rPr>
                <w:sz w:val="24"/>
                <w:lang w:eastAsia="zh-CN"/>
              </w:rPr>
              <w:t>每次事件扣罚卖方金额不低于人民</w:t>
            </w:r>
            <w:r>
              <w:rPr>
                <w:spacing w:val="-30"/>
                <w:sz w:val="24"/>
                <w:lang w:eastAsia="zh-CN"/>
              </w:rPr>
              <w:t xml:space="preserve">币 </w:t>
            </w:r>
            <w:r>
              <w:rPr>
                <w:rFonts w:ascii="Times New Roman" w:eastAsia="Times New Roman"/>
                <w:sz w:val="24"/>
                <w:lang w:eastAsia="zh-CN"/>
              </w:rPr>
              <w:t xml:space="preserve">1000 </w:t>
            </w:r>
            <w:r>
              <w:rPr>
                <w:sz w:val="24"/>
                <w:lang w:eastAsia="zh-CN"/>
              </w:rPr>
              <w:t>元， 并要求卖方赔偿实际损失。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3" w:hRule="atLeast"/>
        </w:trPr>
        <w:tc>
          <w:tcPr>
            <w:tcW w:w="470" w:type="dxa"/>
          </w:tcPr>
          <w:p>
            <w:pPr>
              <w:pStyle w:val="12"/>
              <w:rPr>
                <w:lang w:eastAsia="zh-CN"/>
              </w:rPr>
            </w:pPr>
          </w:p>
          <w:p>
            <w:pPr>
              <w:pStyle w:val="12"/>
              <w:rPr>
                <w:lang w:eastAsia="zh-CN"/>
              </w:rPr>
            </w:pPr>
          </w:p>
          <w:p>
            <w:pPr>
              <w:pStyle w:val="12"/>
              <w:rPr>
                <w:lang w:eastAsia="zh-CN"/>
              </w:rPr>
            </w:pPr>
          </w:p>
          <w:p>
            <w:pPr>
              <w:pStyle w:val="12"/>
              <w:rPr>
                <w:lang w:eastAsia="zh-CN"/>
              </w:rPr>
            </w:pPr>
          </w:p>
          <w:p>
            <w:pPr>
              <w:pStyle w:val="12"/>
              <w:ind w:left="108" w:right="96"/>
              <w:jc w:val="center"/>
              <w:rPr>
                <w:rFonts w:ascii="Times New Roman"/>
                <w:sz w:val="21"/>
              </w:rPr>
            </w:pPr>
            <w:r>
              <w:rPr>
                <w:rFonts w:ascii="Times New Roman"/>
                <w:sz w:val="21"/>
              </w:rPr>
              <w:t>11</w:t>
            </w:r>
          </w:p>
        </w:tc>
        <w:tc>
          <w:tcPr>
            <w:tcW w:w="1062" w:type="dxa"/>
          </w:tcPr>
          <w:p>
            <w:pPr>
              <w:pStyle w:val="12"/>
              <w:rPr>
                <w:sz w:val="24"/>
              </w:rPr>
            </w:pPr>
          </w:p>
          <w:p>
            <w:pPr>
              <w:pStyle w:val="12"/>
              <w:rPr>
                <w:sz w:val="24"/>
              </w:rPr>
            </w:pPr>
          </w:p>
          <w:p>
            <w:pPr>
              <w:pStyle w:val="12"/>
              <w:spacing w:before="4"/>
              <w:rPr>
                <w:sz w:val="25"/>
              </w:rPr>
            </w:pPr>
          </w:p>
          <w:p>
            <w:pPr>
              <w:pStyle w:val="12"/>
              <w:spacing w:line="242" w:lineRule="auto"/>
              <w:ind w:left="107" w:right="222"/>
              <w:rPr>
                <w:sz w:val="24"/>
              </w:rPr>
            </w:pPr>
            <w:r>
              <w:rPr>
                <w:sz w:val="24"/>
              </w:rPr>
              <w:t>服务满意度</w:t>
            </w:r>
          </w:p>
        </w:tc>
        <w:tc>
          <w:tcPr>
            <w:tcW w:w="1134" w:type="dxa"/>
          </w:tcPr>
          <w:p>
            <w:pPr>
              <w:pStyle w:val="12"/>
              <w:spacing w:before="160" w:line="242" w:lineRule="auto"/>
              <w:ind w:left="108" w:right="293"/>
              <w:jc w:val="both"/>
              <w:rPr>
                <w:sz w:val="24"/>
                <w:lang w:eastAsia="zh-CN"/>
              </w:rPr>
            </w:pPr>
            <w:r>
              <w:rPr>
                <w:sz w:val="24"/>
                <w:lang w:eastAsia="zh-CN"/>
              </w:rPr>
              <w:t>衡量买方内部人员对卖方所提供服务的满意情况</w:t>
            </w:r>
          </w:p>
        </w:tc>
        <w:tc>
          <w:tcPr>
            <w:tcW w:w="1417" w:type="dxa"/>
          </w:tcPr>
          <w:p>
            <w:pPr>
              <w:pStyle w:val="12"/>
              <w:spacing w:before="8"/>
              <w:rPr>
                <w:sz w:val="24"/>
                <w:lang w:eastAsia="zh-CN"/>
              </w:rPr>
            </w:pPr>
          </w:p>
          <w:p>
            <w:pPr>
              <w:pStyle w:val="12"/>
              <w:spacing w:line="242" w:lineRule="auto"/>
              <w:ind w:left="107" w:right="97"/>
              <w:jc w:val="both"/>
              <w:rPr>
                <w:sz w:val="24"/>
                <w:lang w:eastAsia="zh-CN"/>
              </w:rPr>
            </w:pPr>
            <w:r>
              <w:rPr>
                <w:spacing w:val="-4"/>
                <w:sz w:val="24"/>
                <w:lang w:eastAsia="zh-CN"/>
              </w:rPr>
              <w:t>服务满意度</w:t>
            </w:r>
            <w:r>
              <w:rPr>
                <w:spacing w:val="-15"/>
                <w:sz w:val="24"/>
                <w:lang w:eastAsia="zh-CN"/>
              </w:rPr>
              <w:t xml:space="preserve">问卷在 </w:t>
            </w:r>
            <w:r>
              <w:rPr>
                <w:rFonts w:ascii="Times New Roman" w:eastAsia="Times New Roman"/>
                <w:sz w:val="24"/>
                <w:lang w:eastAsia="zh-CN"/>
              </w:rPr>
              <w:t xml:space="preserve">4 </w:t>
            </w:r>
            <w:r>
              <w:rPr>
                <w:spacing w:val="-17"/>
                <w:sz w:val="24"/>
                <w:lang w:eastAsia="zh-CN"/>
              </w:rPr>
              <w:t>级</w:t>
            </w:r>
          </w:p>
          <w:p>
            <w:pPr>
              <w:pStyle w:val="12"/>
              <w:spacing w:before="3" w:line="247" w:lineRule="auto"/>
              <w:ind w:left="107" w:right="97"/>
              <w:jc w:val="both"/>
              <w:rPr>
                <w:rFonts w:ascii="Times New Roman" w:eastAsia="Times New Roman"/>
                <w:sz w:val="24"/>
                <w:lang w:eastAsia="zh-CN"/>
              </w:rPr>
            </w:pPr>
            <w:r>
              <w:rPr>
                <w:sz w:val="24"/>
                <w:lang w:eastAsia="zh-CN"/>
              </w:rPr>
              <w:t xml:space="preserve">以上（含 </w:t>
            </w:r>
            <w:r>
              <w:rPr>
                <w:rFonts w:ascii="Times New Roman" w:eastAsia="Times New Roman"/>
                <w:sz w:val="24"/>
                <w:lang w:eastAsia="zh-CN"/>
              </w:rPr>
              <w:t xml:space="preserve">4 </w:t>
            </w:r>
            <w:r>
              <w:rPr>
                <w:sz w:val="24"/>
                <w:lang w:eastAsia="zh-CN"/>
              </w:rPr>
              <w:t>级）的指标比率不低于</w:t>
            </w:r>
            <w:r>
              <w:rPr>
                <w:rFonts w:ascii="Times New Roman" w:eastAsia="Times New Roman"/>
                <w:sz w:val="24"/>
                <w:lang w:eastAsia="zh-CN"/>
              </w:rPr>
              <w:t>70%</w:t>
            </w:r>
          </w:p>
        </w:tc>
        <w:tc>
          <w:tcPr>
            <w:tcW w:w="1701" w:type="dxa"/>
          </w:tcPr>
          <w:p>
            <w:pPr>
              <w:pStyle w:val="12"/>
              <w:spacing w:before="4" w:line="242" w:lineRule="auto"/>
              <w:ind w:left="106" w:right="142"/>
              <w:rPr>
                <w:sz w:val="24"/>
                <w:lang w:eastAsia="zh-CN"/>
              </w:rPr>
            </w:pPr>
            <w:r>
              <w:rPr>
                <w:spacing w:val="-15"/>
                <w:sz w:val="24"/>
                <w:lang w:eastAsia="zh-CN"/>
              </w:rPr>
              <w:t xml:space="preserve">满意度 </w:t>
            </w:r>
            <w:r>
              <w:rPr>
                <w:rFonts w:ascii="Times New Roman" w:eastAsia="Times New Roman"/>
                <w:sz w:val="24"/>
                <w:lang w:eastAsia="zh-CN"/>
              </w:rPr>
              <w:t xml:space="preserve">4 </w:t>
            </w:r>
            <w:r>
              <w:rPr>
                <w:spacing w:val="-9"/>
                <w:sz w:val="24"/>
                <w:lang w:eastAsia="zh-CN"/>
              </w:rPr>
              <w:t>级以</w:t>
            </w:r>
            <w:r>
              <w:rPr>
                <w:sz w:val="24"/>
                <w:lang w:eastAsia="zh-CN"/>
              </w:rPr>
              <w:t>上指标比率</w:t>
            </w:r>
            <w:r>
              <w:rPr>
                <w:spacing w:val="-17"/>
                <w:sz w:val="24"/>
                <w:lang w:eastAsia="zh-CN"/>
              </w:rPr>
              <w:t>＝</w:t>
            </w:r>
          </w:p>
          <w:p>
            <w:pPr>
              <w:pStyle w:val="12"/>
              <w:spacing w:before="3" w:line="242" w:lineRule="auto"/>
              <w:ind w:left="106" w:right="-29"/>
              <w:rPr>
                <w:sz w:val="24"/>
                <w:lang w:eastAsia="zh-CN"/>
              </w:rPr>
            </w:pPr>
            <w:r>
              <w:rPr>
                <w:sz w:val="24"/>
                <w:lang w:eastAsia="zh-CN"/>
              </w:rPr>
              <w:t>（</w:t>
            </w:r>
            <w:r>
              <w:rPr>
                <w:spacing w:val="-15"/>
                <w:sz w:val="24"/>
                <w:lang w:eastAsia="zh-CN"/>
              </w:rPr>
              <w:t xml:space="preserve">被评为 </w:t>
            </w:r>
            <w:r>
              <w:rPr>
                <w:rFonts w:ascii="Times New Roman" w:eastAsia="Times New Roman"/>
                <w:sz w:val="24"/>
                <w:lang w:eastAsia="zh-CN"/>
              </w:rPr>
              <w:t xml:space="preserve">4 </w:t>
            </w:r>
            <w:r>
              <w:rPr>
                <w:sz w:val="24"/>
                <w:lang w:eastAsia="zh-CN"/>
              </w:rPr>
              <w:t>级以上满意度的服务指标</w:t>
            </w:r>
            <w:r>
              <w:rPr>
                <w:rFonts w:ascii="Times New Roman" w:eastAsia="Times New Roman"/>
                <w:sz w:val="24"/>
                <w:lang w:eastAsia="zh-CN"/>
              </w:rPr>
              <w:t>/</w:t>
            </w:r>
            <w:r>
              <w:rPr>
                <w:sz w:val="24"/>
                <w:lang w:eastAsia="zh-CN"/>
              </w:rPr>
              <w:t>满 意度评价指标</w:t>
            </w:r>
          </w:p>
          <w:p>
            <w:pPr>
              <w:pStyle w:val="12"/>
              <w:spacing w:before="3" w:line="310" w:lineRule="atLeast"/>
              <w:ind w:left="106" w:right="-29"/>
              <w:rPr>
                <w:sz w:val="24"/>
                <w:lang w:eastAsia="zh-CN"/>
              </w:rPr>
            </w:pPr>
            <w:r>
              <w:rPr>
                <w:sz w:val="24"/>
                <w:lang w:eastAsia="zh-CN"/>
              </w:rPr>
              <w:t>总数</w:t>
            </w:r>
            <w:r>
              <w:rPr>
                <w:spacing w:val="-10"/>
                <w:sz w:val="24"/>
                <w:lang w:eastAsia="zh-CN"/>
              </w:rPr>
              <w:t>）</w:t>
            </w:r>
            <w:r>
              <w:rPr>
                <w:rFonts w:ascii="Times New Roman" w:hAnsi="Times New Roman" w:eastAsia="Times New Roman"/>
                <w:spacing w:val="-10"/>
                <w:sz w:val="24"/>
                <w:lang w:eastAsia="zh-CN"/>
              </w:rPr>
              <w:t>×100%</w:t>
            </w:r>
            <w:r>
              <w:rPr>
                <w:spacing w:val="-10"/>
                <w:sz w:val="24"/>
                <w:lang w:eastAsia="zh-CN"/>
              </w:rPr>
              <w:t xml:space="preserve">； </w:t>
            </w:r>
            <w:r>
              <w:rPr>
                <w:sz w:val="24"/>
                <w:lang w:eastAsia="zh-CN"/>
              </w:rPr>
              <w:t>客户满意度级</w:t>
            </w:r>
          </w:p>
        </w:tc>
        <w:tc>
          <w:tcPr>
            <w:tcW w:w="1701" w:type="dxa"/>
          </w:tcPr>
          <w:p>
            <w:pPr>
              <w:pStyle w:val="12"/>
              <w:spacing w:before="160" w:line="242" w:lineRule="auto"/>
              <w:ind w:left="107" w:right="141"/>
              <w:jc w:val="both"/>
              <w:rPr>
                <w:sz w:val="24"/>
                <w:lang w:eastAsia="zh-CN"/>
              </w:rPr>
            </w:pPr>
            <w:r>
              <w:rPr>
                <w:spacing w:val="-3"/>
                <w:sz w:val="24"/>
                <w:lang w:eastAsia="zh-CN"/>
              </w:rPr>
              <w:t>买方组织开展一次满意度调查，根据收集的满意度调查报告进行满意</w:t>
            </w:r>
            <w:r>
              <w:rPr>
                <w:spacing w:val="-30"/>
                <w:sz w:val="24"/>
                <w:lang w:eastAsia="zh-CN"/>
              </w:rPr>
              <w:t xml:space="preserve">度 </w:t>
            </w:r>
            <w:r>
              <w:rPr>
                <w:rFonts w:ascii="Times New Roman" w:eastAsia="Times New Roman"/>
                <w:sz w:val="24"/>
                <w:lang w:eastAsia="zh-CN"/>
              </w:rPr>
              <w:t xml:space="preserve">4 </w:t>
            </w:r>
            <w:r>
              <w:rPr>
                <w:spacing w:val="-5"/>
                <w:sz w:val="24"/>
                <w:lang w:eastAsia="zh-CN"/>
              </w:rPr>
              <w:t>级以上指</w:t>
            </w:r>
            <w:r>
              <w:rPr>
                <w:sz w:val="24"/>
                <w:lang w:eastAsia="zh-CN"/>
              </w:rPr>
              <w:t>标比率计算</w:t>
            </w:r>
          </w:p>
        </w:tc>
        <w:tc>
          <w:tcPr>
            <w:tcW w:w="1134" w:type="dxa"/>
          </w:tcPr>
          <w:p>
            <w:pPr>
              <w:pStyle w:val="12"/>
              <w:rPr>
                <w:sz w:val="24"/>
                <w:lang w:eastAsia="zh-CN"/>
              </w:rPr>
            </w:pPr>
          </w:p>
          <w:p>
            <w:pPr>
              <w:pStyle w:val="12"/>
              <w:rPr>
                <w:sz w:val="24"/>
                <w:lang w:eastAsia="zh-CN"/>
              </w:rPr>
            </w:pPr>
          </w:p>
          <w:p>
            <w:pPr>
              <w:pStyle w:val="12"/>
              <w:spacing w:before="169" w:line="242" w:lineRule="auto"/>
              <w:ind w:left="107" w:right="294"/>
              <w:rPr>
                <w:sz w:val="24"/>
              </w:rPr>
            </w:pPr>
            <w:r>
              <w:rPr>
                <w:spacing w:val="-6"/>
                <w:sz w:val="24"/>
              </w:rPr>
              <w:t>服务满</w:t>
            </w:r>
            <w:r>
              <w:rPr>
                <w:sz w:val="24"/>
              </w:rPr>
              <w:t>意度</w:t>
            </w:r>
          </w:p>
          <w:p>
            <w:pPr>
              <w:pStyle w:val="12"/>
              <w:spacing w:before="16"/>
              <w:ind w:left="107"/>
              <w:rPr>
                <w:rFonts w:ascii="Times New Roman" w:hAnsi="Times New Roman"/>
                <w:sz w:val="24"/>
              </w:rPr>
            </w:pPr>
            <w:r>
              <w:rPr>
                <w:rFonts w:ascii="Times New Roman" w:hAnsi="Times New Roman"/>
                <w:sz w:val="24"/>
              </w:rPr>
              <w:t>≥70%</w:t>
            </w:r>
          </w:p>
        </w:tc>
        <w:tc>
          <w:tcPr>
            <w:tcW w:w="1418" w:type="dxa"/>
          </w:tcPr>
          <w:p>
            <w:pPr>
              <w:pStyle w:val="12"/>
              <w:rPr>
                <w:rFonts w:ascii="Times New Roman"/>
              </w:rPr>
            </w:pPr>
          </w:p>
        </w:tc>
      </w:tr>
    </w:tbl>
    <w:p>
      <w:pPr>
        <w:rPr>
          <w:rFonts w:ascii="Times New Roman"/>
        </w:rPr>
        <w:sectPr>
          <w:pgSz w:w="11910" w:h="16840"/>
          <w:pgMar w:top="1420" w:right="640" w:bottom="280" w:left="1000" w:header="720" w:footer="720" w:gutter="0"/>
          <w:cols w:space="720" w:num="1"/>
        </w:sectPr>
      </w:pPr>
    </w:p>
    <w:tbl>
      <w:tblPr>
        <w:tblStyle w:val="10"/>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0"/>
        <w:gridCol w:w="1062"/>
        <w:gridCol w:w="1134"/>
        <w:gridCol w:w="1417"/>
        <w:gridCol w:w="1701"/>
        <w:gridCol w:w="1701"/>
        <w:gridCol w:w="1134"/>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3" w:hRule="atLeast"/>
        </w:trPr>
        <w:tc>
          <w:tcPr>
            <w:tcW w:w="470" w:type="dxa"/>
          </w:tcPr>
          <w:p>
            <w:pPr>
              <w:pStyle w:val="12"/>
              <w:rPr>
                <w:rFonts w:ascii="Times New Roman"/>
              </w:rPr>
            </w:pPr>
          </w:p>
        </w:tc>
        <w:tc>
          <w:tcPr>
            <w:tcW w:w="1062" w:type="dxa"/>
          </w:tcPr>
          <w:p>
            <w:pPr>
              <w:pStyle w:val="12"/>
              <w:rPr>
                <w:rFonts w:ascii="Times New Roman"/>
              </w:rPr>
            </w:pPr>
          </w:p>
        </w:tc>
        <w:tc>
          <w:tcPr>
            <w:tcW w:w="1134" w:type="dxa"/>
          </w:tcPr>
          <w:p>
            <w:pPr>
              <w:pStyle w:val="12"/>
              <w:rPr>
                <w:rFonts w:ascii="Times New Roman"/>
              </w:rPr>
            </w:pPr>
          </w:p>
        </w:tc>
        <w:tc>
          <w:tcPr>
            <w:tcW w:w="1417" w:type="dxa"/>
          </w:tcPr>
          <w:p>
            <w:pPr>
              <w:pStyle w:val="12"/>
              <w:rPr>
                <w:rFonts w:ascii="Times New Roman"/>
              </w:rPr>
            </w:pPr>
          </w:p>
        </w:tc>
        <w:tc>
          <w:tcPr>
            <w:tcW w:w="1701" w:type="dxa"/>
          </w:tcPr>
          <w:p>
            <w:pPr>
              <w:pStyle w:val="12"/>
              <w:spacing w:before="3" w:line="242" w:lineRule="auto"/>
              <w:ind w:left="106" w:right="22"/>
              <w:rPr>
                <w:sz w:val="24"/>
                <w:lang w:eastAsia="zh-CN"/>
              </w:rPr>
            </w:pPr>
            <w:r>
              <w:rPr>
                <w:spacing w:val="-12"/>
                <w:sz w:val="24"/>
                <w:lang w:eastAsia="zh-CN"/>
              </w:rPr>
              <w:t>别为：</w:t>
            </w:r>
            <w:r>
              <w:rPr>
                <w:rFonts w:ascii="Times New Roman" w:eastAsia="Times New Roman"/>
                <w:spacing w:val="-34"/>
                <w:sz w:val="24"/>
                <w:lang w:eastAsia="zh-CN"/>
              </w:rPr>
              <w:t xml:space="preserve">1 </w:t>
            </w:r>
            <w:r>
              <w:rPr>
                <w:spacing w:val="-68"/>
                <w:sz w:val="24"/>
                <w:lang w:eastAsia="zh-CN"/>
              </w:rPr>
              <w:t>级</w:t>
            </w:r>
            <w:r>
              <w:rPr>
                <w:sz w:val="24"/>
                <w:lang w:eastAsia="zh-CN"/>
              </w:rPr>
              <w:t>（非常不满意</w:t>
            </w:r>
            <w:r>
              <w:rPr>
                <w:spacing w:val="-120"/>
                <w:sz w:val="24"/>
                <w:lang w:eastAsia="zh-CN"/>
              </w:rPr>
              <w:t>）</w:t>
            </w:r>
            <w:r>
              <w:rPr>
                <w:sz w:val="24"/>
                <w:lang w:eastAsia="zh-CN"/>
              </w:rPr>
              <w:t>；</w:t>
            </w:r>
            <w:r>
              <w:rPr>
                <w:rFonts w:ascii="Times New Roman" w:eastAsia="Times New Roman"/>
                <w:sz w:val="24"/>
                <w:lang w:eastAsia="zh-CN"/>
              </w:rPr>
              <w:t>2</w:t>
            </w:r>
            <w:r>
              <w:rPr>
                <w:sz w:val="24"/>
                <w:lang w:eastAsia="zh-CN"/>
              </w:rPr>
              <w:t>级（不满意</w:t>
            </w:r>
            <w:r>
              <w:rPr>
                <w:spacing w:val="-129"/>
                <w:sz w:val="24"/>
                <w:lang w:eastAsia="zh-CN"/>
              </w:rPr>
              <w:t>）</w:t>
            </w:r>
            <w:r>
              <w:rPr>
                <w:spacing w:val="-9"/>
                <w:sz w:val="24"/>
                <w:lang w:eastAsia="zh-CN"/>
              </w:rPr>
              <w:t>；</w:t>
            </w:r>
            <w:r>
              <w:rPr>
                <w:sz w:val="24"/>
                <w:lang w:eastAsia="zh-CN"/>
              </w:rPr>
              <w:t xml:space="preserve"> </w:t>
            </w:r>
            <w:r>
              <w:rPr>
                <w:rFonts w:ascii="Times New Roman" w:eastAsia="Times New Roman"/>
                <w:sz w:val="24"/>
                <w:lang w:eastAsia="zh-CN"/>
              </w:rPr>
              <w:t xml:space="preserve">3 </w:t>
            </w:r>
            <w:r>
              <w:rPr>
                <w:sz w:val="24"/>
                <w:lang w:eastAsia="zh-CN"/>
              </w:rPr>
              <w:t>级（一般满意</w:t>
            </w:r>
            <w:r>
              <w:rPr>
                <w:spacing w:val="-120"/>
                <w:sz w:val="24"/>
                <w:lang w:eastAsia="zh-CN"/>
              </w:rPr>
              <w:t>）</w:t>
            </w:r>
            <w:r>
              <w:rPr>
                <w:spacing w:val="-8"/>
                <w:sz w:val="24"/>
                <w:lang w:eastAsia="zh-CN"/>
              </w:rPr>
              <w:t>；</w:t>
            </w:r>
            <w:r>
              <w:rPr>
                <w:rFonts w:ascii="Times New Roman" w:eastAsia="Times New Roman"/>
                <w:sz w:val="24"/>
                <w:lang w:eastAsia="zh-CN"/>
              </w:rPr>
              <w:t xml:space="preserve">4 </w:t>
            </w:r>
            <w:r>
              <w:rPr>
                <w:spacing w:val="-8"/>
                <w:sz w:val="24"/>
                <w:lang w:eastAsia="zh-CN"/>
              </w:rPr>
              <w:t>级</w:t>
            </w:r>
            <w:r>
              <w:rPr>
                <w:sz w:val="24"/>
                <w:lang w:eastAsia="zh-CN"/>
              </w:rPr>
              <w:t>（满意</w:t>
            </w:r>
            <w:r>
              <w:rPr>
                <w:spacing w:val="-120"/>
                <w:sz w:val="24"/>
                <w:lang w:eastAsia="zh-CN"/>
              </w:rPr>
              <w:t>）</w:t>
            </w:r>
            <w:r>
              <w:rPr>
                <w:spacing w:val="-8"/>
                <w:sz w:val="24"/>
                <w:lang w:eastAsia="zh-CN"/>
              </w:rPr>
              <w:t>；</w:t>
            </w:r>
            <w:r>
              <w:rPr>
                <w:rFonts w:ascii="Times New Roman" w:eastAsia="Times New Roman"/>
                <w:sz w:val="24"/>
                <w:lang w:eastAsia="zh-CN"/>
              </w:rPr>
              <w:t xml:space="preserve">5 </w:t>
            </w:r>
            <w:r>
              <w:rPr>
                <w:spacing w:val="-8"/>
                <w:sz w:val="24"/>
                <w:lang w:eastAsia="zh-CN"/>
              </w:rPr>
              <w:t>级</w:t>
            </w:r>
            <w:r>
              <w:rPr>
                <w:sz w:val="24"/>
                <w:lang w:eastAsia="zh-CN"/>
              </w:rPr>
              <w:t>（非</w:t>
            </w:r>
          </w:p>
          <w:p>
            <w:pPr>
              <w:pStyle w:val="12"/>
              <w:spacing w:before="8" w:line="289" w:lineRule="exact"/>
              <w:ind w:left="106"/>
              <w:rPr>
                <w:sz w:val="24"/>
              </w:rPr>
            </w:pPr>
            <w:r>
              <w:rPr>
                <w:sz w:val="24"/>
              </w:rPr>
              <w:t>常满意）</w:t>
            </w:r>
          </w:p>
        </w:tc>
        <w:tc>
          <w:tcPr>
            <w:tcW w:w="1701" w:type="dxa"/>
          </w:tcPr>
          <w:p>
            <w:pPr>
              <w:pStyle w:val="12"/>
              <w:rPr>
                <w:rFonts w:ascii="Times New Roman"/>
              </w:rPr>
            </w:pPr>
          </w:p>
        </w:tc>
        <w:tc>
          <w:tcPr>
            <w:tcW w:w="1134" w:type="dxa"/>
          </w:tcPr>
          <w:p>
            <w:pPr>
              <w:pStyle w:val="12"/>
              <w:rPr>
                <w:rFonts w:ascii="Times New Roman"/>
              </w:rPr>
            </w:pPr>
          </w:p>
        </w:tc>
        <w:tc>
          <w:tcPr>
            <w:tcW w:w="1418" w:type="dxa"/>
          </w:tcPr>
          <w:p>
            <w:pPr>
              <w:pStyle w:val="12"/>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2" w:hRule="atLeast"/>
        </w:trPr>
        <w:tc>
          <w:tcPr>
            <w:tcW w:w="470" w:type="dxa"/>
          </w:tcPr>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spacing w:before="143" w:line="278" w:lineRule="auto"/>
              <w:ind w:left="128" w:right="120"/>
              <w:rPr>
                <w:rFonts w:ascii="宋体" w:eastAsia="宋体"/>
                <w:sz w:val="21"/>
              </w:rPr>
            </w:pPr>
            <w:r>
              <w:rPr>
                <w:rFonts w:hint="eastAsia" w:ascii="宋体" w:eastAsia="宋体"/>
                <w:sz w:val="21"/>
              </w:rPr>
              <w:t>合计</w:t>
            </w:r>
          </w:p>
        </w:tc>
        <w:tc>
          <w:tcPr>
            <w:tcW w:w="1062" w:type="dxa"/>
          </w:tcPr>
          <w:p>
            <w:pPr>
              <w:pStyle w:val="12"/>
              <w:rPr>
                <w:sz w:val="26"/>
              </w:rPr>
            </w:pPr>
          </w:p>
          <w:p>
            <w:pPr>
              <w:pStyle w:val="12"/>
              <w:rPr>
                <w:sz w:val="26"/>
              </w:rPr>
            </w:pPr>
          </w:p>
          <w:p>
            <w:pPr>
              <w:pStyle w:val="12"/>
              <w:rPr>
                <w:sz w:val="26"/>
              </w:rPr>
            </w:pPr>
          </w:p>
          <w:p>
            <w:pPr>
              <w:pStyle w:val="12"/>
              <w:spacing w:before="10"/>
              <w:rPr>
                <w:sz w:val="31"/>
              </w:rPr>
            </w:pPr>
          </w:p>
          <w:p>
            <w:pPr>
              <w:pStyle w:val="12"/>
              <w:ind w:left="107"/>
              <w:rPr>
                <w:sz w:val="24"/>
              </w:rPr>
            </w:pPr>
            <w:r>
              <w:rPr>
                <w:rFonts w:ascii="Times New Roman" w:eastAsia="Times New Roman"/>
                <w:sz w:val="24"/>
              </w:rPr>
              <w:t xml:space="preserve">SLA </w:t>
            </w:r>
            <w:r>
              <w:rPr>
                <w:sz w:val="24"/>
              </w:rPr>
              <w:t>满</w:t>
            </w:r>
          </w:p>
          <w:p>
            <w:pPr>
              <w:pStyle w:val="12"/>
              <w:spacing w:before="4"/>
              <w:ind w:left="107"/>
              <w:rPr>
                <w:sz w:val="24"/>
              </w:rPr>
            </w:pPr>
            <w:r>
              <w:rPr>
                <w:sz w:val="24"/>
              </w:rPr>
              <w:t>足率</w:t>
            </w:r>
          </w:p>
        </w:tc>
        <w:tc>
          <w:tcPr>
            <w:tcW w:w="1134" w:type="dxa"/>
          </w:tcPr>
          <w:p>
            <w:pPr>
              <w:pStyle w:val="12"/>
              <w:spacing w:before="2" w:line="242" w:lineRule="auto"/>
              <w:ind w:left="108" w:right="262"/>
              <w:rPr>
                <w:sz w:val="24"/>
                <w:lang w:eastAsia="zh-CN"/>
              </w:rPr>
            </w:pPr>
            <w:r>
              <w:rPr>
                <w:sz w:val="24"/>
                <w:lang w:eastAsia="zh-CN"/>
              </w:rPr>
              <w:t>此数据是衡量满足要求的</w:t>
            </w:r>
            <w:r>
              <w:rPr>
                <w:rFonts w:ascii="Times New Roman" w:eastAsia="Times New Roman"/>
                <w:sz w:val="24"/>
                <w:lang w:eastAsia="zh-CN"/>
              </w:rPr>
              <w:t>SLA</w:t>
            </w:r>
            <w:r>
              <w:rPr>
                <w:rFonts w:ascii="Times New Roman" w:eastAsia="Times New Roman"/>
                <w:spacing w:val="-4"/>
                <w:sz w:val="24"/>
                <w:lang w:eastAsia="zh-CN"/>
              </w:rPr>
              <w:t xml:space="preserve"> </w:t>
            </w:r>
            <w:r>
              <w:rPr>
                <w:spacing w:val="-16"/>
                <w:sz w:val="24"/>
                <w:lang w:eastAsia="zh-CN"/>
              </w:rPr>
              <w:t>个</w:t>
            </w:r>
          </w:p>
          <w:p>
            <w:pPr>
              <w:pStyle w:val="12"/>
              <w:spacing w:before="8" w:line="242" w:lineRule="auto"/>
              <w:ind w:left="108" w:right="261"/>
              <w:rPr>
                <w:rFonts w:ascii="Times New Roman" w:eastAsia="Times New Roman"/>
                <w:sz w:val="24"/>
                <w:lang w:eastAsia="zh-CN"/>
              </w:rPr>
            </w:pPr>
            <w:r>
              <w:rPr>
                <w:sz w:val="24"/>
                <w:lang w:eastAsia="zh-CN"/>
              </w:rPr>
              <w:t>数与整</w:t>
            </w:r>
            <w:r>
              <w:rPr>
                <w:spacing w:val="-29"/>
                <w:sz w:val="24"/>
                <w:lang w:eastAsia="zh-CN"/>
              </w:rPr>
              <w:t xml:space="preserve">体 </w:t>
            </w:r>
            <w:r>
              <w:rPr>
                <w:rFonts w:ascii="Times New Roman" w:eastAsia="Times New Roman"/>
                <w:spacing w:val="-7"/>
                <w:sz w:val="24"/>
                <w:lang w:eastAsia="zh-CN"/>
              </w:rPr>
              <w:t>SLA</w:t>
            </w:r>
          </w:p>
          <w:p>
            <w:pPr>
              <w:pStyle w:val="12"/>
              <w:spacing w:before="2" w:line="242" w:lineRule="auto"/>
              <w:ind w:left="108" w:right="293"/>
              <w:jc w:val="both"/>
              <w:rPr>
                <w:sz w:val="24"/>
                <w:lang w:eastAsia="zh-CN"/>
              </w:rPr>
            </w:pPr>
            <w:r>
              <w:rPr>
                <w:spacing w:val="-6"/>
                <w:sz w:val="24"/>
                <w:lang w:eastAsia="zh-CN"/>
              </w:rPr>
              <w:t>个数的百分之整体的</w:t>
            </w:r>
          </w:p>
          <w:p>
            <w:pPr>
              <w:pStyle w:val="12"/>
              <w:spacing w:before="5" w:line="289" w:lineRule="exact"/>
              <w:ind w:left="108"/>
              <w:rPr>
                <w:sz w:val="24"/>
              </w:rPr>
            </w:pPr>
            <w:r>
              <w:rPr>
                <w:sz w:val="24"/>
              </w:rPr>
              <w:t>比率</w:t>
            </w:r>
          </w:p>
        </w:tc>
        <w:tc>
          <w:tcPr>
            <w:tcW w:w="1417" w:type="dxa"/>
          </w:tcPr>
          <w:p>
            <w:pPr>
              <w:pStyle w:val="12"/>
              <w:rPr>
                <w:sz w:val="24"/>
              </w:rPr>
            </w:pPr>
          </w:p>
          <w:p>
            <w:pPr>
              <w:pStyle w:val="12"/>
              <w:rPr>
                <w:sz w:val="24"/>
              </w:rPr>
            </w:pPr>
          </w:p>
          <w:p>
            <w:pPr>
              <w:pStyle w:val="12"/>
              <w:spacing w:before="3"/>
              <w:rPr>
                <w:sz w:val="25"/>
              </w:rPr>
            </w:pPr>
          </w:p>
          <w:p>
            <w:pPr>
              <w:pStyle w:val="12"/>
              <w:spacing w:line="242" w:lineRule="auto"/>
              <w:ind w:left="107" w:right="97"/>
              <w:rPr>
                <w:sz w:val="24"/>
              </w:rPr>
            </w:pPr>
            <w:r>
              <w:rPr>
                <w:spacing w:val="-4"/>
                <w:sz w:val="24"/>
              </w:rPr>
              <w:t>衡量卖方达</w:t>
            </w:r>
            <w:r>
              <w:rPr>
                <w:sz w:val="24"/>
              </w:rPr>
              <w:t>到要求的</w:t>
            </w:r>
            <w:r>
              <w:rPr>
                <w:rFonts w:ascii="Times New Roman" w:eastAsia="Times New Roman"/>
                <w:sz w:val="24"/>
              </w:rPr>
              <w:t xml:space="preserve">SLA </w:t>
            </w:r>
            <w:r>
              <w:rPr>
                <w:sz w:val="24"/>
              </w:rPr>
              <w:t>占全</w:t>
            </w:r>
            <w:r>
              <w:rPr>
                <w:spacing w:val="-31"/>
                <w:sz w:val="24"/>
              </w:rPr>
              <w:t xml:space="preserve">部 </w:t>
            </w:r>
            <w:r>
              <w:rPr>
                <w:rFonts w:ascii="Times New Roman" w:eastAsia="Times New Roman"/>
                <w:sz w:val="24"/>
              </w:rPr>
              <w:t xml:space="preserve">SLA </w:t>
            </w:r>
            <w:r>
              <w:rPr>
                <w:sz w:val="24"/>
              </w:rPr>
              <w:t>的百分比。</w:t>
            </w:r>
          </w:p>
        </w:tc>
        <w:tc>
          <w:tcPr>
            <w:tcW w:w="1701" w:type="dxa"/>
          </w:tcPr>
          <w:p>
            <w:pPr>
              <w:pStyle w:val="12"/>
              <w:rPr>
                <w:sz w:val="26"/>
                <w:lang w:eastAsia="zh-CN"/>
              </w:rPr>
            </w:pPr>
          </w:p>
          <w:p>
            <w:pPr>
              <w:pStyle w:val="12"/>
              <w:rPr>
                <w:sz w:val="26"/>
                <w:lang w:eastAsia="zh-CN"/>
              </w:rPr>
            </w:pPr>
          </w:p>
          <w:p>
            <w:pPr>
              <w:pStyle w:val="12"/>
              <w:spacing w:before="3"/>
              <w:rPr>
                <w:sz w:val="21"/>
                <w:lang w:eastAsia="zh-CN"/>
              </w:rPr>
            </w:pPr>
          </w:p>
          <w:p>
            <w:pPr>
              <w:pStyle w:val="12"/>
              <w:ind w:left="106"/>
              <w:rPr>
                <w:sz w:val="24"/>
                <w:lang w:eastAsia="zh-CN"/>
              </w:rPr>
            </w:pPr>
            <w:r>
              <w:rPr>
                <w:rFonts w:ascii="Times New Roman" w:eastAsia="Times New Roman"/>
                <w:sz w:val="24"/>
                <w:lang w:eastAsia="zh-CN"/>
              </w:rPr>
              <w:t>SLA</w:t>
            </w:r>
            <w:r>
              <w:rPr>
                <w:rFonts w:ascii="Times New Roman" w:eastAsia="Times New Roman"/>
                <w:spacing w:val="-2"/>
                <w:sz w:val="24"/>
                <w:lang w:eastAsia="zh-CN"/>
              </w:rPr>
              <w:t xml:space="preserve"> </w:t>
            </w:r>
            <w:r>
              <w:rPr>
                <w:sz w:val="24"/>
                <w:lang w:eastAsia="zh-CN"/>
              </w:rPr>
              <w:t>满足率＝</w:t>
            </w:r>
          </w:p>
          <w:p>
            <w:pPr>
              <w:pStyle w:val="12"/>
              <w:spacing w:before="5" w:line="242" w:lineRule="auto"/>
              <w:ind w:left="106" w:right="96"/>
              <w:rPr>
                <w:sz w:val="24"/>
                <w:lang w:eastAsia="zh-CN"/>
              </w:rPr>
            </w:pPr>
            <w:r>
              <w:rPr>
                <w:sz w:val="24"/>
                <w:lang w:eastAsia="zh-CN"/>
              </w:rPr>
              <w:t>（</w:t>
            </w:r>
            <w:r>
              <w:rPr>
                <w:spacing w:val="18"/>
                <w:sz w:val="24"/>
                <w:lang w:eastAsia="zh-CN"/>
              </w:rPr>
              <w:t>满足</w:t>
            </w:r>
            <w:r>
              <w:rPr>
                <w:rFonts w:ascii="Times New Roman" w:eastAsia="Times New Roman"/>
                <w:sz w:val="24"/>
                <w:lang w:eastAsia="zh-CN"/>
              </w:rPr>
              <w:t>SLA</w:t>
            </w:r>
            <w:r>
              <w:rPr>
                <w:rFonts w:ascii="Times New Roman" w:eastAsia="Times New Roman"/>
                <w:spacing w:val="-26"/>
                <w:sz w:val="24"/>
                <w:lang w:eastAsia="zh-CN"/>
              </w:rPr>
              <w:t xml:space="preserve"> </w:t>
            </w:r>
            <w:r>
              <w:rPr>
                <w:spacing w:val="-15"/>
                <w:sz w:val="24"/>
                <w:lang w:eastAsia="zh-CN"/>
              </w:rPr>
              <w:t>的</w:t>
            </w:r>
            <w:r>
              <w:rPr>
                <w:sz w:val="24"/>
                <w:lang w:eastAsia="zh-CN"/>
              </w:rPr>
              <w:t xml:space="preserve">个 数 </w:t>
            </w:r>
            <w:r>
              <w:rPr>
                <w:rFonts w:ascii="Times New Roman" w:eastAsia="Times New Roman"/>
                <w:sz w:val="24"/>
                <w:lang w:eastAsia="zh-CN"/>
              </w:rPr>
              <w:t xml:space="preserve">/ </w:t>
            </w:r>
            <w:r>
              <w:rPr>
                <w:sz w:val="24"/>
                <w:lang w:eastAsia="zh-CN"/>
              </w:rPr>
              <w:t xml:space="preserve">总 体 </w:t>
            </w:r>
            <w:r>
              <w:rPr>
                <w:rFonts w:ascii="Times New Roman" w:eastAsia="Times New Roman"/>
                <w:sz w:val="24"/>
                <w:lang w:eastAsia="zh-CN"/>
              </w:rPr>
              <w:t>SLA</w:t>
            </w:r>
            <w:r>
              <w:rPr>
                <w:rFonts w:ascii="Times New Roman" w:eastAsia="Times New Roman"/>
                <w:spacing w:val="-2"/>
                <w:sz w:val="24"/>
                <w:lang w:eastAsia="zh-CN"/>
              </w:rPr>
              <w:t xml:space="preserve"> </w:t>
            </w:r>
            <w:r>
              <w:rPr>
                <w:sz w:val="24"/>
                <w:lang w:eastAsia="zh-CN"/>
              </w:rPr>
              <w:t>的个数）</w:t>
            </w:r>
          </w:p>
          <w:p>
            <w:pPr>
              <w:pStyle w:val="12"/>
              <w:spacing w:before="20"/>
              <w:ind w:left="106"/>
              <w:rPr>
                <w:rFonts w:ascii="Times New Roman" w:hAnsi="Times New Roman"/>
                <w:sz w:val="24"/>
              </w:rPr>
            </w:pPr>
            <w:r>
              <w:rPr>
                <w:rFonts w:ascii="Times New Roman" w:hAnsi="Times New Roman"/>
                <w:sz w:val="24"/>
              </w:rPr>
              <w:t>×100%</w:t>
            </w:r>
          </w:p>
        </w:tc>
        <w:tc>
          <w:tcPr>
            <w:tcW w:w="1701" w:type="dxa"/>
          </w:tcPr>
          <w:p>
            <w:pPr>
              <w:pStyle w:val="12"/>
              <w:rPr>
                <w:sz w:val="24"/>
                <w:lang w:eastAsia="zh-CN"/>
              </w:rPr>
            </w:pPr>
          </w:p>
          <w:p>
            <w:pPr>
              <w:pStyle w:val="12"/>
              <w:rPr>
                <w:sz w:val="24"/>
                <w:lang w:eastAsia="zh-CN"/>
              </w:rPr>
            </w:pPr>
          </w:p>
          <w:p>
            <w:pPr>
              <w:pStyle w:val="12"/>
              <w:spacing w:before="3"/>
              <w:rPr>
                <w:sz w:val="25"/>
                <w:lang w:eastAsia="zh-CN"/>
              </w:rPr>
            </w:pPr>
          </w:p>
          <w:p>
            <w:pPr>
              <w:pStyle w:val="12"/>
              <w:spacing w:line="242" w:lineRule="auto"/>
              <w:ind w:left="107" w:right="96"/>
              <w:rPr>
                <w:sz w:val="24"/>
                <w:lang w:eastAsia="zh-CN"/>
              </w:rPr>
            </w:pPr>
            <w:r>
              <w:rPr>
                <w:sz w:val="24"/>
                <w:lang w:eastAsia="zh-CN"/>
              </w:rPr>
              <w:t xml:space="preserve">为了这个度量报告，需要持续汇报 </w:t>
            </w:r>
            <w:r>
              <w:rPr>
                <w:rFonts w:ascii="Times New Roman" w:eastAsia="Times New Roman"/>
                <w:sz w:val="24"/>
                <w:lang w:eastAsia="zh-CN"/>
              </w:rPr>
              <w:t xml:space="preserve">SOW </w:t>
            </w:r>
            <w:r>
              <w:rPr>
                <w:sz w:val="24"/>
                <w:lang w:eastAsia="zh-CN"/>
              </w:rPr>
              <w:t>中所有</w:t>
            </w:r>
            <w:r>
              <w:rPr>
                <w:rFonts w:ascii="Times New Roman" w:eastAsia="Times New Roman"/>
                <w:sz w:val="24"/>
                <w:lang w:eastAsia="zh-CN"/>
              </w:rPr>
              <w:t xml:space="preserve">SLA </w:t>
            </w:r>
            <w:r>
              <w:rPr>
                <w:sz w:val="24"/>
                <w:lang w:eastAsia="zh-CN"/>
              </w:rPr>
              <w:t>情况。</w:t>
            </w:r>
          </w:p>
        </w:tc>
        <w:tc>
          <w:tcPr>
            <w:tcW w:w="1134" w:type="dxa"/>
          </w:tcPr>
          <w:p>
            <w:pPr>
              <w:pStyle w:val="12"/>
              <w:rPr>
                <w:sz w:val="26"/>
                <w:lang w:eastAsia="zh-CN"/>
              </w:rPr>
            </w:pPr>
          </w:p>
          <w:p>
            <w:pPr>
              <w:pStyle w:val="12"/>
              <w:rPr>
                <w:sz w:val="26"/>
                <w:lang w:eastAsia="zh-CN"/>
              </w:rPr>
            </w:pPr>
          </w:p>
          <w:p>
            <w:pPr>
              <w:pStyle w:val="12"/>
              <w:rPr>
                <w:sz w:val="26"/>
                <w:lang w:eastAsia="zh-CN"/>
              </w:rPr>
            </w:pPr>
          </w:p>
          <w:p>
            <w:pPr>
              <w:pStyle w:val="12"/>
              <w:spacing w:before="7"/>
              <w:rPr>
                <w:sz w:val="19"/>
                <w:lang w:eastAsia="zh-CN"/>
              </w:rPr>
            </w:pPr>
          </w:p>
          <w:p>
            <w:pPr>
              <w:pStyle w:val="12"/>
              <w:spacing w:before="1"/>
              <w:ind w:left="107"/>
              <w:rPr>
                <w:sz w:val="24"/>
              </w:rPr>
            </w:pPr>
            <w:r>
              <w:rPr>
                <w:rFonts w:ascii="Times New Roman" w:eastAsia="Times New Roman"/>
                <w:sz w:val="24"/>
              </w:rPr>
              <w:t xml:space="preserve">SLA </w:t>
            </w:r>
            <w:r>
              <w:rPr>
                <w:sz w:val="24"/>
              </w:rPr>
              <w:t>满</w:t>
            </w:r>
          </w:p>
          <w:p>
            <w:pPr>
              <w:pStyle w:val="12"/>
              <w:spacing w:before="4"/>
              <w:ind w:left="107"/>
              <w:rPr>
                <w:sz w:val="24"/>
              </w:rPr>
            </w:pPr>
            <w:r>
              <w:rPr>
                <w:sz w:val="24"/>
              </w:rPr>
              <w:t>足率</w:t>
            </w:r>
          </w:p>
          <w:p>
            <w:pPr>
              <w:pStyle w:val="12"/>
              <w:spacing w:before="21"/>
              <w:ind w:left="107"/>
              <w:rPr>
                <w:rFonts w:ascii="Times New Roman" w:hAnsi="Times New Roman"/>
                <w:sz w:val="24"/>
              </w:rPr>
            </w:pPr>
            <w:r>
              <w:rPr>
                <w:rFonts w:ascii="Times New Roman" w:hAnsi="Times New Roman"/>
                <w:sz w:val="24"/>
              </w:rPr>
              <w:t>≥70%</w:t>
            </w:r>
          </w:p>
        </w:tc>
        <w:tc>
          <w:tcPr>
            <w:tcW w:w="1418" w:type="dxa"/>
          </w:tcPr>
          <w:p>
            <w:pPr>
              <w:pStyle w:val="12"/>
              <w:rPr>
                <w:sz w:val="26"/>
                <w:lang w:eastAsia="zh-CN"/>
              </w:rPr>
            </w:pPr>
          </w:p>
          <w:p>
            <w:pPr>
              <w:pStyle w:val="12"/>
              <w:rPr>
                <w:sz w:val="26"/>
                <w:lang w:eastAsia="zh-CN"/>
              </w:rPr>
            </w:pPr>
          </w:p>
          <w:p>
            <w:pPr>
              <w:pStyle w:val="12"/>
              <w:spacing w:before="3"/>
              <w:rPr>
                <w:sz w:val="21"/>
                <w:lang w:eastAsia="zh-CN"/>
              </w:rPr>
            </w:pPr>
          </w:p>
          <w:p>
            <w:pPr>
              <w:pStyle w:val="12"/>
              <w:spacing w:line="242" w:lineRule="auto"/>
              <w:ind w:left="106" w:right="99"/>
              <w:rPr>
                <w:rFonts w:ascii="Times New Roman" w:eastAsia="Times New Roman"/>
                <w:sz w:val="24"/>
                <w:lang w:eastAsia="zh-CN"/>
              </w:rPr>
            </w:pPr>
            <w:r>
              <w:rPr>
                <w:rFonts w:ascii="Times New Roman" w:eastAsia="Times New Roman"/>
                <w:sz w:val="24"/>
                <w:lang w:eastAsia="zh-CN"/>
              </w:rPr>
              <w:t xml:space="preserve">SLA </w:t>
            </w:r>
            <w:r>
              <w:rPr>
                <w:sz w:val="24"/>
                <w:lang w:eastAsia="zh-CN"/>
              </w:rPr>
              <w:t xml:space="preserve">满足率每低于标准 </w:t>
            </w:r>
            <w:r>
              <w:rPr>
                <w:rFonts w:ascii="Times New Roman" w:eastAsia="Times New Roman"/>
                <w:sz w:val="24"/>
                <w:lang w:eastAsia="zh-CN"/>
              </w:rPr>
              <w:t>5%</w:t>
            </w:r>
            <w:r>
              <w:rPr>
                <w:sz w:val="24"/>
                <w:lang w:eastAsia="zh-CN"/>
              </w:rPr>
              <w:t xml:space="preserve">，扣罚当次结算金额的 </w:t>
            </w:r>
            <w:r>
              <w:rPr>
                <w:rFonts w:ascii="Times New Roman" w:eastAsia="Times New Roman"/>
                <w:sz w:val="24"/>
                <w:lang w:eastAsia="zh-CN"/>
              </w:rPr>
              <w:t>1%</w:t>
            </w:r>
          </w:p>
        </w:tc>
      </w:tr>
    </w:tbl>
    <w:p>
      <w:pPr>
        <w:spacing w:line="242" w:lineRule="auto"/>
        <w:rPr>
          <w:rFonts w:ascii="Times New Roman" w:eastAsia="Times New Roman"/>
          <w:sz w:val="24"/>
          <w:lang w:eastAsia="zh-CN"/>
        </w:rPr>
        <w:sectPr>
          <w:pgSz w:w="11910" w:h="16840"/>
          <w:pgMar w:top="1420" w:right="640" w:bottom="280" w:left="1000" w:header="720" w:footer="720" w:gutter="0"/>
          <w:cols w:space="720" w:num="1"/>
        </w:sectPr>
      </w:pPr>
    </w:p>
    <w:p>
      <w:pPr>
        <w:pStyle w:val="5"/>
        <w:spacing w:before="64"/>
        <w:rPr>
          <w:lang w:eastAsia="zh-CN"/>
        </w:rPr>
      </w:pPr>
      <w:r>
        <w:rPr>
          <w:spacing w:val="-20"/>
          <w:lang w:eastAsia="zh-CN"/>
        </w:rPr>
        <w:t xml:space="preserve">附件 </w:t>
      </w:r>
      <w:r>
        <w:rPr>
          <w:rFonts w:ascii="Times New Roman" w:eastAsia="Times New Roman"/>
          <w:spacing w:val="-10"/>
          <w:lang w:eastAsia="zh-CN"/>
        </w:rPr>
        <w:t>4</w:t>
      </w:r>
      <w:r>
        <w:rPr>
          <w:spacing w:val="-10"/>
          <w:lang w:eastAsia="zh-CN"/>
        </w:rPr>
        <w:t>：</w:t>
      </w:r>
    </w:p>
    <w:p>
      <w:pPr>
        <w:pStyle w:val="5"/>
        <w:spacing w:before="9"/>
        <w:ind w:left="0"/>
        <w:rPr>
          <w:sz w:val="37"/>
          <w:lang w:eastAsia="zh-CN"/>
        </w:rPr>
      </w:pPr>
      <w:r>
        <w:rPr>
          <w:lang w:eastAsia="zh-CN"/>
        </w:rPr>
        <w:br w:type="column"/>
      </w:r>
    </w:p>
    <w:p>
      <w:pPr>
        <w:ind w:left="579"/>
        <w:rPr>
          <w:b/>
          <w:sz w:val="36"/>
          <w:lang w:eastAsia="zh-CN"/>
        </w:rPr>
      </w:pPr>
      <w:r>
        <w:rPr>
          <w:b/>
          <w:sz w:val="36"/>
          <w:lang w:eastAsia="zh-CN"/>
        </w:rPr>
        <w:t>辽宁省农村信用社各级法人行社列表</w:t>
      </w:r>
    </w:p>
    <w:p>
      <w:pPr>
        <w:rPr>
          <w:sz w:val="36"/>
          <w:lang w:eastAsia="zh-CN"/>
        </w:rPr>
        <w:sectPr>
          <w:pgSz w:w="11910" w:h="16840"/>
          <w:pgMar w:top="1520" w:right="640" w:bottom="280" w:left="1000" w:header="720" w:footer="720" w:gutter="0"/>
          <w:cols w:equalWidth="0" w:num="2">
            <w:col w:w="1701" w:space="40"/>
            <w:col w:w="8529"/>
          </w:cols>
        </w:sectPr>
      </w:pPr>
    </w:p>
    <w:p>
      <w:pPr>
        <w:pStyle w:val="5"/>
        <w:spacing w:before="12"/>
        <w:ind w:left="0"/>
        <w:rPr>
          <w:b/>
          <w:sz w:val="11"/>
          <w:lang w:eastAsia="zh-CN"/>
        </w:rPr>
      </w:pPr>
    </w:p>
    <w:p>
      <w:pPr>
        <w:pStyle w:val="3"/>
        <w:spacing w:before="61" w:line="417" w:lineRule="auto"/>
        <w:ind w:left="891" w:right="691" w:firstLine="559"/>
      </w:pPr>
      <w:r>
        <mc:AlternateContent>
          <mc:Choice Requires="wps">
            <w:drawing>
              <wp:anchor distT="0" distB="0" distL="114300" distR="114300" simplePos="0" relativeHeight="251659264" behindDoc="0" locked="0" layoutInCell="1" allowOverlap="1">
                <wp:simplePos x="0" y="0"/>
                <wp:positionH relativeFrom="page">
                  <wp:posOffset>1129030</wp:posOffset>
                </wp:positionH>
                <wp:positionV relativeFrom="paragraph">
                  <wp:posOffset>2331720</wp:posOffset>
                </wp:positionV>
                <wp:extent cx="5634355" cy="5765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5634355" cy="5765800"/>
                        </a:xfrm>
                        <a:prstGeom prst="rect">
                          <a:avLst/>
                        </a:prstGeom>
                        <a:noFill/>
                        <a:ln>
                          <a:noFill/>
                        </a:ln>
                      </wps:spPr>
                      <wps:txbx>
                        <w:txbxContent>
                          <w:tbl>
                            <w:tblPr>
                              <w:tblStyle w:val="10"/>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8"/>
                              <w:gridCol w:w="1134"/>
                              <w:gridCol w:w="68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868" w:type="dxa"/>
                                  <w:shd w:val="clear" w:color="auto" w:fill="D7D7D7"/>
                                </w:tcPr>
                                <w:p>
                                  <w:pPr>
                                    <w:pStyle w:val="12"/>
                                    <w:spacing w:before="133"/>
                                    <w:ind w:left="132" w:right="122"/>
                                    <w:jc w:val="center"/>
                                    <w:rPr>
                                      <w:b/>
                                      <w:sz w:val="28"/>
                                    </w:rPr>
                                  </w:pPr>
                                  <w:r>
                                    <w:rPr>
                                      <w:b/>
                                      <w:sz w:val="28"/>
                                    </w:rPr>
                                    <w:t>序号</w:t>
                                  </w:r>
                                </w:p>
                              </w:tc>
                              <w:tc>
                                <w:tcPr>
                                  <w:tcW w:w="1134" w:type="dxa"/>
                                  <w:shd w:val="clear" w:color="auto" w:fill="D7D7D7"/>
                                </w:tcPr>
                                <w:p>
                                  <w:pPr>
                                    <w:pStyle w:val="12"/>
                                    <w:spacing w:before="133"/>
                                    <w:ind w:left="286"/>
                                    <w:rPr>
                                      <w:b/>
                                      <w:sz w:val="28"/>
                                    </w:rPr>
                                  </w:pPr>
                                  <w:r>
                                    <w:rPr>
                                      <w:b/>
                                      <w:sz w:val="28"/>
                                    </w:rPr>
                                    <w:t>地市</w:t>
                                  </w:r>
                                </w:p>
                              </w:tc>
                              <w:tc>
                                <w:tcPr>
                                  <w:tcW w:w="6856" w:type="dxa"/>
                                  <w:shd w:val="clear" w:color="auto" w:fill="D7D7D7"/>
                                </w:tcPr>
                                <w:p>
                                  <w:pPr>
                                    <w:pStyle w:val="12"/>
                                    <w:spacing w:before="133"/>
                                    <w:ind w:left="526" w:right="519"/>
                                    <w:jc w:val="center"/>
                                    <w:rPr>
                                      <w:b/>
                                      <w:sz w:val="28"/>
                                    </w:rPr>
                                  </w:pPr>
                                  <w:r>
                                    <w:rPr>
                                      <w:b/>
                                      <w:sz w:val="28"/>
                                    </w:rPr>
                                    <w:t>机构名称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868" w:type="dxa"/>
                                </w:tcPr>
                                <w:p>
                                  <w:pPr>
                                    <w:pStyle w:val="12"/>
                                    <w:spacing w:before="150"/>
                                    <w:ind w:left="12"/>
                                    <w:jc w:val="center"/>
                                    <w:rPr>
                                      <w:rFonts w:ascii="Times New Roman"/>
                                      <w:sz w:val="28"/>
                                    </w:rPr>
                                  </w:pPr>
                                  <w:bookmarkStart w:id="138" w:name="1"/>
                                  <w:bookmarkEnd w:id="138"/>
                                  <w:r>
                                    <w:rPr>
                                      <w:rFonts w:ascii="Times New Roman"/>
                                      <w:sz w:val="28"/>
                                    </w:rPr>
                                    <w:t>1</w:t>
                                  </w:r>
                                </w:p>
                              </w:tc>
                              <w:tc>
                                <w:tcPr>
                                  <w:tcW w:w="1134" w:type="dxa"/>
                                  <w:vMerge w:val="restart"/>
                                </w:tcPr>
                                <w:p>
                                  <w:pPr>
                                    <w:pStyle w:val="12"/>
                                    <w:rPr>
                                      <w:sz w:val="28"/>
                                    </w:rPr>
                                  </w:pPr>
                                </w:p>
                                <w:p>
                                  <w:pPr>
                                    <w:pStyle w:val="12"/>
                                    <w:rPr>
                                      <w:sz w:val="28"/>
                                    </w:rPr>
                                  </w:pPr>
                                </w:p>
                                <w:p>
                                  <w:pPr>
                                    <w:pStyle w:val="12"/>
                                    <w:rPr>
                                      <w:sz w:val="28"/>
                                    </w:rPr>
                                  </w:pPr>
                                </w:p>
                                <w:p>
                                  <w:pPr>
                                    <w:pStyle w:val="12"/>
                                    <w:spacing w:before="5"/>
                                    <w:rPr>
                                      <w:sz w:val="34"/>
                                    </w:rPr>
                                  </w:pPr>
                                </w:p>
                                <w:p>
                                  <w:pPr>
                                    <w:pStyle w:val="12"/>
                                    <w:ind w:left="286"/>
                                    <w:rPr>
                                      <w:sz w:val="28"/>
                                    </w:rPr>
                                  </w:pPr>
                                  <w:bookmarkStart w:id="139" w:name="沈阳"/>
                                  <w:bookmarkEnd w:id="139"/>
                                  <w:bookmarkStart w:id="140" w:name="3"/>
                                  <w:bookmarkEnd w:id="140"/>
                                  <w:bookmarkStart w:id="141" w:name="4"/>
                                  <w:bookmarkEnd w:id="141"/>
                                  <w:bookmarkStart w:id="142" w:name="2"/>
                                  <w:bookmarkEnd w:id="142"/>
                                  <w:r>
                                    <w:rPr>
                                      <w:sz w:val="28"/>
                                    </w:rPr>
                                    <w:t>沈阳</w:t>
                                  </w:r>
                                </w:p>
                              </w:tc>
                              <w:tc>
                                <w:tcPr>
                                  <w:tcW w:w="6856" w:type="dxa"/>
                                </w:tcPr>
                                <w:p>
                                  <w:pPr>
                                    <w:pStyle w:val="12"/>
                                    <w:spacing w:before="132"/>
                                    <w:ind w:left="526" w:right="514"/>
                                    <w:jc w:val="center"/>
                                    <w:rPr>
                                      <w:sz w:val="28"/>
                                      <w:lang w:eastAsia="zh-CN"/>
                                    </w:rPr>
                                  </w:pPr>
                                  <w:bookmarkStart w:id="143" w:name="沈阳农村商业银行股份有限公司"/>
                                  <w:bookmarkEnd w:id="143"/>
                                  <w:r>
                                    <w:rPr>
                                      <w:sz w:val="28"/>
                                      <w:lang w:eastAsia="zh-CN"/>
                                    </w:rPr>
                                    <w:t>沈阳农村商业银行股份有限公司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868" w:type="dxa"/>
                                </w:tcPr>
                                <w:p>
                                  <w:pPr>
                                    <w:pStyle w:val="12"/>
                                    <w:spacing w:before="150"/>
                                    <w:ind w:left="12"/>
                                    <w:jc w:val="center"/>
                                    <w:rPr>
                                      <w:rFonts w:ascii="Times New Roman"/>
                                      <w:sz w:val="28"/>
                                    </w:rPr>
                                  </w:pPr>
                                  <w:r>
                                    <w:rPr>
                                      <w:rFonts w:ascii="Times New Roman"/>
                                      <w:sz w:val="28"/>
                                    </w:rPr>
                                    <w:t>2</w:t>
                                  </w:r>
                                </w:p>
                              </w:tc>
                              <w:tc>
                                <w:tcPr>
                                  <w:tcW w:w="1134" w:type="dxa"/>
                                  <w:vMerge w:val="continue"/>
                                  <w:tcBorders>
                                    <w:top w:val="nil"/>
                                  </w:tcBorders>
                                </w:tcPr>
                                <w:p>
                                  <w:pPr>
                                    <w:rPr>
                                      <w:sz w:val="2"/>
                                      <w:szCs w:val="2"/>
                                    </w:rPr>
                                  </w:pPr>
                                </w:p>
                              </w:tc>
                              <w:tc>
                                <w:tcPr>
                                  <w:tcW w:w="6856" w:type="dxa"/>
                                </w:tcPr>
                                <w:p>
                                  <w:pPr>
                                    <w:pStyle w:val="12"/>
                                    <w:spacing w:before="108"/>
                                    <w:ind w:left="526" w:right="519"/>
                                    <w:jc w:val="center"/>
                                    <w:rPr>
                                      <w:sz w:val="32"/>
                                      <w:lang w:eastAsia="zh-CN"/>
                                    </w:rPr>
                                  </w:pPr>
                                  <w:bookmarkStart w:id="144" w:name="沈阳市苏家屯区农村信用合作联社"/>
                                  <w:bookmarkEnd w:id="144"/>
                                  <w:r>
                                    <w:rPr>
                                      <w:sz w:val="32"/>
                                      <w:lang w:eastAsia="zh-CN"/>
                                    </w:rPr>
                                    <w:t>沈阳市苏家屯区农村信用合作联社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868" w:type="dxa"/>
                                </w:tcPr>
                                <w:p>
                                  <w:pPr>
                                    <w:pStyle w:val="12"/>
                                    <w:spacing w:before="149"/>
                                    <w:ind w:left="12"/>
                                    <w:jc w:val="center"/>
                                    <w:rPr>
                                      <w:rFonts w:ascii="Times New Roman"/>
                                      <w:sz w:val="28"/>
                                    </w:rPr>
                                  </w:pPr>
                                  <w:r>
                                    <w:rPr>
                                      <w:rFonts w:ascii="Times New Roman"/>
                                      <w:sz w:val="28"/>
                                    </w:rPr>
                                    <w:t>3</w:t>
                                  </w:r>
                                </w:p>
                              </w:tc>
                              <w:tc>
                                <w:tcPr>
                                  <w:tcW w:w="1134" w:type="dxa"/>
                                  <w:vMerge w:val="continue"/>
                                  <w:tcBorders>
                                    <w:top w:val="nil"/>
                                  </w:tcBorders>
                                </w:tcPr>
                                <w:p>
                                  <w:pPr>
                                    <w:rPr>
                                      <w:sz w:val="2"/>
                                      <w:szCs w:val="2"/>
                                    </w:rPr>
                                  </w:pPr>
                                </w:p>
                              </w:tc>
                              <w:tc>
                                <w:tcPr>
                                  <w:tcW w:w="6856" w:type="dxa"/>
                                </w:tcPr>
                                <w:p>
                                  <w:pPr>
                                    <w:pStyle w:val="12"/>
                                    <w:spacing w:before="107"/>
                                    <w:ind w:left="526" w:right="517"/>
                                    <w:jc w:val="center"/>
                                    <w:rPr>
                                      <w:sz w:val="32"/>
                                      <w:lang w:eastAsia="zh-CN"/>
                                    </w:rPr>
                                  </w:pPr>
                                  <w:bookmarkStart w:id="145" w:name="辽宁新民农村商业银行股份有限公司"/>
                                  <w:bookmarkEnd w:id="145"/>
                                  <w:r>
                                    <w:rPr>
                                      <w:sz w:val="32"/>
                                      <w:lang w:eastAsia="zh-CN"/>
                                    </w:rPr>
                                    <w:t>辽宁新民农村商业银行股份有限公司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868" w:type="dxa"/>
                                </w:tcPr>
                                <w:p>
                                  <w:pPr>
                                    <w:pStyle w:val="12"/>
                                    <w:spacing w:before="151"/>
                                    <w:ind w:left="12"/>
                                    <w:jc w:val="center"/>
                                    <w:rPr>
                                      <w:rFonts w:ascii="Times New Roman"/>
                                      <w:sz w:val="28"/>
                                    </w:rPr>
                                  </w:pPr>
                                  <w:r>
                                    <w:rPr>
                                      <w:rFonts w:ascii="Times New Roman"/>
                                      <w:sz w:val="28"/>
                                    </w:rPr>
                                    <w:t>4</w:t>
                                  </w:r>
                                </w:p>
                              </w:tc>
                              <w:tc>
                                <w:tcPr>
                                  <w:tcW w:w="1134" w:type="dxa"/>
                                  <w:vMerge w:val="continue"/>
                                  <w:tcBorders>
                                    <w:top w:val="nil"/>
                                  </w:tcBorders>
                                </w:tcPr>
                                <w:p>
                                  <w:pPr>
                                    <w:rPr>
                                      <w:sz w:val="2"/>
                                      <w:szCs w:val="2"/>
                                    </w:rPr>
                                  </w:pPr>
                                </w:p>
                              </w:tc>
                              <w:tc>
                                <w:tcPr>
                                  <w:tcW w:w="6856" w:type="dxa"/>
                                </w:tcPr>
                                <w:p>
                                  <w:pPr>
                                    <w:pStyle w:val="12"/>
                                    <w:spacing w:before="107"/>
                                    <w:ind w:left="526" w:right="519"/>
                                    <w:jc w:val="center"/>
                                    <w:rPr>
                                      <w:sz w:val="32"/>
                                      <w:lang w:eastAsia="zh-CN"/>
                                    </w:rPr>
                                  </w:pPr>
                                  <w:bookmarkStart w:id="146" w:name="辽中县农村信用合作联社"/>
                                  <w:bookmarkEnd w:id="146"/>
                                  <w:r>
                                    <w:rPr>
                                      <w:sz w:val="32"/>
                                      <w:lang w:eastAsia="zh-CN"/>
                                    </w:rPr>
                                    <w:t>辽中县农村信用合作联社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868" w:type="dxa"/>
                                </w:tcPr>
                                <w:p>
                                  <w:pPr>
                                    <w:pStyle w:val="12"/>
                                    <w:spacing w:before="150"/>
                                    <w:ind w:left="12"/>
                                    <w:jc w:val="center"/>
                                    <w:rPr>
                                      <w:rFonts w:ascii="Times New Roman"/>
                                      <w:sz w:val="28"/>
                                    </w:rPr>
                                  </w:pPr>
                                  <w:bookmarkStart w:id="147" w:name="5"/>
                                  <w:bookmarkEnd w:id="147"/>
                                  <w:r>
                                    <w:rPr>
                                      <w:rFonts w:ascii="Times New Roman"/>
                                      <w:sz w:val="28"/>
                                    </w:rPr>
                                    <w:t>5</w:t>
                                  </w:r>
                                </w:p>
                              </w:tc>
                              <w:tc>
                                <w:tcPr>
                                  <w:tcW w:w="1134" w:type="dxa"/>
                                  <w:vMerge w:val="continue"/>
                                  <w:tcBorders>
                                    <w:top w:val="nil"/>
                                  </w:tcBorders>
                                </w:tcPr>
                                <w:p>
                                  <w:pPr>
                                    <w:rPr>
                                      <w:sz w:val="2"/>
                                      <w:szCs w:val="2"/>
                                    </w:rPr>
                                  </w:pPr>
                                </w:p>
                              </w:tc>
                              <w:tc>
                                <w:tcPr>
                                  <w:tcW w:w="6856" w:type="dxa"/>
                                </w:tcPr>
                                <w:p>
                                  <w:pPr>
                                    <w:pStyle w:val="12"/>
                                    <w:spacing w:before="109"/>
                                    <w:ind w:left="526" w:right="519"/>
                                    <w:jc w:val="center"/>
                                    <w:rPr>
                                      <w:sz w:val="32"/>
                                      <w:lang w:eastAsia="zh-CN"/>
                                    </w:rPr>
                                  </w:pPr>
                                  <w:bookmarkStart w:id="148" w:name="康平县农村信用合作联社"/>
                                  <w:bookmarkEnd w:id="148"/>
                                  <w:r>
                                    <w:rPr>
                                      <w:sz w:val="32"/>
                                      <w:lang w:eastAsia="zh-CN"/>
                                    </w:rPr>
                                    <w:t>康平县农村信用合作联社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868" w:type="dxa"/>
                                </w:tcPr>
                                <w:p>
                                  <w:pPr>
                                    <w:pStyle w:val="12"/>
                                    <w:spacing w:before="150"/>
                                    <w:ind w:left="12"/>
                                    <w:jc w:val="center"/>
                                    <w:rPr>
                                      <w:rFonts w:ascii="Times New Roman"/>
                                      <w:sz w:val="28"/>
                                    </w:rPr>
                                  </w:pPr>
                                  <w:bookmarkStart w:id="149" w:name="6"/>
                                  <w:bookmarkEnd w:id="149"/>
                                  <w:r>
                                    <w:rPr>
                                      <w:rFonts w:ascii="Times New Roman"/>
                                      <w:sz w:val="28"/>
                                    </w:rPr>
                                    <w:t>6</w:t>
                                  </w:r>
                                </w:p>
                              </w:tc>
                              <w:tc>
                                <w:tcPr>
                                  <w:tcW w:w="1134" w:type="dxa"/>
                                  <w:vMerge w:val="continue"/>
                                  <w:tcBorders>
                                    <w:top w:val="nil"/>
                                  </w:tcBorders>
                                </w:tcPr>
                                <w:p>
                                  <w:pPr>
                                    <w:rPr>
                                      <w:sz w:val="2"/>
                                      <w:szCs w:val="2"/>
                                    </w:rPr>
                                  </w:pPr>
                                </w:p>
                              </w:tc>
                              <w:tc>
                                <w:tcPr>
                                  <w:tcW w:w="6856" w:type="dxa"/>
                                </w:tcPr>
                                <w:p>
                                  <w:pPr>
                                    <w:pStyle w:val="12"/>
                                    <w:spacing w:before="108"/>
                                    <w:ind w:left="526" w:right="519"/>
                                    <w:jc w:val="center"/>
                                    <w:rPr>
                                      <w:sz w:val="32"/>
                                      <w:lang w:eastAsia="zh-CN"/>
                                    </w:rPr>
                                  </w:pPr>
                                  <w:bookmarkStart w:id="150" w:name="法库县农村信用合作联社"/>
                                  <w:bookmarkEnd w:id="150"/>
                                  <w:r>
                                    <w:rPr>
                                      <w:sz w:val="32"/>
                                      <w:lang w:eastAsia="zh-CN"/>
                                    </w:rPr>
                                    <w:t>法库县农村信用合作联社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868" w:type="dxa"/>
                                </w:tcPr>
                                <w:p>
                                  <w:pPr>
                                    <w:pStyle w:val="12"/>
                                    <w:spacing w:before="149"/>
                                    <w:ind w:left="12"/>
                                    <w:jc w:val="center"/>
                                    <w:rPr>
                                      <w:rFonts w:ascii="Times New Roman"/>
                                      <w:sz w:val="28"/>
                                    </w:rPr>
                                  </w:pPr>
                                  <w:bookmarkStart w:id="151" w:name="7"/>
                                  <w:bookmarkEnd w:id="151"/>
                                  <w:r>
                                    <w:rPr>
                                      <w:rFonts w:ascii="Times New Roman"/>
                                      <w:sz w:val="28"/>
                                    </w:rPr>
                                    <w:t>7</w:t>
                                  </w:r>
                                </w:p>
                              </w:tc>
                              <w:tc>
                                <w:tcPr>
                                  <w:tcW w:w="1134" w:type="dxa"/>
                                  <w:vMerge w:val="restart"/>
                                </w:tcPr>
                                <w:p>
                                  <w:pPr>
                                    <w:pStyle w:val="12"/>
                                    <w:rPr>
                                      <w:sz w:val="28"/>
                                    </w:rPr>
                                  </w:pPr>
                                </w:p>
                                <w:p>
                                  <w:pPr>
                                    <w:pStyle w:val="12"/>
                                    <w:rPr>
                                      <w:sz w:val="28"/>
                                    </w:rPr>
                                  </w:pPr>
                                </w:p>
                                <w:p>
                                  <w:pPr>
                                    <w:pStyle w:val="12"/>
                                    <w:spacing w:before="232"/>
                                    <w:ind w:left="286"/>
                                    <w:rPr>
                                      <w:sz w:val="28"/>
                                    </w:rPr>
                                  </w:pPr>
                                  <w:bookmarkStart w:id="152" w:name="8"/>
                                  <w:bookmarkEnd w:id="152"/>
                                  <w:bookmarkStart w:id="153" w:name="鞍山"/>
                                  <w:bookmarkEnd w:id="153"/>
                                  <w:bookmarkStart w:id="154" w:name="9"/>
                                  <w:bookmarkEnd w:id="154"/>
                                  <w:r>
                                    <w:rPr>
                                      <w:sz w:val="28"/>
                                    </w:rPr>
                                    <w:t>鞍山</w:t>
                                  </w:r>
                                </w:p>
                              </w:tc>
                              <w:tc>
                                <w:tcPr>
                                  <w:tcW w:w="6856" w:type="dxa"/>
                                </w:tcPr>
                                <w:p>
                                  <w:pPr>
                                    <w:pStyle w:val="12"/>
                                    <w:spacing w:before="107"/>
                                    <w:ind w:left="526" w:right="519"/>
                                    <w:jc w:val="center"/>
                                    <w:rPr>
                                      <w:sz w:val="32"/>
                                      <w:lang w:eastAsia="zh-CN"/>
                                    </w:rPr>
                                  </w:pPr>
                                  <w:r>
                                    <w:rPr>
                                      <w:sz w:val="32"/>
                                      <w:lang w:eastAsia="zh-CN"/>
                                    </w:rPr>
                                    <w:t>鞍山农村商业银行股份有限公司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868" w:type="dxa"/>
                                </w:tcPr>
                                <w:p>
                                  <w:pPr>
                                    <w:pStyle w:val="12"/>
                                    <w:spacing w:before="151"/>
                                    <w:ind w:left="12"/>
                                    <w:jc w:val="center"/>
                                    <w:rPr>
                                      <w:rFonts w:ascii="Times New Roman"/>
                                      <w:sz w:val="28"/>
                                    </w:rPr>
                                  </w:pPr>
                                  <w:r>
                                    <w:rPr>
                                      <w:rFonts w:ascii="Times New Roman"/>
                                      <w:sz w:val="28"/>
                                    </w:rPr>
                                    <w:t>8</w:t>
                                  </w:r>
                                </w:p>
                              </w:tc>
                              <w:tc>
                                <w:tcPr>
                                  <w:tcW w:w="1134" w:type="dxa"/>
                                  <w:vMerge w:val="continue"/>
                                  <w:tcBorders>
                                    <w:top w:val="nil"/>
                                  </w:tcBorders>
                                </w:tcPr>
                                <w:p>
                                  <w:pPr>
                                    <w:rPr>
                                      <w:sz w:val="2"/>
                                      <w:szCs w:val="2"/>
                                    </w:rPr>
                                  </w:pPr>
                                </w:p>
                              </w:tc>
                              <w:tc>
                                <w:tcPr>
                                  <w:tcW w:w="6856" w:type="dxa"/>
                                </w:tcPr>
                                <w:p>
                                  <w:pPr>
                                    <w:pStyle w:val="12"/>
                                    <w:spacing w:before="107"/>
                                    <w:ind w:left="526" w:right="517"/>
                                    <w:jc w:val="center"/>
                                    <w:rPr>
                                      <w:sz w:val="32"/>
                                      <w:lang w:eastAsia="zh-CN"/>
                                    </w:rPr>
                                  </w:pPr>
                                  <w:bookmarkStart w:id="155" w:name="辽宁岫岩农村商业银行股份有限公司"/>
                                  <w:bookmarkEnd w:id="155"/>
                                  <w:r>
                                    <w:rPr>
                                      <w:sz w:val="32"/>
                                      <w:lang w:eastAsia="zh-CN"/>
                                    </w:rPr>
                                    <w:t>辽宁岫岩农村商业银行股份有限公司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868" w:type="dxa"/>
                                </w:tcPr>
                                <w:p>
                                  <w:pPr>
                                    <w:pStyle w:val="12"/>
                                    <w:spacing w:before="150"/>
                                    <w:ind w:left="12"/>
                                    <w:jc w:val="center"/>
                                    <w:rPr>
                                      <w:rFonts w:ascii="Times New Roman"/>
                                      <w:sz w:val="28"/>
                                    </w:rPr>
                                  </w:pPr>
                                  <w:r>
                                    <w:rPr>
                                      <w:rFonts w:ascii="Times New Roman"/>
                                      <w:sz w:val="28"/>
                                    </w:rPr>
                                    <w:t>9</w:t>
                                  </w:r>
                                </w:p>
                              </w:tc>
                              <w:tc>
                                <w:tcPr>
                                  <w:tcW w:w="1134" w:type="dxa"/>
                                  <w:vMerge w:val="continue"/>
                                  <w:tcBorders>
                                    <w:top w:val="nil"/>
                                  </w:tcBorders>
                                </w:tcPr>
                                <w:p>
                                  <w:pPr>
                                    <w:rPr>
                                      <w:sz w:val="2"/>
                                      <w:szCs w:val="2"/>
                                    </w:rPr>
                                  </w:pPr>
                                </w:p>
                              </w:tc>
                              <w:tc>
                                <w:tcPr>
                                  <w:tcW w:w="6856" w:type="dxa"/>
                                </w:tcPr>
                                <w:p>
                                  <w:pPr>
                                    <w:pStyle w:val="12"/>
                                    <w:spacing w:before="109"/>
                                    <w:ind w:left="526" w:right="519"/>
                                    <w:jc w:val="center"/>
                                    <w:rPr>
                                      <w:sz w:val="32"/>
                                      <w:lang w:eastAsia="zh-CN"/>
                                    </w:rPr>
                                  </w:pPr>
                                  <w:bookmarkStart w:id="156" w:name="台安县农村信用合作联社"/>
                                  <w:bookmarkEnd w:id="156"/>
                                  <w:r>
                                    <w:rPr>
                                      <w:sz w:val="32"/>
                                      <w:lang w:eastAsia="zh-CN"/>
                                    </w:rPr>
                                    <w:t>台安县农村信用合作联社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868" w:type="dxa"/>
                                </w:tcPr>
                                <w:p>
                                  <w:pPr>
                                    <w:pStyle w:val="12"/>
                                    <w:spacing w:before="150"/>
                                    <w:ind w:left="131" w:right="122"/>
                                    <w:jc w:val="center"/>
                                    <w:rPr>
                                      <w:rFonts w:ascii="Times New Roman"/>
                                      <w:sz w:val="28"/>
                                    </w:rPr>
                                  </w:pPr>
                                  <w:bookmarkStart w:id="157" w:name="10"/>
                                  <w:bookmarkEnd w:id="157"/>
                                  <w:r>
                                    <w:rPr>
                                      <w:rFonts w:ascii="Times New Roman"/>
                                      <w:sz w:val="28"/>
                                    </w:rPr>
                                    <w:t>10</w:t>
                                  </w:r>
                                </w:p>
                              </w:tc>
                              <w:tc>
                                <w:tcPr>
                                  <w:tcW w:w="1134" w:type="dxa"/>
                                  <w:vMerge w:val="continue"/>
                                  <w:tcBorders>
                                    <w:top w:val="nil"/>
                                  </w:tcBorders>
                                </w:tcPr>
                                <w:p>
                                  <w:pPr>
                                    <w:rPr>
                                      <w:sz w:val="2"/>
                                      <w:szCs w:val="2"/>
                                    </w:rPr>
                                  </w:pPr>
                                </w:p>
                              </w:tc>
                              <w:tc>
                                <w:tcPr>
                                  <w:tcW w:w="6856" w:type="dxa"/>
                                </w:tcPr>
                                <w:p>
                                  <w:pPr>
                                    <w:pStyle w:val="12"/>
                                    <w:spacing w:before="108"/>
                                    <w:ind w:left="526" w:right="517"/>
                                    <w:jc w:val="center"/>
                                    <w:rPr>
                                      <w:sz w:val="32"/>
                                      <w:lang w:eastAsia="zh-CN"/>
                                    </w:rPr>
                                  </w:pPr>
                                  <w:bookmarkStart w:id="158" w:name="辽宁海城农村商业银行股份有限公司"/>
                                  <w:bookmarkEnd w:id="158"/>
                                  <w:r>
                                    <w:rPr>
                                      <w:sz w:val="32"/>
                                      <w:lang w:eastAsia="zh-CN"/>
                                    </w:rPr>
                                    <w:t>辽宁海城农村商业银行股份有限公司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868" w:type="dxa"/>
                                </w:tcPr>
                                <w:p>
                                  <w:pPr>
                                    <w:pStyle w:val="12"/>
                                    <w:spacing w:before="149"/>
                                    <w:ind w:left="131" w:right="122"/>
                                    <w:jc w:val="center"/>
                                    <w:rPr>
                                      <w:rFonts w:ascii="Times New Roman"/>
                                      <w:sz w:val="28"/>
                                    </w:rPr>
                                  </w:pPr>
                                  <w:bookmarkStart w:id="159" w:name="11"/>
                                  <w:bookmarkEnd w:id="159"/>
                                  <w:r>
                                    <w:rPr>
                                      <w:rFonts w:ascii="Times New Roman"/>
                                      <w:sz w:val="28"/>
                                    </w:rPr>
                                    <w:t>11</w:t>
                                  </w:r>
                                </w:p>
                              </w:tc>
                              <w:tc>
                                <w:tcPr>
                                  <w:tcW w:w="1134" w:type="dxa"/>
                                  <w:vMerge w:val="restart"/>
                                </w:tcPr>
                                <w:p>
                                  <w:pPr>
                                    <w:pStyle w:val="12"/>
                                    <w:rPr>
                                      <w:sz w:val="28"/>
                                    </w:rPr>
                                  </w:pPr>
                                </w:p>
                                <w:p>
                                  <w:pPr>
                                    <w:pStyle w:val="12"/>
                                    <w:rPr>
                                      <w:sz w:val="28"/>
                                    </w:rPr>
                                  </w:pPr>
                                </w:p>
                                <w:p>
                                  <w:pPr>
                                    <w:pStyle w:val="12"/>
                                    <w:spacing w:before="2"/>
                                    <w:rPr>
                                      <w:sz w:val="40"/>
                                    </w:rPr>
                                  </w:pPr>
                                </w:p>
                                <w:p>
                                  <w:pPr>
                                    <w:pStyle w:val="12"/>
                                    <w:ind w:left="286"/>
                                    <w:rPr>
                                      <w:sz w:val="28"/>
                                    </w:rPr>
                                  </w:pPr>
                                  <w:bookmarkStart w:id="160" w:name="抚顺"/>
                                  <w:bookmarkEnd w:id="160"/>
                                  <w:bookmarkStart w:id="161" w:name="12"/>
                                  <w:bookmarkEnd w:id="161"/>
                                  <w:bookmarkStart w:id="162" w:name="13"/>
                                  <w:bookmarkEnd w:id="162"/>
                                  <w:r>
                                    <w:rPr>
                                      <w:sz w:val="28"/>
                                    </w:rPr>
                                    <w:t>抚顺</w:t>
                                  </w:r>
                                </w:p>
                              </w:tc>
                              <w:tc>
                                <w:tcPr>
                                  <w:tcW w:w="6856" w:type="dxa"/>
                                </w:tcPr>
                                <w:p>
                                  <w:pPr>
                                    <w:pStyle w:val="12"/>
                                    <w:spacing w:before="107"/>
                                    <w:ind w:left="526" w:right="519"/>
                                    <w:jc w:val="center"/>
                                    <w:rPr>
                                      <w:sz w:val="32"/>
                                      <w:lang w:eastAsia="zh-CN"/>
                                    </w:rPr>
                                  </w:pPr>
                                  <w:r>
                                    <w:rPr>
                                      <w:sz w:val="32"/>
                                      <w:lang w:eastAsia="zh-CN"/>
                                    </w:rPr>
                                    <w:t>抚顺县农村信用合作联社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868" w:type="dxa"/>
                                </w:tcPr>
                                <w:p>
                                  <w:pPr>
                                    <w:pStyle w:val="12"/>
                                    <w:spacing w:before="151"/>
                                    <w:ind w:left="131" w:right="122"/>
                                    <w:jc w:val="center"/>
                                    <w:rPr>
                                      <w:rFonts w:ascii="Times New Roman"/>
                                      <w:sz w:val="28"/>
                                    </w:rPr>
                                  </w:pPr>
                                  <w:r>
                                    <w:rPr>
                                      <w:rFonts w:ascii="Times New Roman"/>
                                      <w:sz w:val="28"/>
                                    </w:rPr>
                                    <w:t>12</w:t>
                                  </w:r>
                                </w:p>
                              </w:tc>
                              <w:tc>
                                <w:tcPr>
                                  <w:tcW w:w="1134" w:type="dxa"/>
                                  <w:vMerge w:val="continue"/>
                                  <w:tcBorders>
                                    <w:top w:val="nil"/>
                                  </w:tcBorders>
                                </w:tcPr>
                                <w:p>
                                  <w:pPr>
                                    <w:rPr>
                                      <w:sz w:val="2"/>
                                      <w:szCs w:val="2"/>
                                    </w:rPr>
                                  </w:pPr>
                                </w:p>
                              </w:tc>
                              <w:tc>
                                <w:tcPr>
                                  <w:tcW w:w="6856" w:type="dxa"/>
                                </w:tcPr>
                                <w:p>
                                  <w:pPr>
                                    <w:pStyle w:val="12"/>
                                    <w:spacing w:before="107"/>
                                    <w:ind w:left="526" w:right="519"/>
                                    <w:jc w:val="center"/>
                                    <w:rPr>
                                      <w:sz w:val="32"/>
                                      <w:lang w:eastAsia="zh-CN"/>
                                    </w:rPr>
                                  </w:pPr>
                                  <w:bookmarkStart w:id="163" w:name="抚顺市顺城区农村信用合作联社"/>
                                  <w:bookmarkEnd w:id="163"/>
                                  <w:r>
                                    <w:rPr>
                                      <w:sz w:val="32"/>
                                      <w:lang w:eastAsia="zh-CN"/>
                                    </w:rPr>
                                    <w:t>抚顺市顺城区农村信用合作联社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868" w:type="dxa"/>
                                </w:tcPr>
                                <w:p>
                                  <w:pPr>
                                    <w:pStyle w:val="12"/>
                                    <w:spacing w:before="150"/>
                                    <w:ind w:left="131" w:right="122"/>
                                    <w:jc w:val="center"/>
                                    <w:rPr>
                                      <w:rFonts w:ascii="Times New Roman"/>
                                      <w:sz w:val="28"/>
                                    </w:rPr>
                                  </w:pPr>
                                  <w:r>
                                    <w:rPr>
                                      <w:rFonts w:ascii="Times New Roman"/>
                                      <w:sz w:val="28"/>
                                    </w:rPr>
                                    <w:t>13</w:t>
                                  </w:r>
                                </w:p>
                              </w:tc>
                              <w:tc>
                                <w:tcPr>
                                  <w:tcW w:w="1134" w:type="dxa"/>
                                  <w:vMerge w:val="continue"/>
                                  <w:tcBorders>
                                    <w:top w:val="nil"/>
                                  </w:tcBorders>
                                </w:tcPr>
                                <w:p>
                                  <w:pPr>
                                    <w:rPr>
                                      <w:sz w:val="2"/>
                                      <w:szCs w:val="2"/>
                                    </w:rPr>
                                  </w:pPr>
                                </w:p>
                              </w:tc>
                              <w:tc>
                                <w:tcPr>
                                  <w:tcW w:w="6856" w:type="dxa"/>
                                </w:tcPr>
                                <w:p>
                                  <w:pPr>
                                    <w:pStyle w:val="12"/>
                                    <w:spacing w:before="109"/>
                                    <w:ind w:left="526" w:right="517"/>
                                    <w:jc w:val="center"/>
                                    <w:rPr>
                                      <w:sz w:val="32"/>
                                      <w:lang w:eastAsia="zh-CN"/>
                                    </w:rPr>
                                  </w:pPr>
                                  <w:bookmarkStart w:id="164" w:name="辽宁清原农村商业银行股份有限公司"/>
                                  <w:bookmarkEnd w:id="164"/>
                                  <w:r>
                                    <w:rPr>
                                      <w:sz w:val="32"/>
                                      <w:lang w:eastAsia="zh-CN"/>
                                    </w:rPr>
                                    <w:t>辽宁清原农村商业银行股份有限公司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868" w:type="dxa"/>
                                </w:tcPr>
                                <w:p>
                                  <w:pPr>
                                    <w:pStyle w:val="12"/>
                                    <w:spacing w:before="150"/>
                                    <w:ind w:left="131" w:right="122"/>
                                    <w:jc w:val="center"/>
                                    <w:rPr>
                                      <w:rFonts w:ascii="Times New Roman"/>
                                      <w:sz w:val="28"/>
                                    </w:rPr>
                                  </w:pPr>
                                  <w:bookmarkStart w:id="165" w:name="14"/>
                                  <w:bookmarkEnd w:id="165"/>
                                  <w:r>
                                    <w:rPr>
                                      <w:rFonts w:ascii="Times New Roman"/>
                                      <w:sz w:val="28"/>
                                    </w:rPr>
                                    <w:t>14</w:t>
                                  </w:r>
                                </w:p>
                              </w:tc>
                              <w:tc>
                                <w:tcPr>
                                  <w:tcW w:w="1134" w:type="dxa"/>
                                  <w:vMerge w:val="continue"/>
                                  <w:tcBorders>
                                    <w:top w:val="nil"/>
                                  </w:tcBorders>
                                </w:tcPr>
                                <w:p>
                                  <w:pPr>
                                    <w:rPr>
                                      <w:sz w:val="2"/>
                                      <w:szCs w:val="2"/>
                                    </w:rPr>
                                  </w:pPr>
                                </w:p>
                              </w:tc>
                              <w:tc>
                                <w:tcPr>
                                  <w:tcW w:w="6856" w:type="dxa"/>
                                </w:tcPr>
                                <w:p>
                                  <w:pPr>
                                    <w:pStyle w:val="12"/>
                                    <w:spacing w:before="108"/>
                                    <w:ind w:left="526" w:right="517"/>
                                    <w:jc w:val="center"/>
                                    <w:rPr>
                                      <w:sz w:val="32"/>
                                      <w:lang w:eastAsia="zh-CN"/>
                                    </w:rPr>
                                  </w:pPr>
                                  <w:bookmarkStart w:id="166" w:name="辽宁新宾农村商业银行股份有限公司"/>
                                  <w:bookmarkEnd w:id="166"/>
                                  <w:r>
                                    <w:rPr>
                                      <w:sz w:val="32"/>
                                      <w:lang w:eastAsia="zh-CN"/>
                                    </w:rPr>
                                    <w:t>辽宁新宾农村商业银行股份有限公司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68" w:type="dxa"/>
                                </w:tcPr>
                                <w:p>
                                  <w:pPr>
                                    <w:pStyle w:val="12"/>
                                    <w:spacing w:before="149"/>
                                    <w:ind w:left="131" w:right="122"/>
                                    <w:jc w:val="center"/>
                                    <w:rPr>
                                      <w:rFonts w:ascii="Times New Roman"/>
                                      <w:sz w:val="28"/>
                                    </w:rPr>
                                  </w:pPr>
                                  <w:bookmarkStart w:id="167" w:name="15"/>
                                  <w:bookmarkEnd w:id="167"/>
                                  <w:r>
                                    <w:rPr>
                                      <w:rFonts w:ascii="Times New Roman"/>
                                      <w:sz w:val="28"/>
                                    </w:rPr>
                                    <w:t>15</w:t>
                                  </w:r>
                                </w:p>
                              </w:tc>
                              <w:tc>
                                <w:tcPr>
                                  <w:tcW w:w="1134" w:type="dxa"/>
                                  <w:vMerge w:val="continue"/>
                                  <w:tcBorders>
                                    <w:top w:val="nil"/>
                                  </w:tcBorders>
                                </w:tcPr>
                                <w:p>
                                  <w:pPr>
                                    <w:rPr>
                                      <w:sz w:val="2"/>
                                      <w:szCs w:val="2"/>
                                    </w:rPr>
                                  </w:pPr>
                                </w:p>
                              </w:tc>
                              <w:tc>
                                <w:tcPr>
                                  <w:tcW w:w="6856" w:type="dxa"/>
                                </w:tcPr>
                                <w:p>
                                  <w:pPr>
                                    <w:pStyle w:val="12"/>
                                    <w:spacing w:before="107"/>
                                    <w:ind w:left="526" w:right="517"/>
                                    <w:jc w:val="center"/>
                                    <w:rPr>
                                      <w:sz w:val="32"/>
                                      <w:lang w:eastAsia="zh-CN"/>
                                    </w:rPr>
                                  </w:pPr>
                                  <w:bookmarkStart w:id="168" w:name="辽宁沈抚农村商业银行股份有限公司"/>
                                  <w:bookmarkEnd w:id="168"/>
                                  <w:r>
                                    <w:rPr>
                                      <w:sz w:val="32"/>
                                      <w:lang w:eastAsia="zh-CN"/>
                                    </w:rPr>
                                    <w:t>辽宁沈抚农村商业银行股份有限公司</w:t>
                                  </w:r>
                                </w:p>
                              </w:tc>
                            </w:tr>
                          </w:tbl>
                          <w:p>
                            <w:pPr>
                              <w:pStyle w:val="5"/>
                              <w:ind w:left="0"/>
                              <w:rPr>
                                <w:lang w:eastAsia="zh-CN"/>
                              </w:rPr>
                            </w:pPr>
                          </w:p>
                        </w:txbxContent>
                      </wps:txbx>
                      <wps:bodyPr lIns="0" tIns="0" rIns="0" bIns="0" upright="1"/>
                    </wps:wsp>
                  </a:graphicData>
                </a:graphic>
              </wp:anchor>
            </w:drawing>
          </mc:Choice>
          <mc:Fallback>
            <w:pict>
              <v:shape id="文本框 2" o:spid="_x0000_s1026" o:spt="202" type="#_x0000_t202" style="position:absolute;left:0pt;margin-left:88.9pt;margin-top:183.6pt;height:454pt;width:443.65pt;mso-position-horizontal-relative:page;z-index:251659264;mso-width-relative:page;mso-height-relative:page;" filled="f" stroked="f" coordsize="21600,21600" o:gfxdata="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dhe/ptsAAAANAQAADwAAAAAAAAABACAAAAAiAAAAZHJzL2Rvd25yZXYueG1s&#10;UEsBAhQAFAAAAAgAh07iQB/L/yy8AQAAcwMAAA4AAAAAAAAAAQAgAAAAKgEAAGRycy9lMm9Eb2Mu&#10;eG1sUEsFBgAAAAAGAAYAWQEAAFgFAAAAAA==&#10;">
                <v:fill on="f" focussize="0,0"/>
                <v:stroke on="f"/>
                <v:imagedata o:title=""/>
                <o:lock v:ext="edit" aspectratio="f"/>
                <v:textbox inset="0mm,0mm,0mm,0mm">
                  <w:txbxContent>
                    <w:tbl>
                      <w:tblPr>
                        <w:tblStyle w:val="10"/>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8"/>
                        <w:gridCol w:w="1134"/>
                        <w:gridCol w:w="68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868" w:type="dxa"/>
                            <w:shd w:val="clear" w:color="auto" w:fill="D7D7D7"/>
                          </w:tcPr>
                          <w:p>
                            <w:pPr>
                              <w:pStyle w:val="12"/>
                              <w:spacing w:before="133"/>
                              <w:ind w:left="132" w:right="122"/>
                              <w:jc w:val="center"/>
                              <w:rPr>
                                <w:b/>
                                <w:sz w:val="28"/>
                              </w:rPr>
                            </w:pPr>
                            <w:r>
                              <w:rPr>
                                <w:b/>
                                <w:sz w:val="28"/>
                              </w:rPr>
                              <w:t>序号</w:t>
                            </w:r>
                          </w:p>
                        </w:tc>
                        <w:tc>
                          <w:tcPr>
                            <w:tcW w:w="1134" w:type="dxa"/>
                            <w:shd w:val="clear" w:color="auto" w:fill="D7D7D7"/>
                          </w:tcPr>
                          <w:p>
                            <w:pPr>
                              <w:pStyle w:val="12"/>
                              <w:spacing w:before="133"/>
                              <w:ind w:left="286"/>
                              <w:rPr>
                                <w:b/>
                                <w:sz w:val="28"/>
                              </w:rPr>
                            </w:pPr>
                            <w:r>
                              <w:rPr>
                                <w:b/>
                                <w:sz w:val="28"/>
                              </w:rPr>
                              <w:t>地市</w:t>
                            </w:r>
                          </w:p>
                        </w:tc>
                        <w:tc>
                          <w:tcPr>
                            <w:tcW w:w="6856" w:type="dxa"/>
                            <w:shd w:val="clear" w:color="auto" w:fill="D7D7D7"/>
                          </w:tcPr>
                          <w:p>
                            <w:pPr>
                              <w:pStyle w:val="12"/>
                              <w:spacing w:before="133"/>
                              <w:ind w:left="526" w:right="519"/>
                              <w:jc w:val="center"/>
                              <w:rPr>
                                <w:b/>
                                <w:sz w:val="28"/>
                              </w:rPr>
                            </w:pPr>
                            <w:r>
                              <w:rPr>
                                <w:b/>
                                <w:sz w:val="28"/>
                              </w:rPr>
                              <w:t>机构名称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868" w:type="dxa"/>
                          </w:tcPr>
                          <w:p>
                            <w:pPr>
                              <w:pStyle w:val="12"/>
                              <w:spacing w:before="150"/>
                              <w:ind w:left="12"/>
                              <w:jc w:val="center"/>
                              <w:rPr>
                                <w:rFonts w:ascii="Times New Roman"/>
                                <w:sz w:val="28"/>
                              </w:rPr>
                            </w:pPr>
                            <w:bookmarkStart w:id="138" w:name="1"/>
                            <w:bookmarkEnd w:id="138"/>
                            <w:r>
                              <w:rPr>
                                <w:rFonts w:ascii="Times New Roman"/>
                                <w:sz w:val="28"/>
                              </w:rPr>
                              <w:t>1</w:t>
                            </w:r>
                          </w:p>
                        </w:tc>
                        <w:tc>
                          <w:tcPr>
                            <w:tcW w:w="1134" w:type="dxa"/>
                            <w:vMerge w:val="restart"/>
                          </w:tcPr>
                          <w:p>
                            <w:pPr>
                              <w:pStyle w:val="12"/>
                              <w:rPr>
                                <w:sz w:val="28"/>
                              </w:rPr>
                            </w:pPr>
                          </w:p>
                          <w:p>
                            <w:pPr>
                              <w:pStyle w:val="12"/>
                              <w:rPr>
                                <w:sz w:val="28"/>
                              </w:rPr>
                            </w:pPr>
                          </w:p>
                          <w:p>
                            <w:pPr>
                              <w:pStyle w:val="12"/>
                              <w:rPr>
                                <w:sz w:val="28"/>
                              </w:rPr>
                            </w:pPr>
                          </w:p>
                          <w:p>
                            <w:pPr>
                              <w:pStyle w:val="12"/>
                              <w:spacing w:before="5"/>
                              <w:rPr>
                                <w:sz w:val="34"/>
                              </w:rPr>
                            </w:pPr>
                          </w:p>
                          <w:p>
                            <w:pPr>
                              <w:pStyle w:val="12"/>
                              <w:ind w:left="286"/>
                              <w:rPr>
                                <w:sz w:val="28"/>
                              </w:rPr>
                            </w:pPr>
                            <w:bookmarkStart w:id="139" w:name="沈阳"/>
                            <w:bookmarkEnd w:id="139"/>
                            <w:bookmarkStart w:id="140" w:name="3"/>
                            <w:bookmarkEnd w:id="140"/>
                            <w:bookmarkStart w:id="141" w:name="4"/>
                            <w:bookmarkEnd w:id="141"/>
                            <w:bookmarkStart w:id="142" w:name="2"/>
                            <w:bookmarkEnd w:id="142"/>
                            <w:r>
                              <w:rPr>
                                <w:sz w:val="28"/>
                              </w:rPr>
                              <w:t>沈阳</w:t>
                            </w:r>
                          </w:p>
                        </w:tc>
                        <w:tc>
                          <w:tcPr>
                            <w:tcW w:w="6856" w:type="dxa"/>
                          </w:tcPr>
                          <w:p>
                            <w:pPr>
                              <w:pStyle w:val="12"/>
                              <w:spacing w:before="132"/>
                              <w:ind w:left="526" w:right="514"/>
                              <w:jc w:val="center"/>
                              <w:rPr>
                                <w:sz w:val="28"/>
                                <w:lang w:eastAsia="zh-CN"/>
                              </w:rPr>
                            </w:pPr>
                            <w:bookmarkStart w:id="143" w:name="沈阳农村商业银行股份有限公司"/>
                            <w:bookmarkEnd w:id="143"/>
                            <w:r>
                              <w:rPr>
                                <w:sz w:val="28"/>
                                <w:lang w:eastAsia="zh-CN"/>
                              </w:rPr>
                              <w:t>沈阳农村商业银行股份有限公司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868" w:type="dxa"/>
                          </w:tcPr>
                          <w:p>
                            <w:pPr>
                              <w:pStyle w:val="12"/>
                              <w:spacing w:before="150"/>
                              <w:ind w:left="12"/>
                              <w:jc w:val="center"/>
                              <w:rPr>
                                <w:rFonts w:ascii="Times New Roman"/>
                                <w:sz w:val="28"/>
                              </w:rPr>
                            </w:pPr>
                            <w:r>
                              <w:rPr>
                                <w:rFonts w:ascii="Times New Roman"/>
                                <w:sz w:val="28"/>
                              </w:rPr>
                              <w:t>2</w:t>
                            </w:r>
                          </w:p>
                        </w:tc>
                        <w:tc>
                          <w:tcPr>
                            <w:tcW w:w="1134" w:type="dxa"/>
                            <w:vMerge w:val="continue"/>
                            <w:tcBorders>
                              <w:top w:val="nil"/>
                            </w:tcBorders>
                          </w:tcPr>
                          <w:p>
                            <w:pPr>
                              <w:rPr>
                                <w:sz w:val="2"/>
                                <w:szCs w:val="2"/>
                              </w:rPr>
                            </w:pPr>
                          </w:p>
                        </w:tc>
                        <w:tc>
                          <w:tcPr>
                            <w:tcW w:w="6856" w:type="dxa"/>
                          </w:tcPr>
                          <w:p>
                            <w:pPr>
                              <w:pStyle w:val="12"/>
                              <w:spacing w:before="108"/>
                              <w:ind w:left="526" w:right="519"/>
                              <w:jc w:val="center"/>
                              <w:rPr>
                                <w:sz w:val="32"/>
                                <w:lang w:eastAsia="zh-CN"/>
                              </w:rPr>
                            </w:pPr>
                            <w:bookmarkStart w:id="144" w:name="沈阳市苏家屯区农村信用合作联社"/>
                            <w:bookmarkEnd w:id="144"/>
                            <w:r>
                              <w:rPr>
                                <w:sz w:val="32"/>
                                <w:lang w:eastAsia="zh-CN"/>
                              </w:rPr>
                              <w:t>沈阳市苏家屯区农村信用合作联社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868" w:type="dxa"/>
                          </w:tcPr>
                          <w:p>
                            <w:pPr>
                              <w:pStyle w:val="12"/>
                              <w:spacing w:before="149"/>
                              <w:ind w:left="12"/>
                              <w:jc w:val="center"/>
                              <w:rPr>
                                <w:rFonts w:ascii="Times New Roman"/>
                                <w:sz w:val="28"/>
                              </w:rPr>
                            </w:pPr>
                            <w:r>
                              <w:rPr>
                                <w:rFonts w:ascii="Times New Roman"/>
                                <w:sz w:val="28"/>
                              </w:rPr>
                              <w:t>3</w:t>
                            </w:r>
                          </w:p>
                        </w:tc>
                        <w:tc>
                          <w:tcPr>
                            <w:tcW w:w="1134" w:type="dxa"/>
                            <w:vMerge w:val="continue"/>
                            <w:tcBorders>
                              <w:top w:val="nil"/>
                            </w:tcBorders>
                          </w:tcPr>
                          <w:p>
                            <w:pPr>
                              <w:rPr>
                                <w:sz w:val="2"/>
                                <w:szCs w:val="2"/>
                              </w:rPr>
                            </w:pPr>
                          </w:p>
                        </w:tc>
                        <w:tc>
                          <w:tcPr>
                            <w:tcW w:w="6856" w:type="dxa"/>
                          </w:tcPr>
                          <w:p>
                            <w:pPr>
                              <w:pStyle w:val="12"/>
                              <w:spacing w:before="107"/>
                              <w:ind w:left="526" w:right="517"/>
                              <w:jc w:val="center"/>
                              <w:rPr>
                                <w:sz w:val="32"/>
                                <w:lang w:eastAsia="zh-CN"/>
                              </w:rPr>
                            </w:pPr>
                            <w:bookmarkStart w:id="145" w:name="辽宁新民农村商业银行股份有限公司"/>
                            <w:bookmarkEnd w:id="145"/>
                            <w:r>
                              <w:rPr>
                                <w:sz w:val="32"/>
                                <w:lang w:eastAsia="zh-CN"/>
                              </w:rPr>
                              <w:t>辽宁新民农村商业银行股份有限公司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868" w:type="dxa"/>
                          </w:tcPr>
                          <w:p>
                            <w:pPr>
                              <w:pStyle w:val="12"/>
                              <w:spacing w:before="151"/>
                              <w:ind w:left="12"/>
                              <w:jc w:val="center"/>
                              <w:rPr>
                                <w:rFonts w:ascii="Times New Roman"/>
                                <w:sz w:val="28"/>
                              </w:rPr>
                            </w:pPr>
                            <w:r>
                              <w:rPr>
                                <w:rFonts w:ascii="Times New Roman"/>
                                <w:sz w:val="28"/>
                              </w:rPr>
                              <w:t>4</w:t>
                            </w:r>
                          </w:p>
                        </w:tc>
                        <w:tc>
                          <w:tcPr>
                            <w:tcW w:w="1134" w:type="dxa"/>
                            <w:vMerge w:val="continue"/>
                            <w:tcBorders>
                              <w:top w:val="nil"/>
                            </w:tcBorders>
                          </w:tcPr>
                          <w:p>
                            <w:pPr>
                              <w:rPr>
                                <w:sz w:val="2"/>
                                <w:szCs w:val="2"/>
                              </w:rPr>
                            </w:pPr>
                          </w:p>
                        </w:tc>
                        <w:tc>
                          <w:tcPr>
                            <w:tcW w:w="6856" w:type="dxa"/>
                          </w:tcPr>
                          <w:p>
                            <w:pPr>
                              <w:pStyle w:val="12"/>
                              <w:spacing w:before="107"/>
                              <w:ind w:left="526" w:right="519"/>
                              <w:jc w:val="center"/>
                              <w:rPr>
                                <w:sz w:val="32"/>
                                <w:lang w:eastAsia="zh-CN"/>
                              </w:rPr>
                            </w:pPr>
                            <w:bookmarkStart w:id="146" w:name="辽中县农村信用合作联社"/>
                            <w:bookmarkEnd w:id="146"/>
                            <w:r>
                              <w:rPr>
                                <w:sz w:val="32"/>
                                <w:lang w:eastAsia="zh-CN"/>
                              </w:rPr>
                              <w:t>辽中县农村信用合作联社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868" w:type="dxa"/>
                          </w:tcPr>
                          <w:p>
                            <w:pPr>
                              <w:pStyle w:val="12"/>
                              <w:spacing w:before="150"/>
                              <w:ind w:left="12"/>
                              <w:jc w:val="center"/>
                              <w:rPr>
                                <w:rFonts w:ascii="Times New Roman"/>
                                <w:sz w:val="28"/>
                              </w:rPr>
                            </w:pPr>
                            <w:bookmarkStart w:id="147" w:name="5"/>
                            <w:bookmarkEnd w:id="147"/>
                            <w:r>
                              <w:rPr>
                                <w:rFonts w:ascii="Times New Roman"/>
                                <w:sz w:val="28"/>
                              </w:rPr>
                              <w:t>5</w:t>
                            </w:r>
                          </w:p>
                        </w:tc>
                        <w:tc>
                          <w:tcPr>
                            <w:tcW w:w="1134" w:type="dxa"/>
                            <w:vMerge w:val="continue"/>
                            <w:tcBorders>
                              <w:top w:val="nil"/>
                            </w:tcBorders>
                          </w:tcPr>
                          <w:p>
                            <w:pPr>
                              <w:rPr>
                                <w:sz w:val="2"/>
                                <w:szCs w:val="2"/>
                              </w:rPr>
                            </w:pPr>
                          </w:p>
                        </w:tc>
                        <w:tc>
                          <w:tcPr>
                            <w:tcW w:w="6856" w:type="dxa"/>
                          </w:tcPr>
                          <w:p>
                            <w:pPr>
                              <w:pStyle w:val="12"/>
                              <w:spacing w:before="109"/>
                              <w:ind w:left="526" w:right="519"/>
                              <w:jc w:val="center"/>
                              <w:rPr>
                                <w:sz w:val="32"/>
                                <w:lang w:eastAsia="zh-CN"/>
                              </w:rPr>
                            </w:pPr>
                            <w:bookmarkStart w:id="148" w:name="康平县农村信用合作联社"/>
                            <w:bookmarkEnd w:id="148"/>
                            <w:r>
                              <w:rPr>
                                <w:sz w:val="32"/>
                                <w:lang w:eastAsia="zh-CN"/>
                              </w:rPr>
                              <w:t>康平县农村信用合作联社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868" w:type="dxa"/>
                          </w:tcPr>
                          <w:p>
                            <w:pPr>
                              <w:pStyle w:val="12"/>
                              <w:spacing w:before="150"/>
                              <w:ind w:left="12"/>
                              <w:jc w:val="center"/>
                              <w:rPr>
                                <w:rFonts w:ascii="Times New Roman"/>
                                <w:sz w:val="28"/>
                              </w:rPr>
                            </w:pPr>
                            <w:bookmarkStart w:id="149" w:name="6"/>
                            <w:bookmarkEnd w:id="149"/>
                            <w:r>
                              <w:rPr>
                                <w:rFonts w:ascii="Times New Roman"/>
                                <w:sz w:val="28"/>
                              </w:rPr>
                              <w:t>6</w:t>
                            </w:r>
                          </w:p>
                        </w:tc>
                        <w:tc>
                          <w:tcPr>
                            <w:tcW w:w="1134" w:type="dxa"/>
                            <w:vMerge w:val="continue"/>
                            <w:tcBorders>
                              <w:top w:val="nil"/>
                            </w:tcBorders>
                          </w:tcPr>
                          <w:p>
                            <w:pPr>
                              <w:rPr>
                                <w:sz w:val="2"/>
                                <w:szCs w:val="2"/>
                              </w:rPr>
                            </w:pPr>
                          </w:p>
                        </w:tc>
                        <w:tc>
                          <w:tcPr>
                            <w:tcW w:w="6856" w:type="dxa"/>
                          </w:tcPr>
                          <w:p>
                            <w:pPr>
                              <w:pStyle w:val="12"/>
                              <w:spacing w:before="108"/>
                              <w:ind w:left="526" w:right="519"/>
                              <w:jc w:val="center"/>
                              <w:rPr>
                                <w:sz w:val="32"/>
                                <w:lang w:eastAsia="zh-CN"/>
                              </w:rPr>
                            </w:pPr>
                            <w:bookmarkStart w:id="150" w:name="法库县农村信用合作联社"/>
                            <w:bookmarkEnd w:id="150"/>
                            <w:r>
                              <w:rPr>
                                <w:sz w:val="32"/>
                                <w:lang w:eastAsia="zh-CN"/>
                              </w:rPr>
                              <w:t>法库县农村信用合作联社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868" w:type="dxa"/>
                          </w:tcPr>
                          <w:p>
                            <w:pPr>
                              <w:pStyle w:val="12"/>
                              <w:spacing w:before="149"/>
                              <w:ind w:left="12"/>
                              <w:jc w:val="center"/>
                              <w:rPr>
                                <w:rFonts w:ascii="Times New Roman"/>
                                <w:sz w:val="28"/>
                              </w:rPr>
                            </w:pPr>
                            <w:bookmarkStart w:id="151" w:name="7"/>
                            <w:bookmarkEnd w:id="151"/>
                            <w:r>
                              <w:rPr>
                                <w:rFonts w:ascii="Times New Roman"/>
                                <w:sz w:val="28"/>
                              </w:rPr>
                              <w:t>7</w:t>
                            </w:r>
                          </w:p>
                        </w:tc>
                        <w:tc>
                          <w:tcPr>
                            <w:tcW w:w="1134" w:type="dxa"/>
                            <w:vMerge w:val="restart"/>
                          </w:tcPr>
                          <w:p>
                            <w:pPr>
                              <w:pStyle w:val="12"/>
                              <w:rPr>
                                <w:sz w:val="28"/>
                              </w:rPr>
                            </w:pPr>
                          </w:p>
                          <w:p>
                            <w:pPr>
                              <w:pStyle w:val="12"/>
                              <w:rPr>
                                <w:sz w:val="28"/>
                              </w:rPr>
                            </w:pPr>
                          </w:p>
                          <w:p>
                            <w:pPr>
                              <w:pStyle w:val="12"/>
                              <w:spacing w:before="232"/>
                              <w:ind w:left="286"/>
                              <w:rPr>
                                <w:sz w:val="28"/>
                              </w:rPr>
                            </w:pPr>
                            <w:bookmarkStart w:id="152" w:name="8"/>
                            <w:bookmarkEnd w:id="152"/>
                            <w:bookmarkStart w:id="153" w:name="鞍山"/>
                            <w:bookmarkEnd w:id="153"/>
                            <w:bookmarkStart w:id="154" w:name="9"/>
                            <w:bookmarkEnd w:id="154"/>
                            <w:r>
                              <w:rPr>
                                <w:sz w:val="28"/>
                              </w:rPr>
                              <w:t>鞍山</w:t>
                            </w:r>
                          </w:p>
                        </w:tc>
                        <w:tc>
                          <w:tcPr>
                            <w:tcW w:w="6856" w:type="dxa"/>
                          </w:tcPr>
                          <w:p>
                            <w:pPr>
                              <w:pStyle w:val="12"/>
                              <w:spacing w:before="107"/>
                              <w:ind w:left="526" w:right="519"/>
                              <w:jc w:val="center"/>
                              <w:rPr>
                                <w:sz w:val="32"/>
                                <w:lang w:eastAsia="zh-CN"/>
                              </w:rPr>
                            </w:pPr>
                            <w:r>
                              <w:rPr>
                                <w:sz w:val="32"/>
                                <w:lang w:eastAsia="zh-CN"/>
                              </w:rPr>
                              <w:t>鞍山农村商业银行股份有限公司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868" w:type="dxa"/>
                          </w:tcPr>
                          <w:p>
                            <w:pPr>
                              <w:pStyle w:val="12"/>
                              <w:spacing w:before="151"/>
                              <w:ind w:left="12"/>
                              <w:jc w:val="center"/>
                              <w:rPr>
                                <w:rFonts w:ascii="Times New Roman"/>
                                <w:sz w:val="28"/>
                              </w:rPr>
                            </w:pPr>
                            <w:r>
                              <w:rPr>
                                <w:rFonts w:ascii="Times New Roman"/>
                                <w:sz w:val="28"/>
                              </w:rPr>
                              <w:t>8</w:t>
                            </w:r>
                          </w:p>
                        </w:tc>
                        <w:tc>
                          <w:tcPr>
                            <w:tcW w:w="1134" w:type="dxa"/>
                            <w:vMerge w:val="continue"/>
                            <w:tcBorders>
                              <w:top w:val="nil"/>
                            </w:tcBorders>
                          </w:tcPr>
                          <w:p>
                            <w:pPr>
                              <w:rPr>
                                <w:sz w:val="2"/>
                                <w:szCs w:val="2"/>
                              </w:rPr>
                            </w:pPr>
                          </w:p>
                        </w:tc>
                        <w:tc>
                          <w:tcPr>
                            <w:tcW w:w="6856" w:type="dxa"/>
                          </w:tcPr>
                          <w:p>
                            <w:pPr>
                              <w:pStyle w:val="12"/>
                              <w:spacing w:before="107"/>
                              <w:ind w:left="526" w:right="517"/>
                              <w:jc w:val="center"/>
                              <w:rPr>
                                <w:sz w:val="32"/>
                                <w:lang w:eastAsia="zh-CN"/>
                              </w:rPr>
                            </w:pPr>
                            <w:bookmarkStart w:id="155" w:name="辽宁岫岩农村商业银行股份有限公司"/>
                            <w:bookmarkEnd w:id="155"/>
                            <w:r>
                              <w:rPr>
                                <w:sz w:val="32"/>
                                <w:lang w:eastAsia="zh-CN"/>
                              </w:rPr>
                              <w:t>辽宁岫岩农村商业银行股份有限公司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868" w:type="dxa"/>
                          </w:tcPr>
                          <w:p>
                            <w:pPr>
                              <w:pStyle w:val="12"/>
                              <w:spacing w:before="150"/>
                              <w:ind w:left="12"/>
                              <w:jc w:val="center"/>
                              <w:rPr>
                                <w:rFonts w:ascii="Times New Roman"/>
                                <w:sz w:val="28"/>
                              </w:rPr>
                            </w:pPr>
                            <w:r>
                              <w:rPr>
                                <w:rFonts w:ascii="Times New Roman"/>
                                <w:sz w:val="28"/>
                              </w:rPr>
                              <w:t>9</w:t>
                            </w:r>
                          </w:p>
                        </w:tc>
                        <w:tc>
                          <w:tcPr>
                            <w:tcW w:w="1134" w:type="dxa"/>
                            <w:vMerge w:val="continue"/>
                            <w:tcBorders>
                              <w:top w:val="nil"/>
                            </w:tcBorders>
                          </w:tcPr>
                          <w:p>
                            <w:pPr>
                              <w:rPr>
                                <w:sz w:val="2"/>
                                <w:szCs w:val="2"/>
                              </w:rPr>
                            </w:pPr>
                          </w:p>
                        </w:tc>
                        <w:tc>
                          <w:tcPr>
                            <w:tcW w:w="6856" w:type="dxa"/>
                          </w:tcPr>
                          <w:p>
                            <w:pPr>
                              <w:pStyle w:val="12"/>
                              <w:spacing w:before="109"/>
                              <w:ind w:left="526" w:right="519"/>
                              <w:jc w:val="center"/>
                              <w:rPr>
                                <w:sz w:val="32"/>
                                <w:lang w:eastAsia="zh-CN"/>
                              </w:rPr>
                            </w:pPr>
                            <w:bookmarkStart w:id="156" w:name="台安县农村信用合作联社"/>
                            <w:bookmarkEnd w:id="156"/>
                            <w:r>
                              <w:rPr>
                                <w:sz w:val="32"/>
                                <w:lang w:eastAsia="zh-CN"/>
                              </w:rPr>
                              <w:t>台安县农村信用合作联社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868" w:type="dxa"/>
                          </w:tcPr>
                          <w:p>
                            <w:pPr>
                              <w:pStyle w:val="12"/>
                              <w:spacing w:before="150"/>
                              <w:ind w:left="131" w:right="122"/>
                              <w:jc w:val="center"/>
                              <w:rPr>
                                <w:rFonts w:ascii="Times New Roman"/>
                                <w:sz w:val="28"/>
                              </w:rPr>
                            </w:pPr>
                            <w:bookmarkStart w:id="157" w:name="10"/>
                            <w:bookmarkEnd w:id="157"/>
                            <w:r>
                              <w:rPr>
                                <w:rFonts w:ascii="Times New Roman"/>
                                <w:sz w:val="28"/>
                              </w:rPr>
                              <w:t>10</w:t>
                            </w:r>
                          </w:p>
                        </w:tc>
                        <w:tc>
                          <w:tcPr>
                            <w:tcW w:w="1134" w:type="dxa"/>
                            <w:vMerge w:val="continue"/>
                            <w:tcBorders>
                              <w:top w:val="nil"/>
                            </w:tcBorders>
                          </w:tcPr>
                          <w:p>
                            <w:pPr>
                              <w:rPr>
                                <w:sz w:val="2"/>
                                <w:szCs w:val="2"/>
                              </w:rPr>
                            </w:pPr>
                          </w:p>
                        </w:tc>
                        <w:tc>
                          <w:tcPr>
                            <w:tcW w:w="6856" w:type="dxa"/>
                          </w:tcPr>
                          <w:p>
                            <w:pPr>
                              <w:pStyle w:val="12"/>
                              <w:spacing w:before="108"/>
                              <w:ind w:left="526" w:right="517"/>
                              <w:jc w:val="center"/>
                              <w:rPr>
                                <w:sz w:val="32"/>
                                <w:lang w:eastAsia="zh-CN"/>
                              </w:rPr>
                            </w:pPr>
                            <w:bookmarkStart w:id="158" w:name="辽宁海城农村商业银行股份有限公司"/>
                            <w:bookmarkEnd w:id="158"/>
                            <w:r>
                              <w:rPr>
                                <w:sz w:val="32"/>
                                <w:lang w:eastAsia="zh-CN"/>
                              </w:rPr>
                              <w:t>辽宁海城农村商业银行股份有限公司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868" w:type="dxa"/>
                          </w:tcPr>
                          <w:p>
                            <w:pPr>
                              <w:pStyle w:val="12"/>
                              <w:spacing w:before="149"/>
                              <w:ind w:left="131" w:right="122"/>
                              <w:jc w:val="center"/>
                              <w:rPr>
                                <w:rFonts w:ascii="Times New Roman"/>
                                <w:sz w:val="28"/>
                              </w:rPr>
                            </w:pPr>
                            <w:bookmarkStart w:id="159" w:name="11"/>
                            <w:bookmarkEnd w:id="159"/>
                            <w:r>
                              <w:rPr>
                                <w:rFonts w:ascii="Times New Roman"/>
                                <w:sz w:val="28"/>
                              </w:rPr>
                              <w:t>11</w:t>
                            </w:r>
                          </w:p>
                        </w:tc>
                        <w:tc>
                          <w:tcPr>
                            <w:tcW w:w="1134" w:type="dxa"/>
                            <w:vMerge w:val="restart"/>
                          </w:tcPr>
                          <w:p>
                            <w:pPr>
                              <w:pStyle w:val="12"/>
                              <w:rPr>
                                <w:sz w:val="28"/>
                              </w:rPr>
                            </w:pPr>
                          </w:p>
                          <w:p>
                            <w:pPr>
                              <w:pStyle w:val="12"/>
                              <w:rPr>
                                <w:sz w:val="28"/>
                              </w:rPr>
                            </w:pPr>
                          </w:p>
                          <w:p>
                            <w:pPr>
                              <w:pStyle w:val="12"/>
                              <w:spacing w:before="2"/>
                              <w:rPr>
                                <w:sz w:val="40"/>
                              </w:rPr>
                            </w:pPr>
                          </w:p>
                          <w:p>
                            <w:pPr>
                              <w:pStyle w:val="12"/>
                              <w:ind w:left="286"/>
                              <w:rPr>
                                <w:sz w:val="28"/>
                              </w:rPr>
                            </w:pPr>
                            <w:bookmarkStart w:id="160" w:name="抚顺"/>
                            <w:bookmarkEnd w:id="160"/>
                            <w:bookmarkStart w:id="161" w:name="12"/>
                            <w:bookmarkEnd w:id="161"/>
                            <w:bookmarkStart w:id="162" w:name="13"/>
                            <w:bookmarkEnd w:id="162"/>
                            <w:r>
                              <w:rPr>
                                <w:sz w:val="28"/>
                              </w:rPr>
                              <w:t>抚顺</w:t>
                            </w:r>
                          </w:p>
                        </w:tc>
                        <w:tc>
                          <w:tcPr>
                            <w:tcW w:w="6856" w:type="dxa"/>
                          </w:tcPr>
                          <w:p>
                            <w:pPr>
                              <w:pStyle w:val="12"/>
                              <w:spacing w:before="107"/>
                              <w:ind w:left="526" w:right="519"/>
                              <w:jc w:val="center"/>
                              <w:rPr>
                                <w:sz w:val="32"/>
                                <w:lang w:eastAsia="zh-CN"/>
                              </w:rPr>
                            </w:pPr>
                            <w:r>
                              <w:rPr>
                                <w:sz w:val="32"/>
                                <w:lang w:eastAsia="zh-CN"/>
                              </w:rPr>
                              <w:t>抚顺县农村信用合作联社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868" w:type="dxa"/>
                          </w:tcPr>
                          <w:p>
                            <w:pPr>
                              <w:pStyle w:val="12"/>
                              <w:spacing w:before="151"/>
                              <w:ind w:left="131" w:right="122"/>
                              <w:jc w:val="center"/>
                              <w:rPr>
                                <w:rFonts w:ascii="Times New Roman"/>
                                <w:sz w:val="28"/>
                              </w:rPr>
                            </w:pPr>
                            <w:r>
                              <w:rPr>
                                <w:rFonts w:ascii="Times New Roman"/>
                                <w:sz w:val="28"/>
                              </w:rPr>
                              <w:t>12</w:t>
                            </w:r>
                          </w:p>
                        </w:tc>
                        <w:tc>
                          <w:tcPr>
                            <w:tcW w:w="1134" w:type="dxa"/>
                            <w:vMerge w:val="continue"/>
                            <w:tcBorders>
                              <w:top w:val="nil"/>
                            </w:tcBorders>
                          </w:tcPr>
                          <w:p>
                            <w:pPr>
                              <w:rPr>
                                <w:sz w:val="2"/>
                                <w:szCs w:val="2"/>
                              </w:rPr>
                            </w:pPr>
                          </w:p>
                        </w:tc>
                        <w:tc>
                          <w:tcPr>
                            <w:tcW w:w="6856" w:type="dxa"/>
                          </w:tcPr>
                          <w:p>
                            <w:pPr>
                              <w:pStyle w:val="12"/>
                              <w:spacing w:before="107"/>
                              <w:ind w:left="526" w:right="519"/>
                              <w:jc w:val="center"/>
                              <w:rPr>
                                <w:sz w:val="32"/>
                                <w:lang w:eastAsia="zh-CN"/>
                              </w:rPr>
                            </w:pPr>
                            <w:bookmarkStart w:id="163" w:name="抚顺市顺城区农村信用合作联社"/>
                            <w:bookmarkEnd w:id="163"/>
                            <w:r>
                              <w:rPr>
                                <w:sz w:val="32"/>
                                <w:lang w:eastAsia="zh-CN"/>
                              </w:rPr>
                              <w:t>抚顺市顺城区农村信用合作联社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868" w:type="dxa"/>
                          </w:tcPr>
                          <w:p>
                            <w:pPr>
                              <w:pStyle w:val="12"/>
                              <w:spacing w:before="150"/>
                              <w:ind w:left="131" w:right="122"/>
                              <w:jc w:val="center"/>
                              <w:rPr>
                                <w:rFonts w:ascii="Times New Roman"/>
                                <w:sz w:val="28"/>
                              </w:rPr>
                            </w:pPr>
                            <w:r>
                              <w:rPr>
                                <w:rFonts w:ascii="Times New Roman"/>
                                <w:sz w:val="28"/>
                              </w:rPr>
                              <w:t>13</w:t>
                            </w:r>
                          </w:p>
                        </w:tc>
                        <w:tc>
                          <w:tcPr>
                            <w:tcW w:w="1134" w:type="dxa"/>
                            <w:vMerge w:val="continue"/>
                            <w:tcBorders>
                              <w:top w:val="nil"/>
                            </w:tcBorders>
                          </w:tcPr>
                          <w:p>
                            <w:pPr>
                              <w:rPr>
                                <w:sz w:val="2"/>
                                <w:szCs w:val="2"/>
                              </w:rPr>
                            </w:pPr>
                          </w:p>
                        </w:tc>
                        <w:tc>
                          <w:tcPr>
                            <w:tcW w:w="6856" w:type="dxa"/>
                          </w:tcPr>
                          <w:p>
                            <w:pPr>
                              <w:pStyle w:val="12"/>
                              <w:spacing w:before="109"/>
                              <w:ind w:left="526" w:right="517"/>
                              <w:jc w:val="center"/>
                              <w:rPr>
                                <w:sz w:val="32"/>
                                <w:lang w:eastAsia="zh-CN"/>
                              </w:rPr>
                            </w:pPr>
                            <w:bookmarkStart w:id="164" w:name="辽宁清原农村商业银行股份有限公司"/>
                            <w:bookmarkEnd w:id="164"/>
                            <w:r>
                              <w:rPr>
                                <w:sz w:val="32"/>
                                <w:lang w:eastAsia="zh-CN"/>
                              </w:rPr>
                              <w:t>辽宁清原农村商业银行股份有限公司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868" w:type="dxa"/>
                          </w:tcPr>
                          <w:p>
                            <w:pPr>
                              <w:pStyle w:val="12"/>
                              <w:spacing w:before="150"/>
                              <w:ind w:left="131" w:right="122"/>
                              <w:jc w:val="center"/>
                              <w:rPr>
                                <w:rFonts w:ascii="Times New Roman"/>
                                <w:sz w:val="28"/>
                              </w:rPr>
                            </w:pPr>
                            <w:bookmarkStart w:id="165" w:name="14"/>
                            <w:bookmarkEnd w:id="165"/>
                            <w:r>
                              <w:rPr>
                                <w:rFonts w:ascii="Times New Roman"/>
                                <w:sz w:val="28"/>
                              </w:rPr>
                              <w:t>14</w:t>
                            </w:r>
                          </w:p>
                        </w:tc>
                        <w:tc>
                          <w:tcPr>
                            <w:tcW w:w="1134" w:type="dxa"/>
                            <w:vMerge w:val="continue"/>
                            <w:tcBorders>
                              <w:top w:val="nil"/>
                            </w:tcBorders>
                          </w:tcPr>
                          <w:p>
                            <w:pPr>
                              <w:rPr>
                                <w:sz w:val="2"/>
                                <w:szCs w:val="2"/>
                              </w:rPr>
                            </w:pPr>
                          </w:p>
                        </w:tc>
                        <w:tc>
                          <w:tcPr>
                            <w:tcW w:w="6856" w:type="dxa"/>
                          </w:tcPr>
                          <w:p>
                            <w:pPr>
                              <w:pStyle w:val="12"/>
                              <w:spacing w:before="108"/>
                              <w:ind w:left="526" w:right="517"/>
                              <w:jc w:val="center"/>
                              <w:rPr>
                                <w:sz w:val="32"/>
                                <w:lang w:eastAsia="zh-CN"/>
                              </w:rPr>
                            </w:pPr>
                            <w:bookmarkStart w:id="166" w:name="辽宁新宾农村商业银行股份有限公司"/>
                            <w:bookmarkEnd w:id="166"/>
                            <w:r>
                              <w:rPr>
                                <w:sz w:val="32"/>
                                <w:lang w:eastAsia="zh-CN"/>
                              </w:rPr>
                              <w:t>辽宁新宾农村商业银行股份有限公司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68" w:type="dxa"/>
                          </w:tcPr>
                          <w:p>
                            <w:pPr>
                              <w:pStyle w:val="12"/>
                              <w:spacing w:before="149"/>
                              <w:ind w:left="131" w:right="122"/>
                              <w:jc w:val="center"/>
                              <w:rPr>
                                <w:rFonts w:ascii="Times New Roman"/>
                                <w:sz w:val="28"/>
                              </w:rPr>
                            </w:pPr>
                            <w:bookmarkStart w:id="167" w:name="15"/>
                            <w:bookmarkEnd w:id="167"/>
                            <w:r>
                              <w:rPr>
                                <w:rFonts w:ascii="Times New Roman"/>
                                <w:sz w:val="28"/>
                              </w:rPr>
                              <w:t>15</w:t>
                            </w:r>
                          </w:p>
                        </w:tc>
                        <w:tc>
                          <w:tcPr>
                            <w:tcW w:w="1134" w:type="dxa"/>
                            <w:vMerge w:val="continue"/>
                            <w:tcBorders>
                              <w:top w:val="nil"/>
                            </w:tcBorders>
                          </w:tcPr>
                          <w:p>
                            <w:pPr>
                              <w:rPr>
                                <w:sz w:val="2"/>
                                <w:szCs w:val="2"/>
                              </w:rPr>
                            </w:pPr>
                          </w:p>
                        </w:tc>
                        <w:tc>
                          <w:tcPr>
                            <w:tcW w:w="6856" w:type="dxa"/>
                          </w:tcPr>
                          <w:p>
                            <w:pPr>
                              <w:pStyle w:val="12"/>
                              <w:spacing w:before="107"/>
                              <w:ind w:left="526" w:right="517"/>
                              <w:jc w:val="center"/>
                              <w:rPr>
                                <w:sz w:val="32"/>
                                <w:lang w:eastAsia="zh-CN"/>
                              </w:rPr>
                            </w:pPr>
                            <w:bookmarkStart w:id="168" w:name="辽宁沈抚农村商业银行股份有限公司"/>
                            <w:bookmarkEnd w:id="168"/>
                            <w:r>
                              <w:rPr>
                                <w:sz w:val="32"/>
                                <w:lang w:eastAsia="zh-CN"/>
                              </w:rPr>
                              <w:t>辽宁沈抚农村商业银行股份有限公司</w:t>
                            </w:r>
                          </w:p>
                        </w:tc>
                      </w:tr>
                    </w:tbl>
                    <w:p>
                      <w:pPr>
                        <w:pStyle w:val="5"/>
                        <w:ind w:left="0"/>
                        <w:rPr>
                          <w:lang w:eastAsia="zh-CN"/>
                        </w:rPr>
                      </w:pPr>
                    </w:p>
                  </w:txbxContent>
                </v:textbox>
              </v:shape>
            </w:pict>
          </mc:Fallback>
        </mc:AlternateContent>
      </w:r>
      <w:r>
        <w:rPr>
          <w:spacing w:val="-3"/>
          <w:lang w:eastAsia="zh-CN"/>
        </w:rPr>
        <w:t>辽宁省农村信用社联合社</w:t>
      </w:r>
      <w:r>
        <w:rPr>
          <w:lang w:eastAsia="zh-CN"/>
        </w:rPr>
        <w:t>（</w:t>
      </w:r>
      <w:r>
        <w:rPr>
          <w:spacing w:val="-3"/>
          <w:lang w:eastAsia="zh-CN"/>
        </w:rPr>
        <w:t>以下简称买方</w:t>
      </w:r>
      <w:r>
        <w:rPr>
          <w:lang w:eastAsia="zh-CN"/>
        </w:rPr>
        <w:t>）</w:t>
      </w:r>
      <w:r>
        <w:rPr>
          <w:spacing w:val="-3"/>
          <w:lang w:eastAsia="zh-CN"/>
        </w:rPr>
        <w:t xml:space="preserve">是以发起的方式设立， </w:t>
      </w:r>
      <w:r>
        <w:rPr>
          <w:spacing w:val="-36"/>
          <w:lang w:eastAsia="zh-CN"/>
        </w:rPr>
        <w:t xml:space="preserve">由 </w:t>
      </w:r>
      <w:r>
        <w:rPr>
          <w:rFonts w:ascii="Times New Roman" w:eastAsia="Times New Roman"/>
          <w:lang w:eastAsia="zh-CN"/>
        </w:rPr>
        <w:t>59</w:t>
      </w:r>
      <w:r>
        <w:rPr>
          <w:rFonts w:ascii="Times New Roman" w:eastAsia="Times New Roman"/>
          <w:spacing w:val="1"/>
          <w:lang w:eastAsia="zh-CN"/>
        </w:rPr>
        <w:t xml:space="preserve"> </w:t>
      </w:r>
      <w:r>
        <w:rPr>
          <w:spacing w:val="-3"/>
          <w:lang w:eastAsia="zh-CN"/>
        </w:rPr>
        <w:t>家法人行社</w:t>
      </w:r>
      <w:r>
        <w:rPr>
          <w:lang w:eastAsia="zh-CN"/>
        </w:rPr>
        <w:t>（</w:t>
      </w:r>
      <w:r>
        <w:rPr>
          <w:spacing w:val="-3"/>
          <w:lang w:eastAsia="zh-CN"/>
        </w:rPr>
        <w:t>包括农村信用合作联社和农商行</w:t>
      </w:r>
      <w:r>
        <w:rPr>
          <w:lang w:eastAsia="zh-CN"/>
        </w:rPr>
        <w:t>）</w:t>
      </w:r>
      <w:r>
        <w:rPr>
          <w:spacing w:val="-3"/>
          <w:lang w:eastAsia="zh-CN"/>
        </w:rPr>
        <w:t>、村镇银行入股</w:t>
      </w:r>
      <w:r>
        <w:rPr>
          <w:spacing w:val="-7"/>
          <w:lang w:eastAsia="zh-CN"/>
        </w:rPr>
        <w:t>组成，经中国银行业监督管理委员会批准成立。按照买方职能，由买方</w:t>
      </w:r>
      <w:r>
        <w:rPr>
          <w:spacing w:val="-6"/>
          <w:lang w:eastAsia="zh-CN"/>
        </w:rPr>
        <w:t>组织法人行社实施信息科技项目，项目支出由各法人行社自行承担。因</w:t>
      </w:r>
      <w:r>
        <w:rPr>
          <w:spacing w:val="-3"/>
          <w:lang w:eastAsia="zh-CN"/>
        </w:rPr>
        <w:t>此，卖方承担的由买方组织实施的项目支出均由买方辖内法人行社支 付，并由卖方为法人行社开具相关发票。</w:t>
      </w:r>
      <w:r>
        <w:rPr>
          <w:spacing w:val="-3"/>
        </w:rPr>
        <w:t>特此说明。</w:t>
      </w:r>
    </w:p>
    <w:p>
      <w:pPr>
        <w:spacing w:line="417" w:lineRule="auto"/>
        <w:sectPr>
          <w:type w:val="continuous"/>
          <w:pgSz w:w="11910" w:h="16840"/>
          <w:pgMar w:top="1580" w:right="640" w:bottom="280" w:left="1000" w:header="720" w:footer="720" w:gutter="0"/>
          <w:cols w:space="720" w:num="1"/>
        </w:sectPr>
      </w:pPr>
    </w:p>
    <w:tbl>
      <w:tblPr>
        <w:tblStyle w:val="10"/>
        <w:tblW w:w="0" w:type="auto"/>
        <w:tblInd w:w="7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8"/>
        <w:gridCol w:w="1134"/>
        <w:gridCol w:w="68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68" w:type="dxa"/>
            <w:tcBorders>
              <w:top w:val="nil"/>
            </w:tcBorders>
          </w:tcPr>
          <w:p>
            <w:pPr>
              <w:pStyle w:val="12"/>
              <w:spacing w:before="156"/>
              <w:ind w:left="131" w:right="122"/>
              <w:jc w:val="center"/>
              <w:rPr>
                <w:rFonts w:ascii="Times New Roman"/>
                <w:sz w:val="28"/>
              </w:rPr>
            </w:pPr>
            <w:bookmarkStart w:id="19" w:name="16"/>
            <w:bookmarkEnd w:id="19"/>
            <w:r>
              <w:rPr>
                <w:rFonts w:ascii="Times New Roman"/>
                <w:sz w:val="28"/>
              </w:rPr>
              <w:t>16</w:t>
            </w:r>
          </w:p>
        </w:tc>
        <w:tc>
          <w:tcPr>
            <w:tcW w:w="1134" w:type="dxa"/>
            <w:vMerge w:val="restart"/>
            <w:tcBorders>
              <w:top w:val="nil"/>
            </w:tcBorders>
          </w:tcPr>
          <w:p>
            <w:pPr>
              <w:pStyle w:val="12"/>
              <w:rPr>
                <w:sz w:val="28"/>
              </w:rPr>
            </w:pPr>
          </w:p>
          <w:p>
            <w:pPr>
              <w:pStyle w:val="12"/>
              <w:rPr>
                <w:sz w:val="28"/>
              </w:rPr>
            </w:pPr>
          </w:p>
          <w:p>
            <w:pPr>
              <w:pStyle w:val="12"/>
              <w:spacing w:before="239"/>
              <w:ind w:left="286"/>
              <w:rPr>
                <w:sz w:val="28"/>
              </w:rPr>
            </w:pPr>
            <w:bookmarkStart w:id="20" w:name="本溪"/>
            <w:bookmarkEnd w:id="20"/>
            <w:bookmarkStart w:id="21" w:name="18"/>
            <w:bookmarkEnd w:id="21"/>
            <w:bookmarkStart w:id="22" w:name="17"/>
            <w:bookmarkEnd w:id="22"/>
            <w:r>
              <w:rPr>
                <w:sz w:val="28"/>
              </w:rPr>
              <w:t>本溪</w:t>
            </w:r>
          </w:p>
        </w:tc>
        <w:tc>
          <w:tcPr>
            <w:tcW w:w="6856" w:type="dxa"/>
            <w:tcBorders>
              <w:top w:val="nil"/>
            </w:tcBorders>
          </w:tcPr>
          <w:p>
            <w:pPr>
              <w:pStyle w:val="12"/>
              <w:spacing w:before="115"/>
              <w:ind w:left="526" w:right="517"/>
              <w:jc w:val="center"/>
              <w:rPr>
                <w:sz w:val="32"/>
                <w:lang w:eastAsia="zh-CN"/>
              </w:rPr>
            </w:pPr>
            <w:r>
              <w:rPr>
                <w:sz w:val="32"/>
                <w:lang w:eastAsia="zh-CN"/>
              </w:rPr>
              <w:t>本溪市市区农村信用合作联社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6" w:hRule="atLeast"/>
        </w:trPr>
        <w:tc>
          <w:tcPr>
            <w:tcW w:w="868" w:type="dxa"/>
          </w:tcPr>
          <w:p>
            <w:pPr>
              <w:pStyle w:val="12"/>
              <w:spacing w:before="148"/>
              <w:ind w:left="131" w:right="122"/>
              <w:jc w:val="center"/>
              <w:rPr>
                <w:rFonts w:ascii="Times New Roman"/>
                <w:sz w:val="28"/>
              </w:rPr>
            </w:pPr>
            <w:r>
              <w:rPr>
                <w:rFonts w:ascii="Times New Roman"/>
                <w:sz w:val="28"/>
              </w:rPr>
              <w:t>17</w:t>
            </w:r>
          </w:p>
        </w:tc>
        <w:tc>
          <w:tcPr>
            <w:tcW w:w="1134" w:type="dxa"/>
            <w:vMerge w:val="continue"/>
            <w:tcBorders>
              <w:top w:val="nil"/>
            </w:tcBorders>
          </w:tcPr>
          <w:p>
            <w:pPr>
              <w:rPr>
                <w:sz w:val="2"/>
                <w:szCs w:val="2"/>
              </w:rPr>
            </w:pPr>
          </w:p>
        </w:tc>
        <w:tc>
          <w:tcPr>
            <w:tcW w:w="6856" w:type="dxa"/>
          </w:tcPr>
          <w:p>
            <w:pPr>
              <w:pStyle w:val="12"/>
              <w:spacing w:before="104"/>
              <w:ind w:left="526" w:right="517"/>
              <w:jc w:val="center"/>
              <w:rPr>
                <w:sz w:val="32"/>
                <w:lang w:eastAsia="zh-CN"/>
              </w:rPr>
            </w:pPr>
            <w:bookmarkStart w:id="23" w:name="辽宁沈本农村商业银行股份有限公司"/>
            <w:bookmarkEnd w:id="23"/>
            <w:r>
              <w:rPr>
                <w:sz w:val="32"/>
                <w:lang w:eastAsia="zh-CN"/>
              </w:rPr>
              <w:t>辽宁沈本农村商业银行股份有限公司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868" w:type="dxa"/>
          </w:tcPr>
          <w:p>
            <w:pPr>
              <w:pStyle w:val="12"/>
              <w:spacing w:before="148"/>
              <w:ind w:left="131" w:right="122"/>
              <w:jc w:val="center"/>
              <w:rPr>
                <w:rFonts w:ascii="Times New Roman"/>
                <w:sz w:val="28"/>
              </w:rPr>
            </w:pPr>
            <w:r>
              <w:rPr>
                <w:rFonts w:ascii="Times New Roman"/>
                <w:sz w:val="28"/>
              </w:rPr>
              <w:t>18</w:t>
            </w:r>
          </w:p>
        </w:tc>
        <w:tc>
          <w:tcPr>
            <w:tcW w:w="1134" w:type="dxa"/>
            <w:vMerge w:val="continue"/>
            <w:tcBorders>
              <w:top w:val="nil"/>
            </w:tcBorders>
          </w:tcPr>
          <w:p>
            <w:pPr>
              <w:rPr>
                <w:sz w:val="2"/>
                <w:szCs w:val="2"/>
              </w:rPr>
            </w:pPr>
          </w:p>
        </w:tc>
        <w:tc>
          <w:tcPr>
            <w:tcW w:w="6856" w:type="dxa"/>
          </w:tcPr>
          <w:p>
            <w:pPr>
              <w:pStyle w:val="12"/>
              <w:spacing w:before="106"/>
              <w:ind w:left="526" w:right="519"/>
              <w:jc w:val="center"/>
              <w:rPr>
                <w:sz w:val="32"/>
                <w:lang w:eastAsia="zh-CN"/>
              </w:rPr>
            </w:pPr>
            <w:bookmarkStart w:id="24" w:name="辽宁本溪南芬农村商业银行股份有限公司"/>
            <w:bookmarkEnd w:id="24"/>
            <w:r>
              <w:rPr>
                <w:sz w:val="32"/>
                <w:lang w:eastAsia="zh-CN"/>
              </w:rPr>
              <w:t>辽宁本溪南芬农村商业银行股份有限公司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868" w:type="dxa"/>
          </w:tcPr>
          <w:p>
            <w:pPr>
              <w:pStyle w:val="12"/>
              <w:spacing w:before="147"/>
              <w:ind w:left="131" w:right="122"/>
              <w:jc w:val="center"/>
              <w:rPr>
                <w:rFonts w:ascii="Times New Roman"/>
                <w:sz w:val="28"/>
              </w:rPr>
            </w:pPr>
            <w:bookmarkStart w:id="25" w:name="19"/>
            <w:bookmarkEnd w:id="25"/>
            <w:r>
              <w:rPr>
                <w:rFonts w:ascii="Times New Roman"/>
                <w:sz w:val="28"/>
              </w:rPr>
              <w:t>19</w:t>
            </w:r>
          </w:p>
        </w:tc>
        <w:tc>
          <w:tcPr>
            <w:tcW w:w="1134" w:type="dxa"/>
            <w:vMerge w:val="continue"/>
            <w:tcBorders>
              <w:top w:val="nil"/>
            </w:tcBorders>
          </w:tcPr>
          <w:p>
            <w:pPr>
              <w:rPr>
                <w:sz w:val="2"/>
                <w:szCs w:val="2"/>
              </w:rPr>
            </w:pPr>
          </w:p>
        </w:tc>
        <w:tc>
          <w:tcPr>
            <w:tcW w:w="6856" w:type="dxa"/>
          </w:tcPr>
          <w:p>
            <w:pPr>
              <w:pStyle w:val="12"/>
              <w:spacing w:before="106"/>
              <w:ind w:left="526" w:right="517"/>
              <w:jc w:val="center"/>
              <w:rPr>
                <w:sz w:val="32"/>
                <w:lang w:eastAsia="zh-CN"/>
              </w:rPr>
            </w:pPr>
            <w:bookmarkStart w:id="26" w:name="辽宁桓仁农村商业银行股份有限公司"/>
            <w:bookmarkEnd w:id="26"/>
            <w:r>
              <w:rPr>
                <w:sz w:val="32"/>
                <w:lang w:eastAsia="zh-CN"/>
              </w:rPr>
              <w:t>辽宁桓仁农村商业银行股份有限公司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868" w:type="dxa"/>
          </w:tcPr>
          <w:p>
            <w:pPr>
              <w:pStyle w:val="12"/>
              <w:spacing w:before="147"/>
              <w:ind w:left="131" w:right="122"/>
              <w:jc w:val="center"/>
              <w:rPr>
                <w:rFonts w:ascii="Times New Roman"/>
                <w:sz w:val="28"/>
              </w:rPr>
            </w:pPr>
            <w:bookmarkStart w:id="27" w:name="20"/>
            <w:bookmarkEnd w:id="27"/>
            <w:r>
              <w:rPr>
                <w:rFonts w:ascii="Times New Roman"/>
                <w:sz w:val="28"/>
              </w:rPr>
              <w:t>20</w:t>
            </w:r>
          </w:p>
        </w:tc>
        <w:tc>
          <w:tcPr>
            <w:tcW w:w="1134" w:type="dxa"/>
            <w:vMerge w:val="restart"/>
          </w:tcPr>
          <w:p>
            <w:pPr>
              <w:pStyle w:val="12"/>
              <w:rPr>
                <w:sz w:val="28"/>
              </w:rPr>
            </w:pPr>
          </w:p>
          <w:p>
            <w:pPr>
              <w:pStyle w:val="12"/>
              <w:rPr>
                <w:sz w:val="28"/>
              </w:rPr>
            </w:pPr>
          </w:p>
          <w:p>
            <w:pPr>
              <w:pStyle w:val="12"/>
              <w:spacing w:before="229"/>
              <w:ind w:left="286"/>
              <w:rPr>
                <w:sz w:val="28"/>
              </w:rPr>
            </w:pPr>
            <w:bookmarkStart w:id="28" w:name="丹东"/>
            <w:bookmarkEnd w:id="28"/>
            <w:bookmarkStart w:id="29" w:name="22"/>
            <w:bookmarkEnd w:id="29"/>
            <w:bookmarkStart w:id="30" w:name="21"/>
            <w:bookmarkEnd w:id="30"/>
            <w:r>
              <w:rPr>
                <w:sz w:val="28"/>
              </w:rPr>
              <w:t>丹东</w:t>
            </w:r>
          </w:p>
        </w:tc>
        <w:tc>
          <w:tcPr>
            <w:tcW w:w="6856" w:type="dxa"/>
          </w:tcPr>
          <w:p>
            <w:pPr>
              <w:pStyle w:val="12"/>
              <w:spacing w:before="105"/>
              <w:ind w:left="526" w:right="519"/>
              <w:jc w:val="center"/>
              <w:rPr>
                <w:sz w:val="32"/>
                <w:lang w:eastAsia="zh-CN"/>
              </w:rPr>
            </w:pPr>
            <w:r>
              <w:rPr>
                <w:sz w:val="32"/>
                <w:lang w:eastAsia="zh-CN"/>
              </w:rPr>
              <w:t>丹东农村商业银行股份有限公司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868" w:type="dxa"/>
          </w:tcPr>
          <w:p>
            <w:pPr>
              <w:pStyle w:val="12"/>
              <w:spacing w:before="148"/>
              <w:ind w:left="131" w:right="122"/>
              <w:jc w:val="center"/>
              <w:rPr>
                <w:rFonts w:ascii="Times New Roman"/>
                <w:sz w:val="28"/>
              </w:rPr>
            </w:pPr>
            <w:r>
              <w:rPr>
                <w:rFonts w:ascii="Times New Roman"/>
                <w:sz w:val="28"/>
              </w:rPr>
              <w:t>21</w:t>
            </w:r>
          </w:p>
        </w:tc>
        <w:tc>
          <w:tcPr>
            <w:tcW w:w="1134" w:type="dxa"/>
            <w:vMerge w:val="continue"/>
            <w:tcBorders>
              <w:top w:val="nil"/>
            </w:tcBorders>
          </w:tcPr>
          <w:p>
            <w:pPr>
              <w:rPr>
                <w:sz w:val="2"/>
                <w:szCs w:val="2"/>
              </w:rPr>
            </w:pPr>
          </w:p>
        </w:tc>
        <w:tc>
          <w:tcPr>
            <w:tcW w:w="6856" w:type="dxa"/>
          </w:tcPr>
          <w:p>
            <w:pPr>
              <w:pStyle w:val="12"/>
              <w:spacing w:before="104"/>
              <w:ind w:left="526" w:right="517"/>
              <w:jc w:val="center"/>
              <w:rPr>
                <w:sz w:val="32"/>
                <w:lang w:eastAsia="zh-CN"/>
              </w:rPr>
            </w:pPr>
            <w:bookmarkStart w:id="31" w:name="辽宁东港农村商业银行股份有限公司"/>
            <w:bookmarkEnd w:id="31"/>
            <w:r>
              <w:rPr>
                <w:sz w:val="32"/>
                <w:lang w:eastAsia="zh-CN"/>
              </w:rPr>
              <w:t>辽宁东港农村商业银行股份有限公司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6" w:hRule="atLeast"/>
        </w:trPr>
        <w:tc>
          <w:tcPr>
            <w:tcW w:w="868" w:type="dxa"/>
          </w:tcPr>
          <w:p>
            <w:pPr>
              <w:pStyle w:val="12"/>
              <w:spacing w:before="148"/>
              <w:ind w:left="131" w:right="122"/>
              <w:jc w:val="center"/>
              <w:rPr>
                <w:rFonts w:ascii="Times New Roman"/>
                <w:sz w:val="28"/>
              </w:rPr>
            </w:pPr>
            <w:r>
              <w:rPr>
                <w:rFonts w:ascii="Times New Roman"/>
                <w:sz w:val="28"/>
              </w:rPr>
              <w:t>22</w:t>
            </w:r>
          </w:p>
        </w:tc>
        <w:tc>
          <w:tcPr>
            <w:tcW w:w="1134" w:type="dxa"/>
            <w:vMerge w:val="continue"/>
            <w:tcBorders>
              <w:top w:val="nil"/>
            </w:tcBorders>
          </w:tcPr>
          <w:p>
            <w:pPr>
              <w:rPr>
                <w:sz w:val="2"/>
                <w:szCs w:val="2"/>
              </w:rPr>
            </w:pPr>
          </w:p>
        </w:tc>
        <w:tc>
          <w:tcPr>
            <w:tcW w:w="6856" w:type="dxa"/>
          </w:tcPr>
          <w:p>
            <w:pPr>
              <w:pStyle w:val="12"/>
              <w:spacing w:before="106"/>
              <w:ind w:left="526" w:right="517"/>
              <w:jc w:val="center"/>
              <w:rPr>
                <w:sz w:val="32"/>
                <w:lang w:eastAsia="zh-CN"/>
              </w:rPr>
            </w:pPr>
            <w:bookmarkStart w:id="32" w:name="辽宁凤城农村商业银行股份有限公司"/>
            <w:bookmarkEnd w:id="32"/>
            <w:r>
              <w:rPr>
                <w:sz w:val="32"/>
                <w:lang w:eastAsia="zh-CN"/>
              </w:rPr>
              <w:t>辽宁凤城农村商业银行股份有限公司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868" w:type="dxa"/>
          </w:tcPr>
          <w:p>
            <w:pPr>
              <w:pStyle w:val="12"/>
              <w:spacing w:before="147"/>
              <w:ind w:left="131" w:right="122"/>
              <w:jc w:val="center"/>
              <w:rPr>
                <w:rFonts w:ascii="Times New Roman"/>
                <w:sz w:val="28"/>
              </w:rPr>
            </w:pPr>
            <w:bookmarkStart w:id="33" w:name="23"/>
            <w:bookmarkEnd w:id="33"/>
            <w:r>
              <w:rPr>
                <w:rFonts w:ascii="Times New Roman"/>
                <w:sz w:val="28"/>
              </w:rPr>
              <w:t>23</w:t>
            </w:r>
          </w:p>
        </w:tc>
        <w:tc>
          <w:tcPr>
            <w:tcW w:w="1134" w:type="dxa"/>
            <w:vMerge w:val="continue"/>
            <w:tcBorders>
              <w:top w:val="nil"/>
            </w:tcBorders>
          </w:tcPr>
          <w:p>
            <w:pPr>
              <w:rPr>
                <w:sz w:val="2"/>
                <w:szCs w:val="2"/>
              </w:rPr>
            </w:pPr>
          </w:p>
        </w:tc>
        <w:tc>
          <w:tcPr>
            <w:tcW w:w="6856" w:type="dxa"/>
          </w:tcPr>
          <w:p>
            <w:pPr>
              <w:pStyle w:val="12"/>
              <w:spacing w:before="105"/>
              <w:ind w:left="526" w:right="517"/>
              <w:jc w:val="center"/>
              <w:rPr>
                <w:sz w:val="32"/>
                <w:lang w:eastAsia="zh-CN"/>
              </w:rPr>
            </w:pPr>
            <w:bookmarkStart w:id="34" w:name="辽宁宽甸农村商业银行股份有限公司"/>
            <w:bookmarkEnd w:id="34"/>
            <w:r>
              <w:rPr>
                <w:sz w:val="32"/>
                <w:lang w:eastAsia="zh-CN"/>
              </w:rPr>
              <w:t>辽宁宽甸农村商业银行股份有限公司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868" w:type="dxa"/>
          </w:tcPr>
          <w:p>
            <w:pPr>
              <w:pStyle w:val="12"/>
              <w:spacing w:before="147"/>
              <w:ind w:left="131" w:right="122"/>
              <w:jc w:val="center"/>
              <w:rPr>
                <w:rFonts w:ascii="Times New Roman"/>
                <w:sz w:val="28"/>
              </w:rPr>
            </w:pPr>
            <w:bookmarkStart w:id="35" w:name="24"/>
            <w:bookmarkEnd w:id="35"/>
            <w:r>
              <w:rPr>
                <w:rFonts w:ascii="Times New Roman"/>
                <w:sz w:val="28"/>
              </w:rPr>
              <w:t>24</w:t>
            </w:r>
          </w:p>
        </w:tc>
        <w:tc>
          <w:tcPr>
            <w:tcW w:w="1134" w:type="dxa"/>
            <w:vMerge w:val="restart"/>
          </w:tcPr>
          <w:p>
            <w:pPr>
              <w:pStyle w:val="12"/>
              <w:rPr>
                <w:sz w:val="28"/>
              </w:rPr>
            </w:pPr>
          </w:p>
          <w:p>
            <w:pPr>
              <w:pStyle w:val="12"/>
              <w:rPr>
                <w:sz w:val="28"/>
              </w:rPr>
            </w:pPr>
          </w:p>
          <w:p>
            <w:pPr>
              <w:pStyle w:val="12"/>
              <w:spacing w:before="12"/>
              <w:rPr>
                <w:sz w:val="39"/>
              </w:rPr>
            </w:pPr>
          </w:p>
          <w:p>
            <w:pPr>
              <w:pStyle w:val="12"/>
              <w:spacing w:before="1"/>
              <w:ind w:left="286"/>
              <w:rPr>
                <w:sz w:val="28"/>
              </w:rPr>
            </w:pPr>
            <w:bookmarkStart w:id="36" w:name="26"/>
            <w:bookmarkEnd w:id="36"/>
            <w:bookmarkStart w:id="37" w:name="锦州"/>
            <w:bookmarkEnd w:id="37"/>
            <w:bookmarkStart w:id="38" w:name="25"/>
            <w:bookmarkEnd w:id="38"/>
            <w:r>
              <w:rPr>
                <w:sz w:val="28"/>
              </w:rPr>
              <w:t>锦州</w:t>
            </w:r>
          </w:p>
        </w:tc>
        <w:tc>
          <w:tcPr>
            <w:tcW w:w="6856" w:type="dxa"/>
          </w:tcPr>
          <w:p>
            <w:pPr>
              <w:pStyle w:val="12"/>
              <w:spacing w:before="105"/>
              <w:ind w:left="526" w:right="519"/>
              <w:jc w:val="center"/>
              <w:rPr>
                <w:sz w:val="32"/>
                <w:lang w:eastAsia="zh-CN"/>
              </w:rPr>
            </w:pPr>
            <w:r>
              <w:rPr>
                <w:sz w:val="32"/>
                <w:lang w:eastAsia="zh-CN"/>
              </w:rPr>
              <w:t>凌海市农村信用合作联社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868" w:type="dxa"/>
          </w:tcPr>
          <w:p>
            <w:pPr>
              <w:pStyle w:val="12"/>
              <w:spacing w:before="148"/>
              <w:ind w:left="131" w:right="122"/>
              <w:jc w:val="center"/>
              <w:rPr>
                <w:rFonts w:ascii="Times New Roman"/>
                <w:sz w:val="28"/>
              </w:rPr>
            </w:pPr>
            <w:r>
              <w:rPr>
                <w:rFonts w:ascii="Times New Roman"/>
                <w:sz w:val="28"/>
              </w:rPr>
              <w:t>25</w:t>
            </w:r>
          </w:p>
        </w:tc>
        <w:tc>
          <w:tcPr>
            <w:tcW w:w="1134" w:type="dxa"/>
            <w:vMerge w:val="continue"/>
            <w:tcBorders>
              <w:top w:val="nil"/>
            </w:tcBorders>
          </w:tcPr>
          <w:p>
            <w:pPr>
              <w:rPr>
                <w:sz w:val="2"/>
                <w:szCs w:val="2"/>
              </w:rPr>
            </w:pPr>
          </w:p>
        </w:tc>
        <w:tc>
          <w:tcPr>
            <w:tcW w:w="6856" w:type="dxa"/>
          </w:tcPr>
          <w:p>
            <w:pPr>
              <w:pStyle w:val="12"/>
              <w:spacing w:before="104"/>
              <w:ind w:left="526" w:right="517"/>
              <w:jc w:val="center"/>
              <w:rPr>
                <w:sz w:val="32"/>
                <w:lang w:eastAsia="zh-CN"/>
              </w:rPr>
            </w:pPr>
            <w:bookmarkStart w:id="39" w:name="义县农村信用合作联社"/>
            <w:bookmarkEnd w:id="39"/>
            <w:r>
              <w:rPr>
                <w:sz w:val="32"/>
                <w:lang w:eastAsia="zh-CN"/>
              </w:rPr>
              <w:t>义县农村信用合作联社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868" w:type="dxa"/>
          </w:tcPr>
          <w:p>
            <w:pPr>
              <w:pStyle w:val="12"/>
              <w:spacing w:before="148"/>
              <w:ind w:left="131" w:right="122"/>
              <w:jc w:val="center"/>
              <w:rPr>
                <w:rFonts w:ascii="Times New Roman"/>
                <w:sz w:val="28"/>
              </w:rPr>
            </w:pPr>
            <w:r>
              <w:rPr>
                <w:rFonts w:ascii="Times New Roman"/>
                <w:sz w:val="28"/>
              </w:rPr>
              <w:t>26</w:t>
            </w:r>
          </w:p>
        </w:tc>
        <w:tc>
          <w:tcPr>
            <w:tcW w:w="1134" w:type="dxa"/>
            <w:vMerge w:val="continue"/>
            <w:tcBorders>
              <w:top w:val="nil"/>
            </w:tcBorders>
          </w:tcPr>
          <w:p>
            <w:pPr>
              <w:rPr>
                <w:sz w:val="2"/>
                <w:szCs w:val="2"/>
              </w:rPr>
            </w:pPr>
          </w:p>
        </w:tc>
        <w:tc>
          <w:tcPr>
            <w:tcW w:w="6856" w:type="dxa"/>
          </w:tcPr>
          <w:p>
            <w:pPr>
              <w:pStyle w:val="12"/>
              <w:spacing w:before="106"/>
              <w:ind w:left="526" w:right="519"/>
              <w:jc w:val="center"/>
              <w:rPr>
                <w:sz w:val="32"/>
                <w:lang w:eastAsia="zh-CN"/>
              </w:rPr>
            </w:pPr>
            <w:bookmarkStart w:id="40" w:name="北镇市农村信用合作联社"/>
            <w:bookmarkEnd w:id="40"/>
            <w:r>
              <w:rPr>
                <w:sz w:val="32"/>
                <w:lang w:eastAsia="zh-CN"/>
              </w:rPr>
              <w:t>北镇市农村信用合作联社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868" w:type="dxa"/>
          </w:tcPr>
          <w:p>
            <w:pPr>
              <w:pStyle w:val="12"/>
              <w:spacing w:before="147"/>
              <w:ind w:left="131" w:right="122"/>
              <w:jc w:val="center"/>
              <w:rPr>
                <w:rFonts w:ascii="Times New Roman"/>
                <w:sz w:val="28"/>
              </w:rPr>
            </w:pPr>
            <w:bookmarkStart w:id="41" w:name="27"/>
            <w:bookmarkEnd w:id="41"/>
            <w:r>
              <w:rPr>
                <w:rFonts w:ascii="Times New Roman"/>
                <w:sz w:val="28"/>
              </w:rPr>
              <w:t>27</w:t>
            </w:r>
          </w:p>
        </w:tc>
        <w:tc>
          <w:tcPr>
            <w:tcW w:w="1134" w:type="dxa"/>
            <w:vMerge w:val="continue"/>
            <w:tcBorders>
              <w:top w:val="nil"/>
            </w:tcBorders>
          </w:tcPr>
          <w:p>
            <w:pPr>
              <w:rPr>
                <w:sz w:val="2"/>
                <w:szCs w:val="2"/>
              </w:rPr>
            </w:pPr>
          </w:p>
        </w:tc>
        <w:tc>
          <w:tcPr>
            <w:tcW w:w="6856" w:type="dxa"/>
          </w:tcPr>
          <w:p>
            <w:pPr>
              <w:pStyle w:val="12"/>
              <w:spacing w:before="105"/>
              <w:ind w:left="526" w:right="519"/>
              <w:jc w:val="center"/>
              <w:rPr>
                <w:sz w:val="32"/>
                <w:lang w:eastAsia="zh-CN"/>
              </w:rPr>
            </w:pPr>
            <w:bookmarkStart w:id="42" w:name="黑山县农村信用合作联社"/>
            <w:bookmarkEnd w:id="42"/>
            <w:r>
              <w:rPr>
                <w:sz w:val="32"/>
                <w:lang w:eastAsia="zh-CN"/>
              </w:rPr>
              <w:t>黑山县农村信用合作联社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868" w:type="dxa"/>
          </w:tcPr>
          <w:p>
            <w:pPr>
              <w:pStyle w:val="12"/>
              <w:spacing w:before="147"/>
              <w:ind w:left="131" w:right="122"/>
              <w:jc w:val="center"/>
              <w:rPr>
                <w:rFonts w:ascii="Times New Roman"/>
                <w:sz w:val="28"/>
              </w:rPr>
            </w:pPr>
            <w:bookmarkStart w:id="43" w:name="28"/>
            <w:bookmarkEnd w:id="43"/>
            <w:r>
              <w:rPr>
                <w:rFonts w:ascii="Times New Roman"/>
                <w:sz w:val="28"/>
              </w:rPr>
              <w:t>28</w:t>
            </w:r>
          </w:p>
        </w:tc>
        <w:tc>
          <w:tcPr>
            <w:tcW w:w="1134" w:type="dxa"/>
            <w:vMerge w:val="continue"/>
            <w:tcBorders>
              <w:top w:val="nil"/>
            </w:tcBorders>
          </w:tcPr>
          <w:p>
            <w:pPr>
              <w:rPr>
                <w:sz w:val="2"/>
                <w:szCs w:val="2"/>
              </w:rPr>
            </w:pPr>
          </w:p>
        </w:tc>
        <w:tc>
          <w:tcPr>
            <w:tcW w:w="6856" w:type="dxa"/>
          </w:tcPr>
          <w:p>
            <w:pPr>
              <w:pStyle w:val="12"/>
              <w:spacing w:before="105"/>
              <w:ind w:left="526" w:right="519"/>
              <w:jc w:val="center"/>
              <w:rPr>
                <w:sz w:val="32"/>
                <w:lang w:eastAsia="zh-CN"/>
              </w:rPr>
            </w:pPr>
            <w:bookmarkStart w:id="44" w:name="锦州农村商业银行股份有限公司"/>
            <w:bookmarkEnd w:id="44"/>
            <w:r>
              <w:rPr>
                <w:sz w:val="32"/>
                <w:lang w:eastAsia="zh-CN"/>
              </w:rPr>
              <w:t>锦州农村商业银行股份有限公司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868" w:type="dxa"/>
          </w:tcPr>
          <w:p>
            <w:pPr>
              <w:pStyle w:val="12"/>
              <w:spacing w:before="148"/>
              <w:ind w:left="131" w:right="122"/>
              <w:jc w:val="center"/>
              <w:rPr>
                <w:rFonts w:ascii="Times New Roman"/>
                <w:sz w:val="28"/>
              </w:rPr>
            </w:pPr>
            <w:bookmarkStart w:id="45" w:name="29"/>
            <w:bookmarkEnd w:id="45"/>
            <w:r>
              <w:rPr>
                <w:rFonts w:ascii="Times New Roman"/>
                <w:sz w:val="28"/>
              </w:rPr>
              <w:t>29</w:t>
            </w:r>
          </w:p>
        </w:tc>
        <w:tc>
          <w:tcPr>
            <w:tcW w:w="1134" w:type="dxa"/>
            <w:vMerge w:val="restart"/>
          </w:tcPr>
          <w:p>
            <w:pPr>
              <w:pStyle w:val="12"/>
              <w:rPr>
                <w:sz w:val="28"/>
              </w:rPr>
            </w:pPr>
          </w:p>
          <w:p>
            <w:pPr>
              <w:pStyle w:val="12"/>
              <w:rPr>
                <w:sz w:val="28"/>
              </w:rPr>
            </w:pPr>
          </w:p>
          <w:p>
            <w:pPr>
              <w:pStyle w:val="12"/>
              <w:spacing w:before="228"/>
              <w:ind w:left="286"/>
              <w:rPr>
                <w:sz w:val="28"/>
              </w:rPr>
            </w:pPr>
            <w:bookmarkStart w:id="46" w:name="营口"/>
            <w:bookmarkEnd w:id="46"/>
            <w:bookmarkStart w:id="47" w:name="31"/>
            <w:bookmarkEnd w:id="47"/>
            <w:bookmarkStart w:id="48" w:name="30"/>
            <w:bookmarkEnd w:id="48"/>
            <w:r>
              <w:rPr>
                <w:sz w:val="28"/>
              </w:rPr>
              <w:t>营口</w:t>
            </w:r>
          </w:p>
        </w:tc>
        <w:tc>
          <w:tcPr>
            <w:tcW w:w="6856" w:type="dxa"/>
          </w:tcPr>
          <w:p>
            <w:pPr>
              <w:pStyle w:val="12"/>
              <w:spacing w:before="104"/>
              <w:ind w:left="526" w:right="519"/>
              <w:jc w:val="center"/>
              <w:rPr>
                <w:sz w:val="32"/>
                <w:lang w:eastAsia="zh-CN"/>
              </w:rPr>
            </w:pPr>
            <w:r>
              <w:rPr>
                <w:sz w:val="32"/>
                <w:lang w:eastAsia="zh-CN"/>
              </w:rPr>
              <w:t>辽宁大石桥农村商业银行股份有限公司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868" w:type="dxa"/>
          </w:tcPr>
          <w:p>
            <w:pPr>
              <w:pStyle w:val="12"/>
              <w:spacing w:before="148"/>
              <w:ind w:left="131" w:right="122"/>
              <w:jc w:val="center"/>
              <w:rPr>
                <w:rFonts w:ascii="Times New Roman"/>
                <w:sz w:val="28"/>
              </w:rPr>
            </w:pPr>
            <w:r>
              <w:rPr>
                <w:rFonts w:ascii="Times New Roman"/>
                <w:sz w:val="28"/>
              </w:rPr>
              <w:t>30</w:t>
            </w:r>
          </w:p>
        </w:tc>
        <w:tc>
          <w:tcPr>
            <w:tcW w:w="1134" w:type="dxa"/>
            <w:vMerge w:val="continue"/>
            <w:tcBorders>
              <w:top w:val="nil"/>
            </w:tcBorders>
          </w:tcPr>
          <w:p>
            <w:pPr>
              <w:rPr>
                <w:sz w:val="2"/>
                <w:szCs w:val="2"/>
              </w:rPr>
            </w:pPr>
          </w:p>
        </w:tc>
        <w:tc>
          <w:tcPr>
            <w:tcW w:w="6856" w:type="dxa"/>
          </w:tcPr>
          <w:p>
            <w:pPr>
              <w:pStyle w:val="12"/>
              <w:spacing w:before="106"/>
              <w:ind w:left="526" w:right="517"/>
              <w:jc w:val="center"/>
              <w:rPr>
                <w:sz w:val="32"/>
                <w:lang w:eastAsia="zh-CN"/>
              </w:rPr>
            </w:pPr>
            <w:bookmarkStart w:id="49" w:name="辽宁盖州农村商业银行股份有限公司"/>
            <w:bookmarkEnd w:id="49"/>
            <w:r>
              <w:rPr>
                <w:sz w:val="32"/>
                <w:lang w:eastAsia="zh-CN"/>
              </w:rPr>
              <w:t>辽宁盖州农村商业银行股份有限公司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868" w:type="dxa"/>
          </w:tcPr>
          <w:p>
            <w:pPr>
              <w:pStyle w:val="12"/>
              <w:spacing w:before="147"/>
              <w:ind w:left="131" w:right="122"/>
              <w:jc w:val="center"/>
              <w:rPr>
                <w:rFonts w:ascii="Times New Roman"/>
                <w:sz w:val="28"/>
              </w:rPr>
            </w:pPr>
            <w:r>
              <w:rPr>
                <w:rFonts w:ascii="Times New Roman"/>
                <w:sz w:val="28"/>
              </w:rPr>
              <w:t>31</w:t>
            </w:r>
          </w:p>
        </w:tc>
        <w:tc>
          <w:tcPr>
            <w:tcW w:w="1134" w:type="dxa"/>
            <w:vMerge w:val="continue"/>
            <w:tcBorders>
              <w:top w:val="nil"/>
            </w:tcBorders>
          </w:tcPr>
          <w:p>
            <w:pPr>
              <w:rPr>
                <w:sz w:val="2"/>
                <w:szCs w:val="2"/>
              </w:rPr>
            </w:pPr>
          </w:p>
        </w:tc>
        <w:tc>
          <w:tcPr>
            <w:tcW w:w="6856" w:type="dxa"/>
          </w:tcPr>
          <w:p>
            <w:pPr>
              <w:pStyle w:val="12"/>
              <w:spacing w:before="105"/>
              <w:ind w:left="526" w:right="519"/>
              <w:jc w:val="center"/>
              <w:rPr>
                <w:sz w:val="32"/>
                <w:lang w:eastAsia="zh-CN"/>
              </w:rPr>
            </w:pPr>
            <w:bookmarkStart w:id="50" w:name="营口农村商业银行股份有限公司"/>
            <w:bookmarkEnd w:id="50"/>
            <w:r>
              <w:rPr>
                <w:sz w:val="32"/>
                <w:lang w:eastAsia="zh-CN"/>
              </w:rPr>
              <w:t>营口农村商业银行股份有限公司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868" w:type="dxa"/>
          </w:tcPr>
          <w:p>
            <w:pPr>
              <w:pStyle w:val="12"/>
              <w:spacing w:before="147"/>
              <w:ind w:left="131" w:right="122"/>
              <w:jc w:val="center"/>
              <w:rPr>
                <w:rFonts w:ascii="Times New Roman"/>
                <w:sz w:val="28"/>
              </w:rPr>
            </w:pPr>
            <w:bookmarkStart w:id="51" w:name="32"/>
            <w:bookmarkEnd w:id="51"/>
            <w:r>
              <w:rPr>
                <w:rFonts w:ascii="Times New Roman"/>
                <w:sz w:val="28"/>
              </w:rPr>
              <w:t>32</w:t>
            </w:r>
          </w:p>
        </w:tc>
        <w:tc>
          <w:tcPr>
            <w:tcW w:w="1134" w:type="dxa"/>
            <w:vMerge w:val="continue"/>
            <w:tcBorders>
              <w:top w:val="nil"/>
            </w:tcBorders>
          </w:tcPr>
          <w:p>
            <w:pPr>
              <w:rPr>
                <w:sz w:val="2"/>
                <w:szCs w:val="2"/>
              </w:rPr>
            </w:pPr>
          </w:p>
        </w:tc>
        <w:tc>
          <w:tcPr>
            <w:tcW w:w="6856" w:type="dxa"/>
          </w:tcPr>
          <w:p>
            <w:pPr>
              <w:pStyle w:val="12"/>
              <w:spacing w:before="105"/>
              <w:ind w:left="526" w:right="517"/>
              <w:jc w:val="center"/>
              <w:rPr>
                <w:sz w:val="32"/>
                <w:lang w:eastAsia="zh-CN"/>
              </w:rPr>
            </w:pPr>
            <w:bookmarkStart w:id="52" w:name="营口融生农村商业银行股份有限公司"/>
            <w:bookmarkEnd w:id="52"/>
            <w:r>
              <w:rPr>
                <w:sz w:val="32"/>
                <w:lang w:eastAsia="zh-CN"/>
              </w:rPr>
              <w:t>营口融生农村商业银行股份有限公司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868" w:type="dxa"/>
          </w:tcPr>
          <w:p>
            <w:pPr>
              <w:pStyle w:val="12"/>
              <w:spacing w:before="148"/>
              <w:ind w:left="131" w:right="122"/>
              <w:jc w:val="center"/>
              <w:rPr>
                <w:rFonts w:ascii="Times New Roman"/>
                <w:sz w:val="28"/>
              </w:rPr>
            </w:pPr>
            <w:bookmarkStart w:id="53" w:name="33"/>
            <w:bookmarkEnd w:id="53"/>
            <w:r>
              <w:rPr>
                <w:rFonts w:ascii="Times New Roman"/>
                <w:sz w:val="28"/>
              </w:rPr>
              <w:t>33</w:t>
            </w:r>
          </w:p>
        </w:tc>
        <w:tc>
          <w:tcPr>
            <w:tcW w:w="1134" w:type="dxa"/>
            <w:vMerge w:val="restart"/>
          </w:tcPr>
          <w:p>
            <w:pPr>
              <w:pStyle w:val="12"/>
              <w:rPr>
                <w:sz w:val="28"/>
              </w:rPr>
            </w:pPr>
          </w:p>
          <w:p>
            <w:pPr>
              <w:pStyle w:val="12"/>
              <w:spacing w:before="9"/>
              <w:rPr>
                <w:sz w:val="23"/>
              </w:rPr>
            </w:pPr>
          </w:p>
          <w:p>
            <w:pPr>
              <w:pStyle w:val="12"/>
              <w:ind w:left="286"/>
              <w:rPr>
                <w:sz w:val="28"/>
              </w:rPr>
            </w:pPr>
            <w:bookmarkStart w:id="54" w:name="阜新"/>
            <w:bookmarkEnd w:id="54"/>
            <w:bookmarkStart w:id="55" w:name="34"/>
            <w:bookmarkEnd w:id="55"/>
            <w:r>
              <w:rPr>
                <w:sz w:val="28"/>
              </w:rPr>
              <w:t>阜新</w:t>
            </w:r>
          </w:p>
        </w:tc>
        <w:tc>
          <w:tcPr>
            <w:tcW w:w="6856" w:type="dxa"/>
          </w:tcPr>
          <w:p>
            <w:pPr>
              <w:pStyle w:val="12"/>
              <w:spacing w:before="104"/>
              <w:ind w:left="526" w:right="517"/>
              <w:jc w:val="center"/>
              <w:rPr>
                <w:sz w:val="32"/>
                <w:lang w:eastAsia="zh-CN"/>
              </w:rPr>
            </w:pPr>
            <w:r>
              <w:rPr>
                <w:sz w:val="32"/>
                <w:lang w:eastAsia="zh-CN"/>
              </w:rPr>
              <w:t>阜新阜蒙县农村信用合作联社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868" w:type="dxa"/>
          </w:tcPr>
          <w:p>
            <w:pPr>
              <w:pStyle w:val="12"/>
              <w:spacing w:before="148"/>
              <w:ind w:left="131" w:right="122"/>
              <w:jc w:val="center"/>
              <w:rPr>
                <w:rFonts w:ascii="Times New Roman"/>
                <w:sz w:val="28"/>
              </w:rPr>
            </w:pPr>
            <w:r>
              <w:rPr>
                <w:rFonts w:ascii="Times New Roman"/>
                <w:sz w:val="28"/>
              </w:rPr>
              <w:t>34</w:t>
            </w:r>
          </w:p>
        </w:tc>
        <w:tc>
          <w:tcPr>
            <w:tcW w:w="1134" w:type="dxa"/>
            <w:vMerge w:val="continue"/>
            <w:tcBorders>
              <w:top w:val="nil"/>
            </w:tcBorders>
          </w:tcPr>
          <w:p>
            <w:pPr>
              <w:rPr>
                <w:sz w:val="2"/>
                <w:szCs w:val="2"/>
              </w:rPr>
            </w:pPr>
          </w:p>
        </w:tc>
        <w:tc>
          <w:tcPr>
            <w:tcW w:w="6856" w:type="dxa"/>
          </w:tcPr>
          <w:p>
            <w:pPr>
              <w:pStyle w:val="12"/>
              <w:spacing w:before="106"/>
              <w:ind w:left="526" w:right="519"/>
              <w:jc w:val="center"/>
              <w:rPr>
                <w:sz w:val="32"/>
                <w:lang w:eastAsia="zh-CN"/>
              </w:rPr>
            </w:pPr>
            <w:bookmarkStart w:id="56" w:name="彰武县农村信用合作联社"/>
            <w:bookmarkEnd w:id="56"/>
            <w:r>
              <w:rPr>
                <w:sz w:val="32"/>
                <w:lang w:eastAsia="zh-CN"/>
              </w:rPr>
              <w:t>彰武县农村信用合作联社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868" w:type="dxa"/>
          </w:tcPr>
          <w:p>
            <w:pPr>
              <w:pStyle w:val="12"/>
              <w:spacing w:before="147"/>
              <w:ind w:left="131" w:right="122"/>
              <w:jc w:val="center"/>
              <w:rPr>
                <w:rFonts w:ascii="Times New Roman"/>
                <w:sz w:val="28"/>
              </w:rPr>
            </w:pPr>
            <w:bookmarkStart w:id="57" w:name="35"/>
            <w:bookmarkEnd w:id="57"/>
            <w:r>
              <w:rPr>
                <w:rFonts w:ascii="Times New Roman"/>
                <w:sz w:val="28"/>
              </w:rPr>
              <w:t>35</w:t>
            </w:r>
          </w:p>
        </w:tc>
        <w:tc>
          <w:tcPr>
            <w:tcW w:w="1134" w:type="dxa"/>
            <w:vMerge w:val="continue"/>
            <w:tcBorders>
              <w:top w:val="nil"/>
            </w:tcBorders>
          </w:tcPr>
          <w:p>
            <w:pPr>
              <w:rPr>
                <w:sz w:val="2"/>
                <w:szCs w:val="2"/>
              </w:rPr>
            </w:pPr>
          </w:p>
        </w:tc>
        <w:tc>
          <w:tcPr>
            <w:tcW w:w="6856" w:type="dxa"/>
          </w:tcPr>
          <w:p>
            <w:pPr>
              <w:pStyle w:val="12"/>
              <w:spacing w:before="105"/>
              <w:ind w:left="526" w:right="519"/>
              <w:jc w:val="center"/>
              <w:rPr>
                <w:sz w:val="32"/>
                <w:lang w:eastAsia="zh-CN"/>
              </w:rPr>
            </w:pPr>
            <w:bookmarkStart w:id="58" w:name="阜新农村商业银行股份有限公司"/>
            <w:bookmarkEnd w:id="58"/>
            <w:r>
              <w:rPr>
                <w:sz w:val="32"/>
                <w:lang w:eastAsia="zh-CN"/>
              </w:rPr>
              <w:t>阜新农村商业银行股份有限公司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868" w:type="dxa"/>
          </w:tcPr>
          <w:p>
            <w:pPr>
              <w:pStyle w:val="12"/>
              <w:spacing w:before="147"/>
              <w:ind w:left="131" w:right="122"/>
              <w:jc w:val="center"/>
              <w:rPr>
                <w:rFonts w:ascii="Times New Roman"/>
                <w:sz w:val="28"/>
              </w:rPr>
            </w:pPr>
            <w:bookmarkStart w:id="59" w:name="36"/>
            <w:bookmarkEnd w:id="59"/>
            <w:r>
              <w:rPr>
                <w:rFonts w:ascii="Times New Roman"/>
                <w:sz w:val="28"/>
              </w:rPr>
              <w:t>36</w:t>
            </w:r>
          </w:p>
        </w:tc>
        <w:tc>
          <w:tcPr>
            <w:tcW w:w="1134" w:type="dxa"/>
            <w:vMerge w:val="restart"/>
          </w:tcPr>
          <w:p>
            <w:pPr>
              <w:pStyle w:val="12"/>
              <w:rPr>
                <w:sz w:val="28"/>
              </w:rPr>
            </w:pPr>
          </w:p>
          <w:p>
            <w:pPr>
              <w:pStyle w:val="12"/>
              <w:rPr>
                <w:sz w:val="28"/>
              </w:rPr>
            </w:pPr>
          </w:p>
          <w:p>
            <w:pPr>
              <w:pStyle w:val="12"/>
              <w:spacing w:before="229"/>
              <w:ind w:left="286"/>
              <w:rPr>
                <w:sz w:val="28"/>
              </w:rPr>
            </w:pPr>
            <w:bookmarkStart w:id="60" w:name="37"/>
            <w:bookmarkEnd w:id="60"/>
            <w:bookmarkStart w:id="61" w:name="38"/>
            <w:bookmarkEnd w:id="61"/>
            <w:r>
              <w:rPr>
                <w:sz w:val="28"/>
              </w:rPr>
              <w:t>辽阳</w:t>
            </w:r>
          </w:p>
        </w:tc>
        <w:tc>
          <w:tcPr>
            <w:tcW w:w="6856" w:type="dxa"/>
          </w:tcPr>
          <w:p>
            <w:pPr>
              <w:pStyle w:val="12"/>
              <w:spacing w:before="130"/>
              <w:ind w:left="526" w:right="516"/>
              <w:jc w:val="center"/>
              <w:rPr>
                <w:sz w:val="28"/>
                <w:lang w:eastAsia="zh-CN"/>
              </w:rPr>
            </w:pPr>
            <w:bookmarkStart w:id="62" w:name="辽阳辽东农村商业银行股份有限公司"/>
            <w:bookmarkEnd w:id="62"/>
            <w:r>
              <w:rPr>
                <w:sz w:val="28"/>
                <w:lang w:eastAsia="zh-CN"/>
              </w:rPr>
              <w:t>辽阳辽东农村商业银行股份有限公司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868" w:type="dxa"/>
          </w:tcPr>
          <w:p>
            <w:pPr>
              <w:pStyle w:val="12"/>
              <w:spacing w:before="148"/>
              <w:ind w:left="131" w:right="122"/>
              <w:jc w:val="center"/>
              <w:rPr>
                <w:rFonts w:ascii="Times New Roman"/>
                <w:sz w:val="28"/>
              </w:rPr>
            </w:pPr>
            <w:r>
              <w:rPr>
                <w:rFonts w:ascii="Times New Roman"/>
                <w:sz w:val="28"/>
              </w:rPr>
              <w:t>37</w:t>
            </w:r>
          </w:p>
        </w:tc>
        <w:tc>
          <w:tcPr>
            <w:tcW w:w="1134" w:type="dxa"/>
            <w:vMerge w:val="continue"/>
            <w:tcBorders>
              <w:top w:val="nil"/>
            </w:tcBorders>
          </w:tcPr>
          <w:p>
            <w:pPr>
              <w:rPr>
                <w:sz w:val="2"/>
                <w:szCs w:val="2"/>
              </w:rPr>
            </w:pPr>
          </w:p>
        </w:tc>
        <w:tc>
          <w:tcPr>
            <w:tcW w:w="6856" w:type="dxa"/>
          </w:tcPr>
          <w:p>
            <w:pPr>
              <w:pStyle w:val="12"/>
              <w:spacing w:before="130"/>
              <w:ind w:left="526" w:right="516"/>
              <w:jc w:val="center"/>
              <w:rPr>
                <w:sz w:val="28"/>
                <w:lang w:eastAsia="zh-CN"/>
              </w:rPr>
            </w:pPr>
            <w:bookmarkStart w:id="63" w:name="辽宁灯塔农村商业银行股份有限公司"/>
            <w:bookmarkEnd w:id="63"/>
            <w:r>
              <w:rPr>
                <w:sz w:val="28"/>
                <w:lang w:eastAsia="zh-CN"/>
              </w:rPr>
              <w:t>辽宁灯塔农村商业银行股份有限公司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868" w:type="dxa"/>
          </w:tcPr>
          <w:p>
            <w:pPr>
              <w:pStyle w:val="12"/>
              <w:spacing w:before="148"/>
              <w:ind w:left="131" w:right="122"/>
              <w:jc w:val="center"/>
              <w:rPr>
                <w:rFonts w:ascii="Times New Roman"/>
                <w:sz w:val="28"/>
              </w:rPr>
            </w:pPr>
            <w:r>
              <w:rPr>
                <w:rFonts w:ascii="Times New Roman"/>
                <w:sz w:val="28"/>
              </w:rPr>
              <w:t>38</w:t>
            </w:r>
          </w:p>
        </w:tc>
        <w:tc>
          <w:tcPr>
            <w:tcW w:w="1134" w:type="dxa"/>
            <w:vMerge w:val="continue"/>
            <w:tcBorders>
              <w:top w:val="nil"/>
            </w:tcBorders>
          </w:tcPr>
          <w:p>
            <w:pPr>
              <w:rPr>
                <w:sz w:val="2"/>
                <w:szCs w:val="2"/>
              </w:rPr>
            </w:pPr>
          </w:p>
        </w:tc>
        <w:tc>
          <w:tcPr>
            <w:tcW w:w="6856" w:type="dxa"/>
          </w:tcPr>
          <w:p>
            <w:pPr>
              <w:pStyle w:val="12"/>
              <w:numPr>
                <w:ilvl w:val="0"/>
                <w:numId w:val="33"/>
              </w:numPr>
              <w:tabs>
                <w:tab w:val="left" w:pos="1515"/>
              </w:tabs>
              <w:spacing w:before="129"/>
              <w:rPr>
                <w:sz w:val="28"/>
                <w:lang w:eastAsia="zh-CN"/>
              </w:rPr>
            </w:pPr>
            <w:bookmarkStart w:id="64" w:name="·辽阳农村商业银行股份有限公司"/>
            <w:bookmarkEnd w:id="64"/>
            <w:r>
              <w:rPr>
                <w:spacing w:val="-3"/>
                <w:sz w:val="28"/>
                <w:lang w:eastAsia="zh-CN"/>
              </w:rPr>
              <w:t>辽阳农村商业银行股份有限公司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68" w:type="dxa"/>
          </w:tcPr>
          <w:p>
            <w:pPr>
              <w:pStyle w:val="12"/>
              <w:spacing w:before="147"/>
              <w:ind w:left="131" w:right="122"/>
              <w:jc w:val="center"/>
              <w:rPr>
                <w:rFonts w:ascii="Times New Roman"/>
                <w:sz w:val="28"/>
              </w:rPr>
            </w:pPr>
            <w:bookmarkStart w:id="65" w:name="39"/>
            <w:bookmarkEnd w:id="65"/>
            <w:r>
              <w:rPr>
                <w:rFonts w:ascii="Times New Roman"/>
                <w:sz w:val="28"/>
              </w:rPr>
              <w:t>39</w:t>
            </w:r>
          </w:p>
        </w:tc>
        <w:tc>
          <w:tcPr>
            <w:tcW w:w="1134" w:type="dxa"/>
          </w:tcPr>
          <w:p>
            <w:pPr>
              <w:pStyle w:val="12"/>
              <w:spacing w:before="131"/>
              <w:ind w:left="286"/>
              <w:rPr>
                <w:sz w:val="28"/>
              </w:rPr>
            </w:pPr>
            <w:bookmarkStart w:id="66" w:name="铁岭"/>
            <w:bookmarkEnd w:id="66"/>
            <w:r>
              <w:rPr>
                <w:sz w:val="28"/>
              </w:rPr>
              <w:t>铁岭</w:t>
            </w:r>
          </w:p>
        </w:tc>
        <w:tc>
          <w:tcPr>
            <w:tcW w:w="6856" w:type="dxa"/>
          </w:tcPr>
          <w:p>
            <w:pPr>
              <w:pStyle w:val="12"/>
              <w:spacing w:before="105"/>
              <w:ind w:left="526" w:right="519"/>
              <w:jc w:val="center"/>
              <w:rPr>
                <w:sz w:val="32"/>
                <w:lang w:eastAsia="zh-CN"/>
              </w:rPr>
            </w:pPr>
            <w:r>
              <w:rPr>
                <w:sz w:val="32"/>
                <w:lang w:eastAsia="zh-CN"/>
              </w:rPr>
              <w:t>铁岭县农村信用合作联社</w:t>
            </w:r>
          </w:p>
        </w:tc>
      </w:tr>
    </w:tbl>
    <w:p>
      <w:pPr>
        <w:jc w:val="center"/>
        <w:rPr>
          <w:sz w:val="32"/>
          <w:lang w:eastAsia="zh-CN"/>
        </w:rPr>
        <w:sectPr>
          <w:pgSz w:w="11910" w:h="16840"/>
          <w:pgMar w:top="1420" w:right="640" w:bottom="280" w:left="1000" w:header="720" w:footer="720" w:gutter="0"/>
          <w:cols w:space="720" w:num="1"/>
        </w:sectPr>
      </w:pPr>
    </w:p>
    <w:tbl>
      <w:tblPr>
        <w:tblStyle w:val="10"/>
        <w:tblW w:w="0" w:type="auto"/>
        <w:tblInd w:w="7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8"/>
        <w:gridCol w:w="1134"/>
        <w:gridCol w:w="68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868" w:type="dxa"/>
            <w:tcBorders>
              <w:top w:val="nil"/>
            </w:tcBorders>
          </w:tcPr>
          <w:p>
            <w:pPr>
              <w:pStyle w:val="12"/>
              <w:spacing w:before="149"/>
              <w:ind w:left="131" w:right="122"/>
              <w:jc w:val="center"/>
              <w:rPr>
                <w:rFonts w:ascii="Times New Roman"/>
                <w:sz w:val="28"/>
              </w:rPr>
            </w:pPr>
            <w:bookmarkStart w:id="67" w:name="40"/>
            <w:bookmarkEnd w:id="67"/>
            <w:r>
              <w:rPr>
                <w:rFonts w:ascii="Times New Roman"/>
                <w:sz w:val="28"/>
              </w:rPr>
              <w:t>40</w:t>
            </w:r>
          </w:p>
        </w:tc>
        <w:tc>
          <w:tcPr>
            <w:tcW w:w="1134" w:type="dxa"/>
            <w:vMerge w:val="restart"/>
          </w:tcPr>
          <w:p>
            <w:pPr>
              <w:pStyle w:val="12"/>
              <w:rPr>
                <w:rFonts w:ascii="Times New Roman"/>
                <w:sz w:val="30"/>
              </w:rPr>
            </w:pPr>
          </w:p>
        </w:tc>
        <w:tc>
          <w:tcPr>
            <w:tcW w:w="6856" w:type="dxa"/>
            <w:tcBorders>
              <w:top w:val="nil"/>
            </w:tcBorders>
          </w:tcPr>
          <w:p>
            <w:pPr>
              <w:pStyle w:val="12"/>
              <w:spacing w:before="108"/>
              <w:ind w:left="526" w:right="519"/>
              <w:jc w:val="center"/>
              <w:rPr>
                <w:sz w:val="32"/>
                <w:lang w:eastAsia="zh-CN"/>
              </w:rPr>
            </w:pPr>
            <w:bookmarkStart w:id="68" w:name="开原市农村信用合作联社"/>
            <w:bookmarkEnd w:id="68"/>
            <w:r>
              <w:rPr>
                <w:sz w:val="32"/>
                <w:lang w:eastAsia="zh-CN"/>
              </w:rPr>
              <w:t>开原市农村信用合作联社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868" w:type="dxa"/>
          </w:tcPr>
          <w:p>
            <w:pPr>
              <w:pStyle w:val="12"/>
              <w:spacing w:before="151"/>
              <w:ind w:left="131" w:right="122"/>
              <w:jc w:val="center"/>
              <w:rPr>
                <w:rFonts w:ascii="Times New Roman"/>
                <w:sz w:val="28"/>
              </w:rPr>
            </w:pPr>
            <w:bookmarkStart w:id="69" w:name="41"/>
            <w:bookmarkEnd w:id="69"/>
            <w:r>
              <w:rPr>
                <w:rFonts w:ascii="Times New Roman"/>
                <w:sz w:val="28"/>
              </w:rPr>
              <w:t>41</w:t>
            </w:r>
          </w:p>
        </w:tc>
        <w:tc>
          <w:tcPr>
            <w:tcW w:w="1134" w:type="dxa"/>
            <w:vMerge w:val="continue"/>
            <w:tcBorders>
              <w:top w:val="nil"/>
            </w:tcBorders>
          </w:tcPr>
          <w:p>
            <w:pPr>
              <w:rPr>
                <w:sz w:val="2"/>
                <w:szCs w:val="2"/>
              </w:rPr>
            </w:pPr>
          </w:p>
        </w:tc>
        <w:tc>
          <w:tcPr>
            <w:tcW w:w="6856" w:type="dxa"/>
          </w:tcPr>
          <w:p>
            <w:pPr>
              <w:pStyle w:val="12"/>
              <w:spacing w:before="107"/>
              <w:ind w:left="526" w:right="519"/>
              <w:jc w:val="center"/>
              <w:rPr>
                <w:sz w:val="32"/>
                <w:lang w:eastAsia="zh-CN"/>
              </w:rPr>
            </w:pPr>
            <w:bookmarkStart w:id="70" w:name="昌图县农村信用合作联社"/>
            <w:bookmarkEnd w:id="70"/>
            <w:r>
              <w:rPr>
                <w:sz w:val="32"/>
                <w:lang w:eastAsia="zh-CN"/>
              </w:rPr>
              <w:t>昌图县农村信用合作联社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868" w:type="dxa"/>
          </w:tcPr>
          <w:p>
            <w:pPr>
              <w:pStyle w:val="12"/>
              <w:spacing w:before="151"/>
              <w:ind w:left="131" w:right="122"/>
              <w:jc w:val="center"/>
              <w:rPr>
                <w:rFonts w:ascii="Times New Roman"/>
                <w:sz w:val="28"/>
              </w:rPr>
            </w:pPr>
            <w:bookmarkStart w:id="71" w:name="42"/>
            <w:bookmarkEnd w:id="71"/>
            <w:r>
              <w:rPr>
                <w:rFonts w:ascii="Times New Roman"/>
                <w:sz w:val="28"/>
              </w:rPr>
              <w:t>42</w:t>
            </w:r>
          </w:p>
        </w:tc>
        <w:tc>
          <w:tcPr>
            <w:tcW w:w="1134" w:type="dxa"/>
            <w:vMerge w:val="continue"/>
            <w:tcBorders>
              <w:top w:val="nil"/>
            </w:tcBorders>
          </w:tcPr>
          <w:p>
            <w:pPr>
              <w:rPr>
                <w:sz w:val="2"/>
                <w:szCs w:val="2"/>
              </w:rPr>
            </w:pPr>
          </w:p>
        </w:tc>
        <w:tc>
          <w:tcPr>
            <w:tcW w:w="6856" w:type="dxa"/>
          </w:tcPr>
          <w:p>
            <w:pPr>
              <w:pStyle w:val="12"/>
              <w:spacing w:before="109"/>
              <w:ind w:left="526" w:right="519"/>
              <w:jc w:val="center"/>
              <w:rPr>
                <w:sz w:val="32"/>
                <w:lang w:eastAsia="zh-CN"/>
              </w:rPr>
            </w:pPr>
            <w:bookmarkStart w:id="72" w:name="西丰县农村信用合作联社"/>
            <w:bookmarkEnd w:id="72"/>
            <w:r>
              <w:rPr>
                <w:sz w:val="32"/>
                <w:lang w:eastAsia="zh-CN"/>
              </w:rPr>
              <w:t>西丰县农村信用合作联社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868" w:type="dxa"/>
          </w:tcPr>
          <w:p>
            <w:pPr>
              <w:pStyle w:val="12"/>
              <w:spacing w:before="150"/>
              <w:ind w:left="131" w:right="122"/>
              <w:jc w:val="center"/>
              <w:rPr>
                <w:rFonts w:ascii="Times New Roman"/>
                <w:sz w:val="28"/>
              </w:rPr>
            </w:pPr>
            <w:bookmarkStart w:id="73" w:name="43"/>
            <w:bookmarkEnd w:id="73"/>
            <w:r>
              <w:rPr>
                <w:rFonts w:ascii="Times New Roman"/>
                <w:sz w:val="28"/>
              </w:rPr>
              <w:t>43</w:t>
            </w:r>
          </w:p>
        </w:tc>
        <w:tc>
          <w:tcPr>
            <w:tcW w:w="1134" w:type="dxa"/>
            <w:vMerge w:val="continue"/>
            <w:tcBorders>
              <w:top w:val="nil"/>
            </w:tcBorders>
          </w:tcPr>
          <w:p>
            <w:pPr>
              <w:rPr>
                <w:sz w:val="2"/>
                <w:szCs w:val="2"/>
              </w:rPr>
            </w:pPr>
          </w:p>
        </w:tc>
        <w:tc>
          <w:tcPr>
            <w:tcW w:w="6856" w:type="dxa"/>
          </w:tcPr>
          <w:p>
            <w:pPr>
              <w:pStyle w:val="12"/>
              <w:spacing w:before="108"/>
              <w:ind w:left="526" w:right="519"/>
              <w:jc w:val="center"/>
              <w:rPr>
                <w:sz w:val="32"/>
                <w:lang w:eastAsia="zh-CN"/>
              </w:rPr>
            </w:pPr>
            <w:bookmarkStart w:id="74" w:name="铁岭市银州区农村信用合作联社"/>
            <w:bookmarkEnd w:id="74"/>
            <w:r>
              <w:rPr>
                <w:sz w:val="32"/>
                <w:lang w:eastAsia="zh-CN"/>
              </w:rPr>
              <w:t>铁岭市银州区农村信用合作联社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868" w:type="dxa"/>
          </w:tcPr>
          <w:p>
            <w:pPr>
              <w:pStyle w:val="12"/>
              <w:spacing w:before="149"/>
              <w:ind w:left="131" w:right="122"/>
              <w:jc w:val="center"/>
              <w:rPr>
                <w:rFonts w:ascii="Times New Roman"/>
                <w:sz w:val="28"/>
              </w:rPr>
            </w:pPr>
            <w:bookmarkStart w:id="75" w:name="44"/>
            <w:bookmarkEnd w:id="75"/>
            <w:r>
              <w:rPr>
                <w:rFonts w:ascii="Times New Roman"/>
                <w:sz w:val="28"/>
              </w:rPr>
              <w:t>44</w:t>
            </w:r>
          </w:p>
        </w:tc>
        <w:tc>
          <w:tcPr>
            <w:tcW w:w="1134" w:type="dxa"/>
            <w:vMerge w:val="continue"/>
            <w:tcBorders>
              <w:top w:val="nil"/>
            </w:tcBorders>
          </w:tcPr>
          <w:p>
            <w:pPr>
              <w:rPr>
                <w:sz w:val="2"/>
                <w:szCs w:val="2"/>
              </w:rPr>
            </w:pPr>
          </w:p>
        </w:tc>
        <w:tc>
          <w:tcPr>
            <w:tcW w:w="6856" w:type="dxa"/>
          </w:tcPr>
          <w:p>
            <w:pPr>
              <w:pStyle w:val="12"/>
              <w:spacing w:before="108"/>
              <w:ind w:left="526" w:right="519"/>
              <w:jc w:val="center"/>
              <w:rPr>
                <w:sz w:val="32"/>
                <w:lang w:eastAsia="zh-CN"/>
              </w:rPr>
            </w:pPr>
            <w:bookmarkStart w:id="76" w:name="调兵山市农村信用合作联社"/>
            <w:bookmarkEnd w:id="76"/>
            <w:r>
              <w:rPr>
                <w:sz w:val="32"/>
                <w:lang w:eastAsia="zh-CN"/>
              </w:rPr>
              <w:t>调兵山市农村信用合作联社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868" w:type="dxa"/>
          </w:tcPr>
          <w:p>
            <w:pPr>
              <w:pStyle w:val="12"/>
              <w:spacing w:before="151"/>
              <w:ind w:left="131" w:right="122"/>
              <w:jc w:val="center"/>
              <w:rPr>
                <w:rFonts w:ascii="Times New Roman"/>
                <w:sz w:val="28"/>
              </w:rPr>
            </w:pPr>
            <w:bookmarkStart w:id="77" w:name="45"/>
            <w:bookmarkEnd w:id="77"/>
            <w:r>
              <w:rPr>
                <w:rFonts w:ascii="Times New Roman"/>
                <w:sz w:val="28"/>
              </w:rPr>
              <w:t>45</w:t>
            </w:r>
          </w:p>
        </w:tc>
        <w:tc>
          <w:tcPr>
            <w:tcW w:w="1134" w:type="dxa"/>
            <w:vMerge w:val="continue"/>
            <w:tcBorders>
              <w:top w:val="nil"/>
            </w:tcBorders>
          </w:tcPr>
          <w:p>
            <w:pPr>
              <w:rPr>
                <w:sz w:val="2"/>
                <w:szCs w:val="2"/>
              </w:rPr>
            </w:pPr>
          </w:p>
        </w:tc>
        <w:tc>
          <w:tcPr>
            <w:tcW w:w="6856" w:type="dxa"/>
          </w:tcPr>
          <w:p>
            <w:pPr>
              <w:pStyle w:val="12"/>
              <w:spacing w:before="107"/>
              <w:ind w:left="526" w:right="519"/>
              <w:jc w:val="center"/>
              <w:rPr>
                <w:sz w:val="32"/>
                <w:lang w:eastAsia="zh-CN"/>
              </w:rPr>
            </w:pPr>
            <w:bookmarkStart w:id="78" w:name="铁岭市清河区农村信用合作联社"/>
            <w:bookmarkEnd w:id="78"/>
            <w:r>
              <w:rPr>
                <w:sz w:val="32"/>
                <w:lang w:eastAsia="zh-CN"/>
              </w:rPr>
              <w:t>铁岭市清河区农村信用合作联社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868" w:type="dxa"/>
          </w:tcPr>
          <w:p>
            <w:pPr>
              <w:pStyle w:val="12"/>
              <w:spacing w:before="151"/>
              <w:ind w:left="131" w:right="122"/>
              <w:jc w:val="center"/>
              <w:rPr>
                <w:rFonts w:ascii="Times New Roman"/>
                <w:sz w:val="28"/>
              </w:rPr>
            </w:pPr>
            <w:bookmarkStart w:id="79" w:name="46"/>
            <w:bookmarkEnd w:id="79"/>
            <w:r>
              <w:rPr>
                <w:rFonts w:ascii="Times New Roman"/>
                <w:sz w:val="28"/>
              </w:rPr>
              <w:t>46</w:t>
            </w:r>
          </w:p>
        </w:tc>
        <w:tc>
          <w:tcPr>
            <w:tcW w:w="1134" w:type="dxa"/>
            <w:vMerge w:val="restart"/>
          </w:tcPr>
          <w:p>
            <w:pPr>
              <w:pStyle w:val="12"/>
              <w:rPr>
                <w:sz w:val="28"/>
              </w:rPr>
            </w:pPr>
          </w:p>
          <w:p>
            <w:pPr>
              <w:pStyle w:val="12"/>
              <w:rPr>
                <w:sz w:val="28"/>
              </w:rPr>
            </w:pPr>
          </w:p>
          <w:p>
            <w:pPr>
              <w:pStyle w:val="12"/>
              <w:rPr>
                <w:sz w:val="28"/>
              </w:rPr>
            </w:pPr>
          </w:p>
          <w:p>
            <w:pPr>
              <w:pStyle w:val="12"/>
              <w:rPr>
                <w:sz w:val="28"/>
              </w:rPr>
            </w:pPr>
          </w:p>
          <w:p>
            <w:pPr>
              <w:pStyle w:val="12"/>
              <w:spacing w:before="6"/>
              <w:rPr>
                <w:sz w:val="28"/>
              </w:rPr>
            </w:pPr>
          </w:p>
          <w:p>
            <w:pPr>
              <w:pStyle w:val="12"/>
              <w:ind w:left="286"/>
              <w:rPr>
                <w:sz w:val="28"/>
              </w:rPr>
            </w:pPr>
            <w:bookmarkStart w:id="80" w:name="48"/>
            <w:bookmarkEnd w:id="80"/>
            <w:bookmarkStart w:id="81" w:name="49"/>
            <w:bookmarkEnd w:id="81"/>
            <w:bookmarkStart w:id="82" w:name="朝阳"/>
            <w:bookmarkEnd w:id="82"/>
            <w:bookmarkStart w:id="83" w:name="47"/>
            <w:bookmarkEnd w:id="83"/>
            <w:r>
              <w:rPr>
                <w:sz w:val="28"/>
              </w:rPr>
              <w:t>朝阳</w:t>
            </w:r>
          </w:p>
        </w:tc>
        <w:tc>
          <w:tcPr>
            <w:tcW w:w="6856" w:type="dxa"/>
          </w:tcPr>
          <w:p>
            <w:pPr>
              <w:pStyle w:val="12"/>
              <w:spacing w:before="109"/>
              <w:ind w:left="526" w:right="519"/>
              <w:jc w:val="center"/>
              <w:rPr>
                <w:sz w:val="32"/>
                <w:lang w:eastAsia="zh-CN"/>
              </w:rPr>
            </w:pPr>
            <w:r>
              <w:rPr>
                <w:sz w:val="32"/>
                <w:lang w:eastAsia="zh-CN"/>
              </w:rPr>
              <w:t>凌源市农村信用合作联社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868" w:type="dxa"/>
          </w:tcPr>
          <w:p>
            <w:pPr>
              <w:pStyle w:val="12"/>
              <w:spacing w:before="150"/>
              <w:ind w:left="131" w:right="122"/>
              <w:jc w:val="center"/>
              <w:rPr>
                <w:rFonts w:ascii="Times New Roman"/>
                <w:sz w:val="28"/>
              </w:rPr>
            </w:pPr>
            <w:r>
              <w:rPr>
                <w:rFonts w:ascii="Times New Roman"/>
                <w:sz w:val="28"/>
              </w:rPr>
              <w:t>47</w:t>
            </w:r>
          </w:p>
        </w:tc>
        <w:tc>
          <w:tcPr>
            <w:tcW w:w="1134" w:type="dxa"/>
            <w:vMerge w:val="continue"/>
            <w:tcBorders>
              <w:top w:val="nil"/>
            </w:tcBorders>
          </w:tcPr>
          <w:p>
            <w:pPr>
              <w:rPr>
                <w:sz w:val="2"/>
                <w:szCs w:val="2"/>
              </w:rPr>
            </w:pPr>
          </w:p>
        </w:tc>
        <w:tc>
          <w:tcPr>
            <w:tcW w:w="6856" w:type="dxa"/>
          </w:tcPr>
          <w:p>
            <w:pPr>
              <w:pStyle w:val="12"/>
              <w:spacing w:before="108"/>
              <w:ind w:left="526" w:right="517"/>
              <w:jc w:val="center"/>
              <w:rPr>
                <w:sz w:val="32"/>
                <w:lang w:eastAsia="zh-CN"/>
              </w:rPr>
            </w:pPr>
            <w:bookmarkStart w:id="84" w:name="辽宁建平农村商业银行股份有限公司"/>
            <w:bookmarkEnd w:id="84"/>
            <w:r>
              <w:rPr>
                <w:sz w:val="32"/>
                <w:lang w:eastAsia="zh-CN"/>
              </w:rPr>
              <w:t>辽宁建平农村商业银行股份有限公司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868" w:type="dxa"/>
          </w:tcPr>
          <w:p>
            <w:pPr>
              <w:pStyle w:val="12"/>
              <w:spacing w:before="149"/>
              <w:ind w:left="131" w:right="122"/>
              <w:jc w:val="center"/>
              <w:rPr>
                <w:rFonts w:ascii="Times New Roman"/>
                <w:sz w:val="28"/>
              </w:rPr>
            </w:pPr>
            <w:r>
              <w:rPr>
                <w:rFonts w:ascii="Times New Roman"/>
                <w:sz w:val="28"/>
              </w:rPr>
              <w:t>48</w:t>
            </w:r>
          </w:p>
        </w:tc>
        <w:tc>
          <w:tcPr>
            <w:tcW w:w="1134" w:type="dxa"/>
            <w:vMerge w:val="continue"/>
            <w:tcBorders>
              <w:top w:val="nil"/>
            </w:tcBorders>
          </w:tcPr>
          <w:p>
            <w:pPr>
              <w:rPr>
                <w:sz w:val="2"/>
                <w:szCs w:val="2"/>
              </w:rPr>
            </w:pPr>
          </w:p>
        </w:tc>
        <w:tc>
          <w:tcPr>
            <w:tcW w:w="6856" w:type="dxa"/>
          </w:tcPr>
          <w:p>
            <w:pPr>
              <w:pStyle w:val="12"/>
              <w:spacing w:before="108"/>
              <w:ind w:left="526" w:right="519"/>
              <w:jc w:val="center"/>
              <w:rPr>
                <w:sz w:val="32"/>
                <w:lang w:eastAsia="zh-CN"/>
              </w:rPr>
            </w:pPr>
            <w:bookmarkStart w:id="85" w:name="喀左县农村信用合作联社"/>
            <w:bookmarkEnd w:id="85"/>
            <w:r>
              <w:rPr>
                <w:sz w:val="32"/>
                <w:lang w:eastAsia="zh-CN"/>
              </w:rPr>
              <w:t>喀左县农村信用合作联社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868" w:type="dxa"/>
          </w:tcPr>
          <w:p>
            <w:pPr>
              <w:pStyle w:val="12"/>
              <w:spacing w:before="151"/>
              <w:ind w:left="131" w:right="122"/>
              <w:jc w:val="center"/>
              <w:rPr>
                <w:rFonts w:ascii="Times New Roman"/>
                <w:sz w:val="28"/>
              </w:rPr>
            </w:pPr>
            <w:r>
              <w:rPr>
                <w:rFonts w:ascii="Times New Roman"/>
                <w:sz w:val="28"/>
              </w:rPr>
              <w:t>49</w:t>
            </w:r>
          </w:p>
        </w:tc>
        <w:tc>
          <w:tcPr>
            <w:tcW w:w="1134" w:type="dxa"/>
            <w:vMerge w:val="continue"/>
            <w:tcBorders>
              <w:top w:val="nil"/>
            </w:tcBorders>
          </w:tcPr>
          <w:p>
            <w:pPr>
              <w:rPr>
                <w:sz w:val="2"/>
                <w:szCs w:val="2"/>
              </w:rPr>
            </w:pPr>
          </w:p>
        </w:tc>
        <w:tc>
          <w:tcPr>
            <w:tcW w:w="6856" w:type="dxa"/>
          </w:tcPr>
          <w:p>
            <w:pPr>
              <w:pStyle w:val="12"/>
              <w:spacing w:before="107"/>
              <w:ind w:left="526" w:right="519"/>
              <w:jc w:val="center"/>
              <w:rPr>
                <w:sz w:val="32"/>
                <w:lang w:eastAsia="zh-CN"/>
              </w:rPr>
            </w:pPr>
            <w:bookmarkStart w:id="86" w:name="北票市农村信用合作联社"/>
            <w:bookmarkEnd w:id="86"/>
            <w:r>
              <w:rPr>
                <w:sz w:val="32"/>
                <w:lang w:eastAsia="zh-CN"/>
              </w:rPr>
              <w:t>北票市农村信用合作联社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868" w:type="dxa"/>
          </w:tcPr>
          <w:p>
            <w:pPr>
              <w:pStyle w:val="12"/>
              <w:spacing w:before="151"/>
              <w:ind w:left="131" w:right="122"/>
              <w:jc w:val="center"/>
              <w:rPr>
                <w:rFonts w:ascii="Times New Roman"/>
                <w:sz w:val="28"/>
              </w:rPr>
            </w:pPr>
            <w:bookmarkStart w:id="87" w:name="50"/>
            <w:bookmarkEnd w:id="87"/>
            <w:r>
              <w:rPr>
                <w:rFonts w:ascii="Times New Roman"/>
                <w:sz w:val="28"/>
              </w:rPr>
              <w:t>50</w:t>
            </w:r>
          </w:p>
        </w:tc>
        <w:tc>
          <w:tcPr>
            <w:tcW w:w="1134" w:type="dxa"/>
            <w:vMerge w:val="continue"/>
            <w:tcBorders>
              <w:top w:val="nil"/>
            </w:tcBorders>
          </w:tcPr>
          <w:p>
            <w:pPr>
              <w:rPr>
                <w:sz w:val="2"/>
                <w:szCs w:val="2"/>
              </w:rPr>
            </w:pPr>
          </w:p>
        </w:tc>
        <w:tc>
          <w:tcPr>
            <w:tcW w:w="6856" w:type="dxa"/>
          </w:tcPr>
          <w:p>
            <w:pPr>
              <w:pStyle w:val="12"/>
              <w:spacing w:before="109"/>
              <w:ind w:left="526" w:right="519"/>
              <w:jc w:val="center"/>
              <w:rPr>
                <w:sz w:val="32"/>
                <w:lang w:eastAsia="zh-CN"/>
              </w:rPr>
            </w:pPr>
            <w:bookmarkStart w:id="88" w:name="朝阳县农村信用合作联社"/>
            <w:bookmarkEnd w:id="88"/>
            <w:r>
              <w:rPr>
                <w:sz w:val="32"/>
                <w:lang w:eastAsia="zh-CN"/>
              </w:rPr>
              <w:t>朝阳县农村信用合作联社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868" w:type="dxa"/>
          </w:tcPr>
          <w:p>
            <w:pPr>
              <w:pStyle w:val="12"/>
              <w:spacing w:before="150"/>
              <w:ind w:left="131" w:right="122"/>
              <w:jc w:val="center"/>
              <w:rPr>
                <w:rFonts w:ascii="Times New Roman"/>
                <w:sz w:val="28"/>
              </w:rPr>
            </w:pPr>
            <w:bookmarkStart w:id="89" w:name="51"/>
            <w:bookmarkEnd w:id="89"/>
            <w:r>
              <w:rPr>
                <w:rFonts w:ascii="Times New Roman"/>
                <w:sz w:val="28"/>
              </w:rPr>
              <w:t>51</w:t>
            </w:r>
          </w:p>
        </w:tc>
        <w:tc>
          <w:tcPr>
            <w:tcW w:w="1134" w:type="dxa"/>
            <w:vMerge w:val="continue"/>
            <w:tcBorders>
              <w:top w:val="nil"/>
            </w:tcBorders>
          </w:tcPr>
          <w:p>
            <w:pPr>
              <w:rPr>
                <w:sz w:val="2"/>
                <w:szCs w:val="2"/>
              </w:rPr>
            </w:pPr>
          </w:p>
        </w:tc>
        <w:tc>
          <w:tcPr>
            <w:tcW w:w="6856" w:type="dxa"/>
          </w:tcPr>
          <w:p>
            <w:pPr>
              <w:pStyle w:val="12"/>
              <w:spacing w:before="108"/>
              <w:ind w:left="526" w:right="519"/>
              <w:jc w:val="center"/>
              <w:rPr>
                <w:sz w:val="32"/>
                <w:lang w:eastAsia="zh-CN"/>
              </w:rPr>
            </w:pPr>
            <w:bookmarkStart w:id="90" w:name="朝阳市龙城区农村信用合作联社"/>
            <w:bookmarkEnd w:id="90"/>
            <w:r>
              <w:rPr>
                <w:sz w:val="32"/>
                <w:lang w:eastAsia="zh-CN"/>
              </w:rPr>
              <w:t>朝阳市龙城区农村信用合作联社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868" w:type="dxa"/>
          </w:tcPr>
          <w:p>
            <w:pPr>
              <w:pStyle w:val="12"/>
              <w:spacing w:before="149"/>
              <w:ind w:left="131" w:right="122"/>
              <w:jc w:val="center"/>
              <w:rPr>
                <w:rFonts w:ascii="Times New Roman"/>
                <w:sz w:val="28"/>
              </w:rPr>
            </w:pPr>
            <w:bookmarkStart w:id="91" w:name="52"/>
            <w:bookmarkEnd w:id="91"/>
            <w:r>
              <w:rPr>
                <w:rFonts w:ascii="Times New Roman"/>
                <w:sz w:val="28"/>
              </w:rPr>
              <w:t>52</w:t>
            </w:r>
          </w:p>
        </w:tc>
        <w:tc>
          <w:tcPr>
            <w:tcW w:w="1134" w:type="dxa"/>
            <w:vMerge w:val="continue"/>
            <w:tcBorders>
              <w:top w:val="nil"/>
            </w:tcBorders>
          </w:tcPr>
          <w:p>
            <w:pPr>
              <w:rPr>
                <w:sz w:val="2"/>
                <w:szCs w:val="2"/>
              </w:rPr>
            </w:pPr>
          </w:p>
        </w:tc>
        <w:tc>
          <w:tcPr>
            <w:tcW w:w="6856" w:type="dxa"/>
          </w:tcPr>
          <w:p>
            <w:pPr>
              <w:pStyle w:val="12"/>
              <w:spacing w:before="108"/>
              <w:ind w:left="526" w:right="519"/>
              <w:jc w:val="center"/>
              <w:rPr>
                <w:sz w:val="32"/>
                <w:lang w:eastAsia="zh-CN"/>
              </w:rPr>
            </w:pPr>
            <w:bookmarkStart w:id="92" w:name="朝阳市双塔区农村信用合作联社"/>
            <w:bookmarkEnd w:id="92"/>
            <w:r>
              <w:rPr>
                <w:sz w:val="32"/>
                <w:lang w:eastAsia="zh-CN"/>
              </w:rPr>
              <w:t>朝阳市双塔区农村信用合作联社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868" w:type="dxa"/>
          </w:tcPr>
          <w:p>
            <w:pPr>
              <w:pStyle w:val="12"/>
              <w:spacing w:before="151"/>
              <w:ind w:left="131" w:right="122"/>
              <w:jc w:val="center"/>
              <w:rPr>
                <w:rFonts w:ascii="Times New Roman"/>
                <w:sz w:val="28"/>
              </w:rPr>
            </w:pPr>
            <w:bookmarkStart w:id="93" w:name="53"/>
            <w:bookmarkEnd w:id="93"/>
            <w:r>
              <w:rPr>
                <w:rFonts w:ascii="Times New Roman"/>
                <w:sz w:val="28"/>
              </w:rPr>
              <w:t>53</w:t>
            </w:r>
          </w:p>
        </w:tc>
        <w:tc>
          <w:tcPr>
            <w:tcW w:w="1134" w:type="dxa"/>
            <w:vMerge w:val="restart"/>
          </w:tcPr>
          <w:p>
            <w:pPr>
              <w:pStyle w:val="12"/>
              <w:rPr>
                <w:sz w:val="28"/>
              </w:rPr>
            </w:pPr>
          </w:p>
          <w:p>
            <w:pPr>
              <w:pStyle w:val="12"/>
              <w:spacing w:before="12"/>
              <w:rPr>
                <w:sz w:val="23"/>
              </w:rPr>
            </w:pPr>
          </w:p>
          <w:p>
            <w:pPr>
              <w:pStyle w:val="12"/>
              <w:ind w:left="286"/>
              <w:rPr>
                <w:sz w:val="28"/>
              </w:rPr>
            </w:pPr>
            <w:bookmarkStart w:id="94" w:name="盘锦"/>
            <w:bookmarkEnd w:id="94"/>
            <w:bookmarkStart w:id="95" w:name="54"/>
            <w:bookmarkEnd w:id="95"/>
            <w:r>
              <w:rPr>
                <w:sz w:val="28"/>
              </w:rPr>
              <w:t>盘锦</w:t>
            </w:r>
          </w:p>
        </w:tc>
        <w:tc>
          <w:tcPr>
            <w:tcW w:w="6856" w:type="dxa"/>
          </w:tcPr>
          <w:p>
            <w:pPr>
              <w:pStyle w:val="12"/>
              <w:spacing w:before="133"/>
              <w:ind w:left="526" w:right="514"/>
              <w:jc w:val="center"/>
              <w:rPr>
                <w:sz w:val="28"/>
                <w:lang w:eastAsia="zh-CN"/>
              </w:rPr>
            </w:pPr>
            <w:bookmarkStart w:id="96" w:name="盘山县农村信用合作联社"/>
            <w:bookmarkEnd w:id="96"/>
            <w:r>
              <w:rPr>
                <w:sz w:val="28"/>
                <w:lang w:eastAsia="zh-CN"/>
              </w:rPr>
              <w:t>盘山县农村信用合作联社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868" w:type="dxa"/>
          </w:tcPr>
          <w:p>
            <w:pPr>
              <w:pStyle w:val="12"/>
              <w:spacing w:before="151"/>
              <w:ind w:left="131" w:right="122"/>
              <w:jc w:val="center"/>
              <w:rPr>
                <w:rFonts w:ascii="Times New Roman"/>
                <w:sz w:val="28"/>
              </w:rPr>
            </w:pPr>
            <w:r>
              <w:rPr>
                <w:rFonts w:ascii="Times New Roman"/>
                <w:sz w:val="28"/>
              </w:rPr>
              <w:t>54</w:t>
            </w:r>
          </w:p>
        </w:tc>
        <w:tc>
          <w:tcPr>
            <w:tcW w:w="1134" w:type="dxa"/>
            <w:vMerge w:val="continue"/>
            <w:tcBorders>
              <w:top w:val="nil"/>
            </w:tcBorders>
          </w:tcPr>
          <w:p>
            <w:pPr>
              <w:rPr>
                <w:sz w:val="2"/>
                <w:szCs w:val="2"/>
              </w:rPr>
            </w:pPr>
          </w:p>
        </w:tc>
        <w:tc>
          <w:tcPr>
            <w:tcW w:w="6856" w:type="dxa"/>
          </w:tcPr>
          <w:p>
            <w:pPr>
              <w:pStyle w:val="12"/>
              <w:spacing w:before="132"/>
              <w:ind w:left="526" w:right="516"/>
              <w:jc w:val="center"/>
              <w:rPr>
                <w:sz w:val="28"/>
                <w:lang w:eastAsia="zh-CN"/>
              </w:rPr>
            </w:pPr>
            <w:bookmarkStart w:id="97" w:name="辽宁大洼农村商业银行股份有限公司"/>
            <w:bookmarkEnd w:id="97"/>
            <w:r>
              <w:rPr>
                <w:sz w:val="28"/>
                <w:lang w:eastAsia="zh-CN"/>
              </w:rPr>
              <w:t>辽宁大洼农村商业银行股份有限公司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868" w:type="dxa"/>
          </w:tcPr>
          <w:p>
            <w:pPr>
              <w:pStyle w:val="12"/>
              <w:spacing w:before="150"/>
              <w:ind w:left="131" w:right="122"/>
              <w:jc w:val="center"/>
              <w:rPr>
                <w:rFonts w:ascii="Times New Roman"/>
                <w:sz w:val="28"/>
              </w:rPr>
            </w:pPr>
            <w:bookmarkStart w:id="98" w:name="55"/>
            <w:bookmarkEnd w:id="98"/>
            <w:r>
              <w:rPr>
                <w:rFonts w:ascii="Times New Roman"/>
                <w:sz w:val="28"/>
              </w:rPr>
              <w:t>55</w:t>
            </w:r>
          </w:p>
        </w:tc>
        <w:tc>
          <w:tcPr>
            <w:tcW w:w="1134" w:type="dxa"/>
            <w:vMerge w:val="continue"/>
            <w:tcBorders>
              <w:top w:val="nil"/>
            </w:tcBorders>
          </w:tcPr>
          <w:p>
            <w:pPr>
              <w:rPr>
                <w:sz w:val="2"/>
                <w:szCs w:val="2"/>
              </w:rPr>
            </w:pPr>
          </w:p>
        </w:tc>
        <w:tc>
          <w:tcPr>
            <w:tcW w:w="6856" w:type="dxa"/>
          </w:tcPr>
          <w:p>
            <w:pPr>
              <w:pStyle w:val="12"/>
              <w:spacing w:before="108"/>
              <w:ind w:left="526" w:right="517"/>
              <w:jc w:val="center"/>
              <w:rPr>
                <w:sz w:val="32"/>
                <w:lang w:eastAsia="zh-CN"/>
              </w:rPr>
            </w:pPr>
            <w:bookmarkStart w:id="99" w:name="盘锦农村商业银行股份有限公司"/>
            <w:bookmarkEnd w:id="99"/>
            <w:r>
              <w:rPr>
                <w:sz w:val="28"/>
                <w:lang w:eastAsia="zh-CN"/>
              </w:rPr>
              <w:t>盘锦</w:t>
            </w:r>
            <w:r>
              <w:rPr>
                <w:sz w:val="32"/>
                <w:lang w:eastAsia="zh-CN"/>
              </w:rPr>
              <w:t>农村商业银行股份有限公司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868" w:type="dxa"/>
          </w:tcPr>
          <w:p>
            <w:pPr>
              <w:pStyle w:val="12"/>
              <w:spacing w:before="149"/>
              <w:ind w:left="131" w:right="122"/>
              <w:jc w:val="center"/>
              <w:rPr>
                <w:rFonts w:ascii="Times New Roman"/>
                <w:sz w:val="28"/>
              </w:rPr>
            </w:pPr>
            <w:bookmarkStart w:id="100" w:name="56"/>
            <w:bookmarkEnd w:id="100"/>
            <w:r>
              <w:rPr>
                <w:rFonts w:ascii="Times New Roman"/>
                <w:sz w:val="28"/>
              </w:rPr>
              <w:t>56</w:t>
            </w:r>
          </w:p>
        </w:tc>
        <w:tc>
          <w:tcPr>
            <w:tcW w:w="1134" w:type="dxa"/>
            <w:vMerge w:val="restart"/>
          </w:tcPr>
          <w:p>
            <w:pPr>
              <w:pStyle w:val="12"/>
              <w:rPr>
                <w:sz w:val="28"/>
              </w:rPr>
            </w:pPr>
          </w:p>
          <w:p>
            <w:pPr>
              <w:pStyle w:val="12"/>
              <w:rPr>
                <w:sz w:val="28"/>
              </w:rPr>
            </w:pPr>
          </w:p>
          <w:p>
            <w:pPr>
              <w:pStyle w:val="12"/>
              <w:spacing w:before="232"/>
              <w:ind w:left="147"/>
              <w:rPr>
                <w:sz w:val="28"/>
              </w:rPr>
            </w:pPr>
            <w:bookmarkStart w:id="101" w:name="58"/>
            <w:bookmarkEnd w:id="101"/>
            <w:bookmarkStart w:id="102" w:name="葫芦岛"/>
            <w:bookmarkEnd w:id="102"/>
            <w:bookmarkStart w:id="103" w:name="57"/>
            <w:bookmarkEnd w:id="103"/>
            <w:r>
              <w:rPr>
                <w:sz w:val="28"/>
              </w:rPr>
              <w:t>葫芦岛</w:t>
            </w:r>
          </w:p>
        </w:tc>
        <w:tc>
          <w:tcPr>
            <w:tcW w:w="6856" w:type="dxa"/>
          </w:tcPr>
          <w:p>
            <w:pPr>
              <w:pStyle w:val="12"/>
              <w:spacing w:before="108"/>
              <w:ind w:left="526" w:right="519"/>
              <w:jc w:val="center"/>
              <w:rPr>
                <w:sz w:val="32"/>
                <w:lang w:eastAsia="zh-CN"/>
              </w:rPr>
            </w:pPr>
            <w:r>
              <w:rPr>
                <w:sz w:val="32"/>
                <w:lang w:eastAsia="zh-CN"/>
              </w:rPr>
              <w:t>绥中县农村信用合作联社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868" w:type="dxa"/>
          </w:tcPr>
          <w:p>
            <w:pPr>
              <w:pStyle w:val="12"/>
              <w:spacing w:before="151"/>
              <w:ind w:left="131" w:right="122"/>
              <w:jc w:val="center"/>
              <w:rPr>
                <w:rFonts w:ascii="Times New Roman"/>
                <w:sz w:val="28"/>
              </w:rPr>
            </w:pPr>
            <w:r>
              <w:rPr>
                <w:rFonts w:ascii="Times New Roman"/>
                <w:sz w:val="28"/>
              </w:rPr>
              <w:t>57</w:t>
            </w:r>
          </w:p>
        </w:tc>
        <w:tc>
          <w:tcPr>
            <w:tcW w:w="1134" w:type="dxa"/>
            <w:vMerge w:val="continue"/>
            <w:tcBorders>
              <w:top w:val="nil"/>
            </w:tcBorders>
          </w:tcPr>
          <w:p>
            <w:pPr>
              <w:rPr>
                <w:sz w:val="2"/>
                <w:szCs w:val="2"/>
              </w:rPr>
            </w:pPr>
          </w:p>
        </w:tc>
        <w:tc>
          <w:tcPr>
            <w:tcW w:w="6856" w:type="dxa"/>
          </w:tcPr>
          <w:p>
            <w:pPr>
              <w:pStyle w:val="12"/>
              <w:spacing w:before="107"/>
              <w:ind w:left="526" w:right="517"/>
              <w:jc w:val="center"/>
              <w:rPr>
                <w:sz w:val="32"/>
                <w:lang w:eastAsia="zh-CN"/>
              </w:rPr>
            </w:pPr>
            <w:bookmarkStart w:id="104" w:name="辽宁兴城农村商业银行股份有限公司"/>
            <w:bookmarkEnd w:id="104"/>
            <w:r>
              <w:rPr>
                <w:sz w:val="32"/>
                <w:lang w:eastAsia="zh-CN"/>
              </w:rPr>
              <w:t>辽宁兴城农村商业银行股份有限公司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868" w:type="dxa"/>
          </w:tcPr>
          <w:p>
            <w:pPr>
              <w:pStyle w:val="12"/>
              <w:spacing w:before="151"/>
              <w:ind w:left="131" w:right="122"/>
              <w:jc w:val="center"/>
              <w:rPr>
                <w:rFonts w:ascii="Times New Roman"/>
                <w:sz w:val="28"/>
              </w:rPr>
            </w:pPr>
            <w:r>
              <w:rPr>
                <w:rFonts w:ascii="Times New Roman"/>
                <w:sz w:val="28"/>
              </w:rPr>
              <w:t>58</w:t>
            </w:r>
          </w:p>
        </w:tc>
        <w:tc>
          <w:tcPr>
            <w:tcW w:w="1134" w:type="dxa"/>
            <w:vMerge w:val="continue"/>
            <w:tcBorders>
              <w:top w:val="nil"/>
            </w:tcBorders>
          </w:tcPr>
          <w:p>
            <w:pPr>
              <w:rPr>
                <w:sz w:val="2"/>
                <w:szCs w:val="2"/>
              </w:rPr>
            </w:pPr>
          </w:p>
        </w:tc>
        <w:tc>
          <w:tcPr>
            <w:tcW w:w="6856" w:type="dxa"/>
          </w:tcPr>
          <w:p>
            <w:pPr>
              <w:pStyle w:val="12"/>
              <w:spacing w:before="109"/>
              <w:ind w:left="526" w:right="519"/>
              <w:jc w:val="center"/>
              <w:rPr>
                <w:sz w:val="32"/>
                <w:lang w:eastAsia="zh-CN"/>
              </w:rPr>
            </w:pPr>
            <w:bookmarkStart w:id="105" w:name="建昌县农村信用合作联社"/>
            <w:bookmarkEnd w:id="105"/>
            <w:r>
              <w:rPr>
                <w:sz w:val="32"/>
                <w:lang w:eastAsia="zh-CN"/>
              </w:rPr>
              <w:t>建昌县农村信用合作联社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868" w:type="dxa"/>
          </w:tcPr>
          <w:p>
            <w:pPr>
              <w:pStyle w:val="12"/>
              <w:spacing w:before="150"/>
              <w:ind w:left="131" w:right="122"/>
              <w:jc w:val="center"/>
              <w:rPr>
                <w:rFonts w:ascii="Times New Roman"/>
                <w:sz w:val="28"/>
              </w:rPr>
            </w:pPr>
            <w:bookmarkStart w:id="106" w:name="59"/>
            <w:bookmarkEnd w:id="106"/>
            <w:r>
              <w:rPr>
                <w:rFonts w:ascii="Times New Roman"/>
                <w:sz w:val="28"/>
              </w:rPr>
              <w:t>59</w:t>
            </w:r>
          </w:p>
        </w:tc>
        <w:tc>
          <w:tcPr>
            <w:tcW w:w="1134" w:type="dxa"/>
            <w:vMerge w:val="continue"/>
            <w:tcBorders>
              <w:top w:val="nil"/>
            </w:tcBorders>
          </w:tcPr>
          <w:p>
            <w:pPr>
              <w:rPr>
                <w:sz w:val="2"/>
                <w:szCs w:val="2"/>
              </w:rPr>
            </w:pPr>
          </w:p>
        </w:tc>
        <w:tc>
          <w:tcPr>
            <w:tcW w:w="6856" w:type="dxa"/>
          </w:tcPr>
          <w:p>
            <w:pPr>
              <w:pStyle w:val="12"/>
              <w:spacing w:before="108"/>
              <w:ind w:left="526" w:right="519"/>
              <w:jc w:val="center"/>
              <w:rPr>
                <w:sz w:val="32"/>
                <w:lang w:eastAsia="zh-CN"/>
              </w:rPr>
            </w:pPr>
            <w:bookmarkStart w:id="107" w:name="葫芦岛农村商业银行股份有限公司"/>
            <w:bookmarkEnd w:id="107"/>
            <w:r>
              <w:rPr>
                <w:sz w:val="32"/>
                <w:lang w:eastAsia="zh-CN"/>
              </w:rPr>
              <w:t>葫芦岛农村商业银行股份有限公司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868" w:type="dxa"/>
          </w:tcPr>
          <w:p>
            <w:pPr>
              <w:pStyle w:val="12"/>
              <w:spacing w:before="149"/>
              <w:ind w:left="131" w:right="122"/>
              <w:jc w:val="center"/>
              <w:rPr>
                <w:rFonts w:ascii="Times New Roman"/>
                <w:sz w:val="28"/>
              </w:rPr>
            </w:pPr>
            <w:bookmarkStart w:id="108" w:name="60"/>
            <w:bookmarkEnd w:id="108"/>
            <w:r>
              <w:rPr>
                <w:rFonts w:ascii="Times New Roman"/>
                <w:sz w:val="28"/>
              </w:rPr>
              <w:t>60</w:t>
            </w:r>
          </w:p>
        </w:tc>
        <w:tc>
          <w:tcPr>
            <w:tcW w:w="1134" w:type="dxa"/>
            <w:vMerge w:val="restart"/>
          </w:tcPr>
          <w:p>
            <w:pPr>
              <w:pStyle w:val="12"/>
              <w:rPr>
                <w:sz w:val="28"/>
              </w:rPr>
            </w:pPr>
          </w:p>
          <w:p>
            <w:pPr>
              <w:pStyle w:val="12"/>
              <w:spacing w:before="9"/>
              <w:rPr>
                <w:sz w:val="21"/>
              </w:rPr>
            </w:pPr>
          </w:p>
          <w:p>
            <w:pPr>
              <w:pStyle w:val="12"/>
              <w:spacing w:line="417" w:lineRule="auto"/>
              <w:ind w:left="286" w:right="273"/>
              <w:rPr>
                <w:sz w:val="28"/>
              </w:rPr>
            </w:pPr>
            <w:bookmarkStart w:id="109" w:name="61"/>
            <w:bookmarkEnd w:id="109"/>
            <w:r>
              <w:rPr>
                <w:sz w:val="28"/>
              </w:rPr>
              <w:t>村镇</w:t>
            </w:r>
            <w:bookmarkStart w:id="110" w:name="62"/>
            <w:bookmarkEnd w:id="110"/>
            <w:r>
              <w:rPr>
                <w:sz w:val="28"/>
              </w:rPr>
              <w:t>银行</w:t>
            </w:r>
          </w:p>
        </w:tc>
        <w:tc>
          <w:tcPr>
            <w:tcW w:w="6856" w:type="dxa"/>
          </w:tcPr>
          <w:p>
            <w:pPr>
              <w:pStyle w:val="12"/>
              <w:spacing w:before="133"/>
              <w:ind w:left="526" w:right="519"/>
              <w:jc w:val="center"/>
              <w:rPr>
                <w:sz w:val="28"/>
                <w:lang w:eastAsia="zh-CN"/>
              </w:rPr>
            </w:pPr>
            <w:bookmarkStart w:id="111" w:name="抚顺市清原村镇银行股份有限公司"/>
            <w:bookmarkEnd w:id="111"/>
            <w:r>
              <w:rPr>
                <w:sz w:val="28"/>
                <w:lang w:eastAsia="zh-CN"/>
              </w:rPr>
              <w:t>抚顺市清原村镇银行股份有限公司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868" w:type="dxa"/>
          </w:tcPr>
          <w:p>
            <w:pPr>
              <w:pStyle w:val="12"/>
              <w:spacing w:before="151"/>
              <w:ind w:left="131" w:right="122"/>
              <w:jc w:val="center"/>
              <w:rPr>
                <w:rFonts w:ascii="Times New Roman"/>
                <w:sz w:val="28"/>
              </w:rPr>
            </w:pPr>
            <w:r>
              <w:rPr>
                <w:rFonts w:ascii="Times New Roman"/>
                <w:sz w:val="28"/>
              </w:rPr>
              <w:t>61</w:t>
            </w:r>
          </w:p>
        </w:tc>
        <w:tc>
          <w:tcPr>
            <w:tcW w:w="1134" w:type="dxa"/>
            <w:vMerge w:val="continue"/>
            <w:tcBorders>
              <w:top w:val="nil"/>
            </w:tcBorders>
          </w:tcPr>
          <w:p>
            <w:pPr>
              <w:rPr>
                <w:sz w:val="2"/>
                <w:szCs w:val="2"/>
              </w:rPr>
            </w:pPr>
          </w:p>
        </w:tc>
        <w:tc>
          <w:tcPr>
            <w:tcW w:w="6856" w:type="dxa"/>
          </w:tcPr>
          <w:p>
            <w:pPr>
              <w:pStyle w:val="12"/>
              <w:spacing w:before="133"/>
              <w:ind w:left="526" w:right="514"/>
              <w:jc w:val="center"/>
              <w:rPr>
                <w:sz w:val="28"/>
                <w:lang w:eastAsia="zh-CN"/>
              </w:rPr>
            </w:pPr>
            <w:bookmarkStart w:id="112" w:name="辽宁沈东村镇银行股份有限公司"/>
            <w:bookmarkEnd w:id="112"/>
            <w:r>
              <w:rPr>
                <w:sz w:val="28"/>
                <w:lang w:eastAsia="zh-CN"/>
              </w:rPr>
              <w:t>辽宁沈东村镇银行股份有限公司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868" w:type="dxa"/>
          </w:tcPr>
          <w:p>
            <w:pPr>
              <w:pStyle w:val="12"/>
              <w:spacing w:before="151"/>
              <w:ind w:left="131" w:right="122"/>
              <w:jc w:val="center"/>
              <w:rPr>
                <w:rFonts w:ascii="Times New Roman"/>
                <w:sz w:val="28"/>
              </w:rPr>
            </w:pPr>
            <w:r>
              <w:rPr>
                <w:rFonts w:ascii="Times New Roman"/>
                <w:sz w:val="28"/>
              </w:rPr>
              <w:t>62</w:t>
            </w:r>
          </w:p>
        </w:tc>
        <w:tc>
          <w:tcPr>
            <w:tcW w:w="1134" w:type="dxa"/>
            <w:vMerge w:val="continue"/>
            <w:tcBorders>
              <w:top w:val="nil"/>
            </w:tcBorders>
          </w:tcPr>
          <w:p>
            <w:pPr>
              <w:rPr>
                <w:sz w:val="2"/>
                <w:szCs w:val="2"/>
              </w:rPr>
            </w:pPr>
          </w:p>
        </w:tc>
        <w:tc>
          <w:tcPr>
            <w:tcW w:w="6856" w:type="dxa"/>
          </w:tcPr>
          <w:p>
            <w:pPr>
              <w:pStyle w:val="12"/>
              <w:spacing w:before="132"/>
              <w:ind w:left="526" w:right="514"/>
              <w:jc w:val="center"/>
              <w:rPr>
                <w:sz w:val="28"/>
                <w:lang w:eastAsia="zh-CN"/>
              </w:rPr>
            </w:pPr>
            <w:bookmarkStart w:id="113" w:name="东港同合村镇银行股份有限公司"/>
            <w:bookmarkEnd w:id="113"/>
            <w:r>
              <w:rPr>
                <w:sz w:val="28"/>
                <w:lang w:eastAsia="zh-CN"/>
              </w:rPr>
              <w:t>东港同合村镇银行股份有限公司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68" w:type="dxa"/>
          </w:tcPr>
          <w:p>
            <w:pPr>
              <w:pStyle w:val="12"/>
              <w:spacing w:before="150"/>
              <w:ind w:left="131" w:right="122"/>
              <w:jc w:val="center"/>
              <w:rPr>
                <w:rFonts w:ascii="Times New Roman"/>
                <w:sz w:val="28"/>
              </w:rPr>
            </w:pPr>
            <w:bookmarkStart w:id="114" w:name="63"/>
            <w:bookmarkEnd w:id="114"/>
            <w:r>
              <w:rPr>
                <w:rFonts w:ascii="Times New Roman"/>
                <w:sz w:val="28"/>
              </w:rPr>
              <w:t>63</w:t>
            </w:r>
          </w:p>
        </w:tc>
        <w:tc>
          <w:tcPr>
            <w:tcW w:w="1134" w:type="dxa"/>
            <w:vMerge w:val="continue"/>
            <w:tcBorders>
              <w:top w:val="nil"/>
            </w:tcBorders>
          </w:tcPr>
          <w:p>
            <w:pPr>
              <w:rPr>
                <w:sz w:val="2"/>
                <w:szCs w:val="2"/>
              </w:rPr>
            </w:pPr>
          </w:p>
        </w:tc>
        <w:tc>
          <w:tcPr>
            <w:tcW w:w="6856" w:type="dxa"/>
          </w:tcPr>
          <w:p>
            <w:pPr>
              <w:pStyle w:val="12"/>
              <w:spacing w:before="134"/>
              <w:ind w:left="526" w:right="514"/>
              <w:jc w:val="center"/>
              <w:rPr>
                <w:sz w:val="28"/>
                <w:lang w:eastAsia="zh-CN"/>
              </w:rPr>
            </w:pPr>
            <w:bookmarkStart w:id="115" w:name="凤城丰益村镇银行股份有限公司"/>
            <w:bookmarkEnd w:id="115"/>
            <w:r>
              <w:rPr>
                <w:sz w:val="28"/>
                <w:lang w:eastAsia="zh-CN"/>
              </w:rPr>
              <w:t>凤城丰益村镇银行股份有限公司</w:t>
            </w:r>
          </w:p>
        </w:tc>
      </w:tr>
    </w:tbl>
    <w:p>
      <w:pPr>
        <w:jc w:val="center"/>
        <w:rPr>
          <w:sz w:val="28"/>
          <w:lang w:eastAsia="zh-CN"/>
        </w:rPr>
        <w:sectPr>
          <w:pgSz w:w="11910" w:h="16840"/>
          <w:pgMar w:top="1420" w:right="640" w:bottom="280" w:left="1000" w:header="720" w:footer="720" w:gutter="0"/>
          <w:cols w:space="720" w:num="1"/>
        </w:sectPr>
      </w:pPr>
    </w:p>
    <w:tbl>
      <w:tblPr>
        <w:tblStyle w:val="10"/>
        <w:tblW w:w="0" w:type="auto"/>
        <w:tblInd w:w="7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8"/>
        <w:gridCol w:w="1134"/>
        <w:gridCol w:w="68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68" w:type="dxa"/>
            <w:tcBorders>
              <w:top w:val="nil"/>
            </w:tcBorders>
          </w:tcPr>
          <w:p>
            <w:pPr>
              <w:pStyle w:val="12"/>
              <w:spacing w:before="156"/>
              <w:ind w:left="131" w:right="122"/>
              <w:jc w:val="center"/>
              <w:rPr>
                <w:rFonts w:ascii="Times New Roman"/>
                <w:sz w:val="28"/>
              </w:rPr>
            </w:pPr>
            <w:bookmarkStart w:id="116" w:name="64"/>
            <w:bookmarkEnd w:id="116"/>
            <w:r>
              <w:rPr>
                <w:rFonts w:ascii="Times New Roman"/>
                <w:sz w:val="28"/>
              </w:rPr>
              <w:t>64</w:t>
            </w:r>
          </w:p>
        </w:tc>
        <w:tc>
          <w:tcPr>
            <w:tcW w:w="1134" w:type="dxa"/>
            <w:vMerge w:val="restart"/>
            <w:tcBorders>
              <w:top w:val="nil"/>
            </w:tcBorders>
          </w:tcPr>
          <w:p>
            <w:pPr>
              <w:pStyle w:val="12"/>
              <w:rPr>
                <w:sz w:val="28"/>
              </w:rPr>
            </w:pPr>
          </w:p>
          <w:p>
            <w:pPr>
              <w:pStyle w:val="12"/>
              <w:rPr>
                <w:sz w:val="28"/>
              </w:rPr>
            </w:pPr>
          </w:p>
          <w:p>
            <w:pPr>
              <w:pStyle w:val="12"/>
              <w:rPr>
                <w:sz w:val="28"/>
              </w:rPr>
            </w:pPr>
          </w:p>
          <w:p>
            <w:pPr>
              <w:pStyle w:val="12"/>
              <w:rPr>
                <w:sz w:val="28"/>
              </w:rPr>
            </w:pPr>
          </w:p>
          <w:p>
            <w:pPr>
              <w:pStyle w:val="12"/>
              <w:rPr>
                <w:sz w:val="28"/>
              </w:rPr>
            </w:pPr>
          </w:p>
          <w:p>
            <w:pPr>
              <w:pStyle w:val="12"/>
              <w:rPr>
                <w:sz w:val="28"/>
              </w:rPr>
            </w:pPr>
          </w:p>
          <w:p>
            <w:pPr>
              <w:pStyle w:val="12"/>
              <w:spacing w:before="193" w:line="417" w:lineRule="auto"/>
              <w:ind w:left="286" w:right="273"/>
              <w:rPr>
                <w:sz w:val="28"/>
              </w:rPr>
            </w:pPr>
            <w:bookmarkStart w:id="117" w:name="村镇"/>
            <w:bookmarkEnd w:id="117"/>
            <w:bookmarkStart w:id="118" w:name="66"/>
            <w:bookmarkEnd w:id="118"/>
            <w:bookmarkStart w:id="119" w:name="68"/>
            <w:bookmarkEnd w:id="119"/>
            <w:bookmarkStart w:id="120" w:name="65"/>
            <w:bookmarkEnd w:id="120"/>
            <w:bookmarkStart w:id="121" w:name="67"/>
            <w:bookmarkEnd w:id="121"/>
            <w:r>
              <w:rPr>
                <w:sz w:val="28"/>
              </w:rPr>
              <w:t>村镇</w:t>
            </w:r>
            <w:bookmarkStart w:id="122" w:name="银行"/>
            <w:bookmarkEnd w:id="122"/>
            <w:bookmarkStart w:id="123" w:name="69"/>
            <w:bookmarkEnd w:id="123"/>
            <w:r>
              <w:rPr>
                <w:sz w:val="28"/>
              </w:rPr>
              <w:t>银行</w:t>
            </w:r>
          </w:p>
        </w:tc>
        <w:tc>
          <w:tcPr>
            <w:tcW w:w="6856" w:type="dxa"/>
            <w:tcBorders>
              <w:top w:val="nil"/>
            </w:tcBorders>
          </w:tcPr>
          <w:p>
            <w:pPr>
              <w:pStyle w:val="12"/>
              <w:spacing w:before="140"/>
              <w:ind w:left="526" w:right="514"/>
              <w:jc w:val="center"/>
              <w:rPr>
                <w:sz w:val="28"/>
                <w:lang w:eastAsia="zh-CN"/>
              </w:rPr>
            </w:pPr>
            <w:bookmarkStart w:id="124" w:name="宽甸百丰村镇银行股份有限公司"/>
            <w:bookmarkEnd w:id="124"/>
            <w:r>
              <w:rPr>
                <w:sz w:val="28"/>
                <w:lang w:eastAsia="zh-CN"/>
              </w:rPr>
              <w:t>宽甸百丰村镇银行股份有限公司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868" w:type="dxa"/>
          </w:tcPr>
          <w:p>
            <w:pPr>
              <w:pStyle w:val="12"/>
              <w:spacing w:before="148"/>
              <w:ind w:left="131" w:right="122"/>
              <w:jc w:val="center"/>
              <w:rPr>
                <w:rFonts w:ascii="Times New Roman"/>
                <w:sz w:val="28"/>
              </w:rPr>
            </w:pPr>
            <w:r>
              <w:rPr>
                <w:rFonts w:ascii="Times New Roman"/>
                <w:sz w:val="28"/>
              </w:rPr>
              <w:t>65</w:t>
            </w:r>
          </w:p>
        </w:tc>
        <w:tc>
          <w:tcPr>
            <w:tcW w:w="1134" w:type="dxa"/>
            <w:vMerge w:val="continue"/>
            <w:tcBorders>
              <w:top w:val="nil"/>
            </w:tcBorders>
          </w:tcPr>
          <w:p>
            <w:pPr>
              <w:rPr>
                <w:sz w:val="2"/>
                <w:szCs w:val="2"/>
              </w:rPr>
            </w:pPr>
          </w:p>
        </w:tc>
        <w:tc>
          <w:tcPr>
            <w:tcW w:w="6856" w:type="dxa"/>
          </w:tcPr>
          <w:p>
            <w:pPr>
              <w:pStyle w:val="12"/>
              <w:spacing w:before="130"/>
              <w:ind w:left="526" w:right="514"/>
              <w:jc w:val="center"/>
              <w:rPr>
                <w:sz w:val="28"/>
                <w:lang w:eastAsia="zh-CN"/>
              </w:rPr>
            </w:pPr>
            <w:bookmarkStart w:id="125" w:name="本溪丰业村镇银行股份有限公司"/>
            <w:bookmarkEnd w:id="125"/>
            <w:r>
              <w:rPr>
                <w:sz w:val="28"/>
                <w:lang w:eastAsia="zh-CN"/>
              </w:rPr>
              <w:t>本溪丰业村镇银行股份有限公司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868" w:type="dxa"/>
          </w:tcPr>
          <w:p>
            <w:pPr>
              <w:pStyle w:val="12"/>
              <w:spacing w:before="148"/>
              <w:ind w:left="131" w:right="122"/>
              <w:jc w:val="center"/>
              <w:rPr>
                <w:rFonts w:ascii="Times New Roman"/>
                <w:sz w:val="28"/>
              </w:rPr>
            </w:pPr>
            <w:r>
              <w:rPr>
                <w:rFonts w:ascii="Times New Roman"/>
                <w:sz w:val="28"/>
              </w:rPr>
              <w:t>66</w:t>
            </w:r>
          </w:p>
        </w:tc>
        <w:tc>
          <w:tcPr>
            <w:tcW w:w="1134" w:type="dxa"/>
            <w:vMerge w:val="continue"/>
            <w:tcBorders>
              <w:top w:val="nil"/>
            </w:tcBorders>
          </w:tcPr>
          <w:p>
            <w:pPr>
              <w:rPr>
                <w:sz w:val="2"/>
                <w:szCs w:val="2"/>
              </w:rPr>
            </w:pPr>
          </w:p>
        </w:tc>
        <w:tc>
          <w:tcPr>
            <w:tcW w:w="6856" w:type="dxa"/>
          </w:tcPr>
          <w:p>
            <w:pPr>
              <w:pStyle w:val="12"/>
              <w:spacing w:before="129"/>
              <w:ind w:left="526" w:right="514"/>
              <w:jc w:val="center"/>
              <w:rPr>
                <w:sz w:val="28"/>
                <w:lang w:eastAsia="zh-CN"/>
              </w:rPr>
            </w:pPr>
            <w:bookmarkStart w:id="126" w:name="本溪丰泰村镇银行股份有限公司"/>
            <w:bookmarkEnd w:id="126"/>
            <w:r>
              <w:rPr>
                <w:sz w:val="28"/>
                <w:lang w:eastAsia="zh-CN"/>
              </w:rPr>
              <w:t>本溪丰泰村镇银行股份有限公司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868" w:type="dxa"/>
          </w:tcPr>
          <w:p>
            <w:pPr>
              <w:pStyle w:val="12"/>
              <w:spacing w:before="147"/>
              <w:ind w:left="131" w:right="122"/>
              <w:jc w:val="center"/>
              <w:rPr>
                <w:rFonts w:ascii="Times New Roman"/>
                <w:sz w:val="28"/>
              </w:rPr>
            </w:pPr>
            <w:r>
              <w:rPr>
                <w:rFonts w:ascii="Times New Roman"/>
                <w:sz w:val="28"/>
              </w:rPr>
              <w:t>67</w:t>
            </w:r>
          </w:p>
        </w:tc>
        <w:tc>
          <w:tcPr>
            <w:tcW w:w="1134" w:type="dxa"/>
            <w:vMerge w:val="continue"/>
            <w:tcBorders>
              <w:top w:val="nil"/>
            </w:tcBorders>
          </w:tcPr>
          <w:p>
            <w:pPr>
              <w:rPr>
                <w:sz w:val="2"/>
                <w:szCs w:val="2"/>
              </w:rPr>
            </w:pPr>
          </w:p>
        </w:tc>
        <w:tc>
          <w:tcPr>
            <w:tcW w:w="6856" w:type="dxa"/>
          </w:tcPr>
          <w:p>
            <w:pPr>
              <w:pStyle w:val="12"/>
              <w:spacing w:before="131"/>
              <w:ind w:left="526" w:right="516"/>
              <w:jc w:val="center"/>
              <w:rPr>
                <w:sz w:val="28"/>
                <w:lang w:eastAsia="zh-CN"/>
              </w:rPr>
            </w:pPr>
            <w:bookmarkStart w:id="127" w:name="锦州松山鑫兴村镇银行股份有限公司"/>
            <w:bookmarkEnd w:id="127"/>
            <w:r>
              <w:rPr>
                <w:sz w:val="28"/>
                <w:lang w:eastAsia="zh-CN"/>
              </w:rPr>
              <w:t>锦州松山鑫兴村镇银行股份有限公司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868" w:type="dxa"/>
          </w:tcPr>
          <w:p>
            <w:pPr>
              <w:pStyle w:val="12"/>
              <w:spacing w:before="147"/>
              <w:ind w:left="131" w:right="122"/>
              <w:jc w:val="center"/>
              <w:rPr>
                <w:rFonts w:ascii="Times New Roman"/>
                <w:sz w:val="28"/>
              </w:rPr>
            </w:pPr>
            <w:r>
              <w:rPr>
                <w:rFonts w:ascii="Times New Roman"/>
                <w:sz w:val="28"/>
              </w:rPr>
              <w:t>68</w:t>
            </w:r>
          </w:p>
        </w:tc>
        <w:tc>
          <w:tcPr>
            <w:tcW w:w="1134" w:type="dxa"/>
            <w:vMerge w:val="continue"/>
            <w:tcBorders>
              <w:top w:val="nil"/>
            </w:tcBorders>
          </w:tcPr>
          <w:p>
            <w:pPr>
              <w:rPr>
                <w:sz w:val="2"/>
                <w:szCs w:val="2"/>
              </w:rPr>
            </w:pPr>
          </w:p>
        </w:tc>
        <w:tc>
          <w:tcPr>
            <w:tcW w:w="6856" w:type="dxa"/>
          </w:tcPr>
          <w:p>
            <w:pPr>
              <w:pStyle w:val="12"/>
              <w:spacing w:before="130"/>
              <w:ind w:left="526" w:right="519"/>
              <w:jc w:val="center"/>
              <w:rPr>
                <w:sz w:val="28"/>
                <w:lang w:eastAsia="zh-CN"/>
              </w:rPr>
            </w:pPr>
            <w:bookmarkStart w:id="128" w:name="辽宁太子河村镇银行股份有限公司"/>
            <w:bookmarkEnd w:id="128"/>
            <w:r>
              <w:rPr>
                <w:sz w:val="28"/>
                <w:lang w:eastAsia="zh-CN"/>
              </w:rPr>
              <w:t>辽宁太子河村镇银行股份有限公司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868" w:type="dxa"/>
          </w:tcPr>
          <w:p>
            <w:pPr>
              <w:pStyle w:val="12"/>
              <w:spacing w:before="148"/>
              <w:ind w:left="131" w:right="122"/>
              <w:jc w:val="center"/>
              <w:rPr>
                <w:rFonts w:ascii="Times New Roman"/>
                <w:sz w:val="28"/>
              </w:rPr>
            </w:pPr>
            <w:r>
              <w:rPr>
                <w:rFonts w:ascii="Times New Roman"/>
                <w:sz w:val="28"/>
              </w:rPr>
              <w:t>69</w:t>
            </w:r>
          </w:p>
        </w:tc>
        <w:tc>
          <w:tcPr>
            <w:tcW w:w="1134" w:type="dxa"/>
            <w:vMerge w:val="continue"/>
            <w:tcBorders>
              <w:top w:val="nil"/>
            </w:tcBorders>
          </w:tcPr>
          <w:p>
            <w:pPr>
              <w:rPr>
                <w:sz w:val="2"/>
                <w:szCs w:val="2"/>
              </w:rPr>
            </w:pPr>
          </w:p>
        </w:tc>
        <w:tc>
          <w:tcPr>
            <w:tcW w:w="6856" w:type="dxa"/>
          </w:tcPr>
          <w:p>
            <w:pPr>
              <w:pStyle w:val="12"/>
              <w:spacing w:before="130"/>
              <w:ind w:left="526" w:right="519"/>
              <w:jc w:val="center"/>
              <w:rPr>
                <w:sz w:val="28"/>
                <w:lang w:eastAsia="zh-CN"/>
              </w:rPr>
            </w:pPr>
            <w:bookmarkStart w:id="129" w:name="开原象牙山村镇银行股份有限公司"/>
            <w:bookmarkEnd w:id="129"/>
            <w:r>
              <w:rPr>
                <w:sz w:val="28"/>
                <w:lang w:eastAsia="zh-CN"/>
              </w:rPr>
              <w:t>开原象牙山村镇银行股份有限公司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868" w:type="dxa"/>
          </w:tcPr>
          <w:p>
            <w:pPr>
              <w:pStyle w:val="12"/>
              <w:spacing w:before="148"/>
              <w:ind w:left="131" w:right="122"/>
              <w:jc w:val="center"/>
              <w:rPr>
                <w:rFonts w:ascii="Times New Roman"/>
                <w:sz w:val="28"/>
              </w:rPr>
            </w:pPr>
            <w:bookmarkStart w:id="130" w:name="70"/>
            <w:bookmarkEnd w:id="130"/>
            <w:r>
              <w:rPr>
                <w:rFonts w:ascii="Times New Roman"/>
                <w:sz w:val="28"/>
              </w:rPr>
              <w:t>70</w:t>
            </w:r>
          </w:p>
        </w:tc>
        <w:tc>
          <w:tcPr>
            <w:tcW w:w="1134" w:type="dxa"/>
            <w:vMerge w:val="continue"/>
            <w:tcBorders>
              <w:top w:val="nil"/>
            </w:tcBorders>
          </w:tcPr>
          <w:p>
            <w:pPr>
              <w:rPr>
                <w:sz w:val="2"/>
                <w:szCs w:val="2"/>
              </w:rPr>
            </w:pPr>
          </w:p>
        </w:tc>
        <w:tc>
          <w:tcPr>
            <w:tcW w:w="6856" w:type="dxa"/>
          </w:tcPr>
          <w:p>
            <w:pPr>
              <w:pStyle w:val="12"/>
              <w:spacing w:before="129"/>
              <w:ind w:left="526" w:right="514"/>
              <w:jc w:val="center"/>
              <w:rPr>
                <w:sz w:val="28"/>
                <w:lang w:eastAsia="zh-CN"/>
              </w:rPr>
            </w:pPr>
            <w:bookmarkStart w:id="131" w:name="昌图民祥村镇银行股份有限公司"/>
            <w:bookmarkEnd w:id="131"/>
            <w:r>
              <w:rPr>
                <w:sz w:val="28"/>
                <w:lang w:eastAsia="zh-CN"/>
              </w:rPr>
              <w:t>昌图民祥村镇银行股份有限公司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868" w:type="dxa"/>
          </w:tcPr>
          <w:p>
            <w:pPr>
              <w:pStyle w:val="12"/>
              <w:spacing w:before="147"/>
              <w:ind w:left="131" w:right="122"/>
              <w:jc w:val="center"/>
              <w:rPr>
                <w:rFonts w:ascii="Times New Roman"/>
                <w:sz w:val="28"/>
              </w:rPr>
            </w:pPr>
            <w:bookmarkStart w:id="132" w:name="71"/>
            <w:bookmarkEnd w:id="132"/>
            <w:r>
              <w:rPr>
                <w:rFonts w:ascii="Times New Roman"/>
                <w:sz w:val="28"/>
              </w:rPr>
              <w:t>71</w:t>
            </w:r>
          </w:p>
        </w:tc>
        <w:tc>
          <w:tcPr>
            <w:tcW w:w="1134" w:type="dxa"/>
            <w:vMerge w:val="continue"/>
            <w:tcBorders>
              <w:top w:val="nil"/>
            </w:tcBorders>
          </w:tcPr>
          <w:p>
            <w:pPr>
              <w:rPr>
                <w:sz w:val="2"/>
                <w:szCs w:val="2"/>
              </w:rPr>
            </w:pPr>
          </w:p>
        </w:tc>
        <w:tc>
          <w:tcPr>
            <w:tcW w:w="6856" w:type="dxa"/>
          </w:tcPr>
          <w:p>
            <w:pPr>
              <w:pStyle w:val="12"/>
              <w:spacing w:before="131"/>
              <w:ind w:left="526" w:right="514"/>
              <w:jc w:val="center"/>
              <w:rPr>
                <w:sz w:val="28"/>
                <w:lang w:eastAsia="zh-CN"/>
              </w:rPr>
            </w:pPr>
            <w:bookmarkStart w:id="133" w:name="西丰鹿城村镇银行股份有限公司"/>
            <w:bookmarkEnd w:id="133"/>
            <w:r>
              <w:rPr>
                <w:sz w:val="28"/>
                <w:lang w:eastAsia="zh-CN"/>
              </w:rPr>
              <w:t>西丰鹿城村镇银行股份有限公司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868" w:type="dxa"/>
          </w:tcPr>
          <w:p>
            <w:pPr>
              <w:pStyle w:val="12"/>
              <w:spacing w:before="147"/>
              <w:ind w:left="131" w:right="122"/>
              <w:jc w:val="center"/>
              <w:rPr>
                <w:rFonts w:ascii="Times New Roman"/>
                <w:sz w:val="28"/>
              </w:rPr>
            </w:pPr>
            <w:bookmarkStart w:id="134" w:name="72"/>
            <w:bookmarkEnd w:id="134"/>
            <w:r>
              <w:rPr>
                <w:rFonts w:ascii="Times New Roman"/>
                <w:sz w:val="28"/>
              </w:rPr>
              <w:t>72</w:t>
            </w:r>
          </w:p>
        </w:tc>
        <w:tc>
          <w:tcPr>
            <w:tcW w:w="1134" w:type="dxa"/>
            <w:vMerge w:val="continue"/>
            <w:tcBorders>
              <w:top w:val="nil"/>
            </w:tcBorders>
          </w:tcPr>
          <w:p>
            <w:pPr>
              <w:rPr>
                <w:sz w:val="2"/>
                <w:szCs w:val="2"/>
              </w:rPr>
            </w:pPr>
          </w:p>
        </w:tc>
        <w:tc>
          <w:tcPr>
            <w:tcW w:w="6856" w:type="dxa"/>
          </w:tcPr>
          <w:p>
            <w:pPr>
              <w:pStyle w:val="12"/>
              <w:spacing w:before="131"/>
              <w:ind w:left="526" w:right="514"/>
              <w:jc w:val="center"/>
              <w:rPr>
                <w:sz w:val="28"/>
                <w:lang w:eastAsia="zh-CN"/>
              </w:rPr>
            </w:pPr>
            <w:bookmarkStart w:id="135" w:name="建平红山村镇银行股份有限公司"/>
            <w:bookmarkEnd w:id="135"/>
            <w:r>
              <w:rPr>
                <w:sz w:val="28"/>
                <w:lang w:eastAsia="zh-CN"/>
              </w:rPr>
              <w:t>建平红山村镇银行股份有限公司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868" w:type="dxa"/>
          </w:tcPr>
          <w:p>
            <w:pPr>
              <w:pStyle w:val="12"/>
              <w:spacing w:before="148"/>
              <w:ind w:left="131" w:right="122"/>
              <w:jc w:val="center"/>
              <w:rPr>
                <w:rFonts w:ascii="Times New Roman"/>
                <w:sz w:val="28"/>
              </w:rPr>
            </w:pPr>
            <w:bookmarkStart w:id="136" w:name="73"/>
            <w:bookmarkEnd w:id="136"/>
            <w:r>
              <w:rPr>
                <w:rFonts w:ascii="Times New Roman"/>
                <w:sz w:val="28"/>
              </w:rPr>
              <w:t>73</w:t>
            </w:r>
          </w:p>
        </w:tc>
        <w:tc>
          <w:tcPr>
            <w:tcW w:w="1134" w:type="dxa"/>
            <w:vMerge w:val="continue"/>
            <w:tcBorders>
              <w:top w:val="nil"/>
            </w:tcBorders>
          </w:tcPr>
          <w:p>
            <w:pPr>
              <w:rPr>
                <w:sz w:val="2"/>
                <w:szCs w:val="2"/>
              </w:rPr>
            </w:pPr>
          </w:p>
        </w:tc>
        <w:tc>
          <w:tcPr>
            <w:tcW w:w="6856" w:type="dxa"/>
          </w:tcPr>
          <w:p>
            <w:pPr>
              <w:pStyle w:val="12"/>
              <w:spacing w:before="130"/>
              <w:ind w:left="526" w:right="519"/>
              <w:jc w:val="center"/>
              <w:rPr>
                <w:sz w:val="28"/>
                <w:lang w:eastAsia="zh-CN"/>
              </w:rPr>
            </w:pPr>
            <w:bookmarkStart w:id="137" w:name="葫芦岛国信村镇银行股份有限公司"/>
            <w:bookmarkEnd w:id="137"/>
            <w:r>
              <w:rPr>
                <w:sz w:val="28"/>
                <w:lang w:eastAsia="zh-CN"/>
              </w:rPr>
              <w:t>葫芦岛国信村镇银行股份有限公司</w:t>
            </w:r>
          </w:p>
        </w:tc>
      </w:tr>
    </w:tbl>
    <w:p>
      <w:pPr>
        <w:pStyle w:val="5"/>
        <w:ind w:left="0"/>
        <w:rPr>
          <w:sz w:val="20"/>
          <w:lang w:eastAsia="zh-CN"/>
        </w:rPr>
      </w:pPr>
    </w:p>
    <w:p>
      <w:pPr>
        <w:spacing w:before="70" w:line="266" w:lineRule="auto"/>
        <w:ind w:left="891" w:right="792"/>
        <w:rPr>
          <w:rFonts w:ascii="宋体" w:eastAsia="宋体"/>
          <w:lang w:eastAsia="zh-CN"/>
        </w:rPr>
      </w:pPr>
      <w:r>
        <w:rPr>
          <w:rFonts w:hint="eastAsia" w:ascii="宋体" w:eastAsia="宋体"/>
          <w:lang w:eastAsia="zh-CN"/>
        </w:rPr>
        <w:t>（备注：法人行社及村镇银行明细包括但不局限以上单位，具体开票信息已实际提供明细为准）</w:t>
      </w:r>
    </w:p>
    <w:sectPr>
      <w:pgSz w:w="11910" w:h="16840"/>
      <w:pgMar w:top="1420" w:right="640" w:bottom="28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7600046"/>
      <w:docPartObj>
        <w:docPartGallery w:val="AutoText"/>
      </w:docPartObj>
    </w:sdtPr>
    <w:sdtContent>
      <w:p>
        <w:pPr>
          <w:pStyle w:val="6"/>
          <w:jc w:val="center"/>
        </w:pPr>
        <w:r>
          <w:fldChar w:fldCharType="begin"/>
        </w:r>
        <w:r>
          <w:instrText xml:space="preserve">PAGE   \* MERGEFORMAT</w:instrText>
        </w:r>
        <w:r>
          <w:fldChar w:fldCharType="separate"/>
        </w:r>
        <w:r>
          <w:rPr>
            <w:lang w:val="zh-CN" w:eastAsia="zh-CN"/>
          </w:rPr>
          <w:t>2</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BB2204"/>
    <w:multiLevelType w:val="multilevel"/>
    <w:tmpl w:val="00BB2204"/>
    <w:lvl w:ilvl="0" w:tentative="0">
      <w:start w:val="1"/>
      <w:numFmt w:val="decimal"/>
      <w:lvlText w:val="（%1）"/>
      <w:lvlJc w:val="left"/>
      <w:pPr>
        <w:ind w:left="1881" w:hanging="601"/>
      </w:pPr>
      <w:rPr>
        <w:rFonts w:hint="default" w:ascii="仿宋" w:hAnsi="仿宋" w:eastAsia="仿宋" w:cs="仿宋"/>
        <w:w w:val="100"/>
        <w:sz w:val="22"/>
        <w:szCs w:val="22"/>
      </w:rPr>
    </w:lvl>
    <w:lvl w:ilvl="1" w:tentative="0">
      <w:start w:val="0"/>
      <w:numFmt w:val="bullet"/>
      <w:lvlText w:val="•"/>
      <w:lvlJc w:val="left"/>
      <w:pPr>
        <w:ind w:left="2000" w:hanging="601"/>
      </w:pPr>
      <w:rPr>
        <w:rFonts w:hint="default"/>
      </w:rPr>
    </w:lvl>
    <w:lvl w:ilvl="2" w:tentative="0">
      <w:start w:val="0"/>
      <w:numFmt w:val="bullet"/>
      <w:lvlText w:val="•"/>
      <w:lvlJc w:val="left"/>
      <w:pPr>
        <w:ind w:left="2918" w:hanging="601"/>
      </w:pPr>
      <w:rPr>
        <w:rFonts w:hint="default"/>
      </w:rPr>
    </w:lvl>
    <w:lvl w:ilvl="3" w:tentative="0">
      <w:start w:val="0"/>
      <w:numFmt w:val="bullet"/>
      <w:lvlText w:val="•"/>
      <w:lvlJc w:val="left"/>
      <w:pPr>
        <w:ind w:left="3836" w:hanging="601"/>
      </w:pPr>
      <w:rPr>
        <w:rFonts w:hint="default"/>
      </w:rPr>
    </w:lvl>
    <w:lvl w:ilvl="4" w:tentative="0">
      <w:start w:val="0"/>
      <w:numFmt w:val="bullet"/>
      <w:lvlText w:val="•"/>
      <w:lvlJc w:val="left"/>
      <w:pPr>
        <w:ind w:left="4755" w:hanging="601"/>
      </w:pPr>
      <w:rPr>
        <w:rFonts w:hint="default"/>
      </w:rPr>
    </w:lvl>
    <w:lvl w:ilvl="5" w:tentative="0">
      <w:start w:val="0"/>
      <w:numFmt w:val="bullet"/>
      <w:lvlText w:val="•"/>
      <w:lvlJc w:val="left"/>
      <w:pPr>
        <w:ind w:left="5673" w:hanging="601"/>
      </w:pPr>
      <w:rPr>
        <w:rFonts w:hint="default"/>
      </w:rPr>
    </w:lvl>
    <w:lvl w:ilvl="6" w:tentative="0">
      <w:start w:val="0"/>
      <w:numFmt w:val="bullet"/>
      <w:lvlText w:val="•"/>
      <w:lvlJc w:val="left"/>
      <w:pPr>
        <w:ind w:left="6592" w:hanging="601"/>
      </w:pPr>
      <w:rPr>
        <w:rFonts w:hint="default"/>
      </w:rPr>
    </w:lvl>
    <w:lvl w:ilvl="7" w:tentative="0">
      <w:start w:val="0"/>
      <w:numFmt w:val="bullet"/>
      <w:lvlText w:val="•"/>
      <w:lvlJc w:val="left"/>
      <w:pPr>
        <w:ind w:left="7510" w:hanging="601"/>
      </w:pPr>
      <w:rPr>
        <w:rFonts w:hint="default"/>
      </w:rPr>
    </w:lvl>
    <w:lvl w:ilvl="8" w:tentative="0">
      <w:start w:val="0"/>
      <w:numFmt w:val="bullet"/>
      <w:lvlText w:val="•"/>
      <w:lvlJc w:val="left"/>
      <w:pPr>
        <w:ind w:left="8429" w:hanging="601"/>
      </w:pPr>
      <w:rPr>
        <w:rFonts w:hint="default"/>
      </w:rPr>
    </w:lvl>
  </w:abstractNum>
  <w:abstractNum w:abstractNumId="1">
    <w:nsid w:val="061756D6"/>
    <w:multiLevelType w:val="multilevel"/>
    <w:tmpl w:val="061756D6"/>
    <w:lvl w:ilvl="0" w:tentative="0">
      <w:start w:val="1"/>
      <w:numFmt w:val="decimal"/>
      <w:lvlText w:val="%1."/>
      <w:lvlJc w:val="left"/>
      <w:pPr>
        <w:ind w:left="800" w:hanging="181"/>
      </w:pPr>
      <w:rPr>
        <w:rFonts w:hint="default" w:ascii="Times New Roman" w:hAnsi="Times New Roman" w:eastAsia="Times New Roman" w:cs="Times New Roman"/>
        <w:w w:val="100"/>
        <w:sz w:val="22"/>
        <w:szCs w:val="22"/>
      </w:rPr>
    </w:lvl>
    <w:lvl w:ilvl="1" w:tentative="0">
      <w:start w:val="0"/>
      <w:numFmt w:val="bullet"/>
      <w:lvlText w:val="•"/>
      <w:lvlJc w:val="left"/>
      <w:pPr>
        <w:ind w:left="1746" w:hanging="181"/>
      </w:pPr>
      <w:rPr>
        <w:rFonts w:hint="default"/>
      </w:rPr>
    </w:lvl>
    <w:lvl w:ilvl="2" w:tentative="0">
      <w:start w:val="0"/>
      <w:numFmt w:val="bullet"/>
      <w:lvlText w:val="•"/>
      <w:lvlJc w:val="left"/>
      <w:pPr>
        <w:ind w:left="2693" w:hanging="181"/>
      </w:pPr>
      <w:rPr>
        <w:rFonts w:hint="default"/>
      </w:rPr>
    </w:lvl>
    <w:lvl w:ilvl="3" w:tentative="0">
      <w:start w:val="0"/>
      <w:numFmt w:val="bullet"/>
      <w:lvlText w:val="•"/>
      <w:lvlJc w:val="left"/>
      <w:pPr>
        <w:ind w:left="3639" w:hanging="181"/>
      </w:pPr>
      <w:rPr>
        <w:rFonts w:hint="default"/>
      </w:rPr>
    </w:lvl>
    <w:lvl w:ilvl="4" w:tentative="0">
      <w:start w:val="0"/>
      <w:numFmt w:val="bullet"/>
      <w:lvlText w:val="•"/>
      <w:lvlJc w:val="left"/>
      <w:pPr>
        <w:ind w:left="4586" w:hanging="181"/>
      </w:pPr>
      <w:rPr>
        <w:rFonts w:hint="default"/>
      </w:rPr>
    </w:lvl>
    <w:lvl w:ilvl="5" w:tentative="0">
      <w:start w:val="0"/>
      <w:numFmt w:val="bullet"/>
      <w:lvlText w:val="•"/>
      <w:lvlJc w:val="left"/>
      <w:pPr>
        <w:ind w:left="5533" w:hanging="181"/>
      </w:pPr>
      <w:rPr>
        <w:rFonts w:hint="default"/>
      </w:rPr>
    </w:lvl>
    <w:lvl w:ilvl="6" w:tentative="0">
      <w:start w:val="0"/>
      <w:numFmt w:val="bullet"/>
      <w:lvlText w:val="•"/>
      <w:lvlJc w:val="left"/>
      <w:pPr>
        <w:ind w:left="6479" w:hanging="181"/>
      </w:pPr>
      <w:rPr>
        <w:rFonts w:hint="default"/>
      </w:rPr>
    </w:lvl>
    <w:lvl w:ilvl="7" w:tentative="0">
      <w:start w:val="0"/>
      <w:numFmt w:val="bullet"/>
      <w:lvlText w:val="•"/>
      <w:lvlJc w:val="left"/>
      <w:pPr>
        <w:ind w:left="7426" w:hanging="181"/>
      </w:pPr>
      <w:rPr>
        <w:rFonts w:hint="default"/>
      </w:rPr>
    </w:lvl>
    <w:lvl w:ilvl="8" w:tentative="0">
      <w:start w:val="0"/>
      <w:numFmt w:val="bullet"/>
      <w:lvlText w:val="•"/>
      <w:lvlJc w:val="left"/>
      <w:pPr>
        <w:ind w:left="8372" w:hanging="181"/>
      </w:pPr>
      <w:rPr>
        <w:rFonts w:hint="default"/>
      </w:rPr>
    </w:lvl>
  </w:abstractNum>
  <w:abstractNum w:abstractNumId="2">
    <w:nsid w:val="069F2ABF"/>
    <w:multiLevelType w:val="multilevel"/>
    <w:tmpl w:val="069F2ABF"/>
    <w:lvl w:ilvl="0" w:tentative="0">
      <w:start w:val="1"/>
      <w:numFmt w:val="decimal"/>
      <w:lvlText w:val="%1."/>
      <w:lvlJc w:val="left"/>
      <w:pPr>
        <w:ind w:left="1580" w:hanging="300"/>
      </w:pPr>
      <w:rPr>
        <w:rFonts w:hint="default" w:ascii="Times New Roman" w:hAnsi="Times New Roman" w:eastAsia="Times New Roman" w:cs="Times New Roman"/>
        <w:w w:val="100"/>
        <w:sz w:val="24"/>
        <w:szCs w:val="24"/>
      </w:rPr>
    </w:lvl>
    <w:lvl w:ilvl="1" w:tentative="0">
      <w:start w:val="0"/>
      <w:numFmt w:val="bullet"/>
      <w:lvlText w:val="•"/>
      <w:lvlJc w:val="left"/>
      <w:pPr>
        <w:ind w:left="2448" w:hanging="300"/>
      </w:pPr>
      <w:rPr>
        <w:rFonts w:hint="default"/>
      </w:rPr>
    </w:lvl>
    <w:lvl w:ilvl="2" w:tentative="0">
      <w:start w:val="0"/>
      <w:numFmt w:val="bullet"/>
      <w:lvlText w:val="•"/>
      <w:lvlJc w:val="left"/>
      <w:pPr>
        <w:ind w:left="3317" w:hanging="300"/>
      </w:pPr>
      <w:rPr>
        <w:rFonts w:hint="default"/>
      </w:rPr>
    </w:lvl>
    <w:lvl w:ilvl="3" w:tentative="0">
      <w:start w:val="0"/>
      <w:numFmt w:val="bullet"/>
      <w:lvlText w:val="•"/>
      <w:lvlJc w:val="left"/>
      <w:pPr>
        <w:ind w:left="4185" w:hanging="300"/>
      </w:pPr>
      <w:rPr>
        <w:rFonts w:hint="default"/>
      </w:rPr>
    </w:lvl>
    <w:lvl w:ilvl="4" w:tentative="0">
      <w:start w:val="0"/>
      <w:numFmt w:val="bullet"/>
      <w:lvlText w:val="•"/>
      <w:lvlJc w:val="left"/>
      <w:pPr>
        <w:ind w:left="5054" w:hanging="300"/>
      </w:pPr>
      <w:rPr>
        <w:rFonts w:hint="default"/>
      </w:rPr>
    </w:lvl>
    <w:lvl w:ilvl="5" w:tentative="0">
      <w:start w:val="0"/>
      <w:numFmt w:val="bullet"/>
      <w:lvlText w:val="•"/>
      <w:lvlJc w:val="left"/>
      <w:pPr>
        <w:ind w:left="5923" w:hanging="300"/>
      </w:pPr>
      <w:rPr>
        <w:rFonts w:hint="default"/>
      </w:rPr>
    </w:lvl>
    <w:lvl w:ilvl="6" w:tentative="0">
      <w:start w:val="0"/>
      <w:numFmt w:val="bullet"/>
      <w:lvlText w:val="•"/>
      <w:lvlJc w:val="left"/>
      <w:pPr>
        <w:ind w:left="6791" w:hanging="300"/>
      </w:pPr>
      <w:rPr>
        <w:rFonts w:hint="default"/>
      </w:rPr>
    </w:lvl>
    <w:lvl w:ilvl="7" w:tentative="0">
      <w:start w:val="0"/>
      <w:numFmt w:val="bullet"/>
      <w:lvlText w:val="•"/>
      <w:lvlJc w:val="left"/>
      <w:pPr>
        <w:ind w:left="7660" w:hanging="300"/>
      </w:pPr>
      <w:rPr>
        <w:rFonts w:hint="default"/>
      </w:rPr>
    </w:lvl>
    <w:lvl w:ilvl="8" w:tentative="0">
      <w:start w:val="0"/>
      <w:numFmt w:val="bullet"/>
      <w:lvlText w:val="•"/>
      <w:lvlJc w:val="left"/>
      <w:pPr>
        <w:ind w:left="8528" w:hanging="300"/>
      </w:pPr>
      <w:rPr>
        <w:rFonts w:hint="default"/>
      </w:rPr>
    </w:lvl>
  </w:abstractNum>
  <w:abstractNum w:abstractNumId="3">
    <w:nsid w:val="0DBB5F58"/>
    <w:multiLevelType w:val="multilevel"/>
    <w:tmpl w:val="0DBB5F58"/>
    <w:lvl w:ilvl="0" w:tentative="0">
      <w:start w:val="1"/>
      <w:numFmt w:val="decimal"/>
      <w:lvlText w:val="%1."/>
      <w:lvlJc w:val="left"/>
      <w:pPr>
        <w:ind w:left="800" w:hanging="181"/>
      </w:pPr>
      <w:rPr>
        <w:rFonts w:hint="default" w:ascii="Times New Roman" w:hAnsi="Times New Roman" w:eastAsia="Times New Roman" w:cs="Times New Roman"/>
        <w:w w:val="100"/>
        <w:sz w:val="22"/>
        <w:szCs w:val="22"/>
      </w:rPr>
    </w:lvl>
    <w:lvl w:ilvl="1" w:tentative="0">
      <w:start w:val="0"/>
      <w:numFmt w:val="bullet"/>
      <w:lvlText w:val="•"/>
      <w:lvlJc w:val="left"/>
      <w:pPr>
        <w:ind w:left="1746" w:hanging="181"/>
      </w:pPr>
      <w:rPr>
        <w:rFonts w:hint="default"/>
      </w:rPr>
    </w:lvl>
    <w:lvl w:ilvl="2" w:tentative="0">
      <w:start w:val="0"/>
      <w:numFmt w:val="bullet"/>
      <w:lvlText w:val="•"/>
      <w:lvlJc w:val="left"/>
      <w:pPr>
        <w:ind w:left="2693" w:hanging="181"/>
      </w:pPr>
      <w:rPr>
        <w:rFonts w:hint="default"/>
      </w:rPr>
    </w:lvl>
    <w:lvl w:ilvl="3" w:tentative="0">
      <w:start w:val="0"/>
      <w:numFmt w:val="bullet"/>
      <w:lvlText w:val="•"/>
      <w:lvlJc w:val="left"/>
      <w:pPr>
        <w:ind w:left="3639" w:hanging="181"/>
      </w:pPr>
      <w:rPr>
        <w:rFonts w:hint="default"/>
      </w:rPr>
    </w:lvl>
    <w:lvl w:ilvl="4" w:tentative="0">
      <w:start w:val="0"/>
      <w:numFmt w:val="bullet"/>
      <w:lvlText w:val="•"/>
      <w:lvlJc w:val="left"/>
      <w:pPr>
        <w:ind w:left="4586" w:hanging="181"/>
      </w:pPr>
      <w:rPr>
        <w:rFonts w:hint="default"/>
      </w:rPr>
    </w:lvl>
    <w:lvl w:ilvl="5" w:tentative="0">
      <w:start w:val="0"/>
      <w:numFmt w:val="bullet"/>
      <w:lvlText w:val="•"/>
      <w:lvlJc w:val="left"/>
      <w:pPr>
        <w:ind w:left="5533" w:hanging="181"/>
      </w:pPr>
      <w:rPr>
        <w:rFonts w:hint="default"/>
      </w:rPr>
    </w:lvl>
    <w:lvl w:ilvl="6" w:tentative="0">
      <w:start w:val="0"/>
      <w:numFmt w:val="bullet"/>
      <w:lvlText w:val="•"/>
      <w:lvlJc w:val="left"/>
      <w:pPr>
        <w:ind w:left="6479" w:hanging="181"/>
      </w:pPr>
      <w:rPr>
        <w:rFonts w:hint="default"/>
      </w:rPr>
    </w:lvl>
    <w:lvl w:ilvl="7" w:tentative="0">
      <w:start w:val="0"/>
      <w:numFmt w:val="bullet"/>
      <w:lvlText w:val="•"/>
      <w:lvlJc w:val="left"/>
      <w:pPr>
        <w:ind w:left="7426" w:hanging="181"/>
      </w:pPr>
      <w:rPr>
        <w:rFonts w:hint="default"/>
      </w:rPr>
    </w:lvl>
    <w:lvl w:ilvl="8" w:tentative="0">
      <w:start w:val="0"/>
      <w:numFmt w:val="bullet"/>
      <w:lvlText w:val="•"/>
      <w:lvlJc w:val="left"/>
      <w:pPr>
        <w:ind w:left="8372" w:hanging="181"/>
      </w:pPr>
      <w:rPr>
        <w:rFonts w:hint="default"/>
      </w:rPr>
    </w:lvl>
  </w:abstractNum>
  <w:abstractNum w:abstractNumId="4">
    <w:nsid w:val="0F211B75"/>
    <w:multiLevelType w:val="multilevel"/>
    <w:tmpl w:val="0F211B75"/>
    <w:lvl w:ilvl="0" w:tentative="0">
      <w:start w:val="5"/>
      <w:numFmt w:val="decimal"/>
      <w:lvlText w:val="%1."/>
      <w:lvlJc w:val="left"/>
      <w:pPr>
        <w:ind w:left="1717" w:hanging="300"/>
      </w:pPr>
      <w:rPr>
        <w:rFonts w:hint="default" w:ascii="Times New Roman" w:hAnsi="Times New Roman" w:eastAsia="Times New Roman" w:cs="Times New Roman"/>
        <w:w w:val="100"/>
        <w:sz w:val="24"/>
        <w:szCs w:val="24"/>
      </w:rPr>
    </w:lvl>
    <w:lvl w:ilvl="1" w:tentative="0">
      <w:start w:val="0"/>
      <w:numFmt w:val="bullet"/>
      <w:lvlText w:val="•"/>
      <w:lvlJc w:val="left"/>
      <w:pPr>
        <w:ind w:left="2663" w:hanging="300"/>
      </w:pPr>
      <w:rPr>
        <w:rFonts w:hint="default"/>
      </w:rPr>
    </w:lvl>
    <w:lvl w:ilvl="2" w:tentative="0">
      <w:start w:val="0"/>
      <w:numFmt w:val="bullet"/>
      <w:lvlText w:val="•"/>
      <w:lvlJc w:val="left"/>
      <w:pPr>
        <w:ind w:left="3610" w:hanging="300"/>
      </w:pPr>
      <w:rPr>
        <w:rFonts w:hint="default"/>
      </w:rPr>
    </w:lvl>
    <w:lvl w:ilvl="3" w:tentative="0">
      <w:start w:val="0"/>
      <w:numFmt w:val="bullet"/>
      <w:lvlText w:val="•"/>
      <w:lvlJc w:val="left"/>
      <w:pPr>
        <w:ind w:left="4556" w:hanging="300"/>
      </w:pPr>
      <w:rPr>
        <w:rFonts w:hint="default"/>
      </w:rPr>
    </w:lvl>
    <w:lvl w:ilvl="4" w:tentative="0">
      <w:start w:val="0"/>
      <w:numFmt w:val="bullet"/>
      <w:lvlText w:val="•"/>
      <w:lvlJc w:val="left"/>
      <w:pPr>
        <w:ind w:left="5503" w:hanging="300"/>
      </w:pPr>
      <w:rPr>
        <w:rFonts w:hint="default"/>
      </w:rPr>
    </w:lvl>
    <w:lvl w:ilvl="5" w:tentative="0">
      <w:start w:val="0"/>
      <w:numFmt w:val="bullet"/>
      <w:lvlText w:val="•"/>
      <w:lvlJc w:val="left"/>
      <w:pPr>
        <w:ind w:left="6450" w:hanging="300"/>
      </w:pPr>
      <w:rPr>
        <w:rFonts w:hint="default"/>
      </w:rPr>
    </w:lvl>
    <w:lvl w:ilvl="6" w:tentative="0">
      <w:start w:val="0"/>
      <w:numFmt w:val="bullet"/>
      <w:lvlText w:val="•"/>
      <w:lvlJc w:val="left"/>
      <w:pPr>
        <w:ind w:left="7396" w:hanging="300"/>
      </w:pPr>
      <w:rPr>
        <w:rFonts w:hint="default"/>
      </w:rPr>
    </w:lvl>
    <w:lvl w:ilvl="7" w:tentative="0">
      <w:start w:val="0"/>
      <w:numFmt w:val="bullet"/>
      <w:lvlText w:val="•"/>
      <w:lvlJc w:val="left"/>
      <w:pPr>
        <w:ind w:left="8343" w:hanging="300"/>
      </w:pPr>
      <w:rPr>
        <w:rFonts w:hint="default"/>
      </w:rPr>
    </w:lvl>
    <w:lvl w:ilvl="8" w:tentative="0">
      <w:start w:val="0"/>
      <w:numFmt w:val="bullet"/>
      <w:lvlText w:val="•"/>
      <w:lvlJc w:val="left"/>
      <w:pPr>
        <w:ind w:left="9289" w:hanging="300"/>
      </w:pPr>
      <w:rPr>
        <w:rFonts w:hint="default"/>
      </w:rPr>
    </w:lvl>
  </w:abstractNum>
  <w:abstractNum w:abstractNumId="5">
    <w:nsid w:val="10C20DA8"/>
    <w:multiLevelType w:val="multilevel"/>
    <w:tmpl w:val="10C20DA8"/>
    <w:lvl w:ilvl="0" w:tentative="0">
      <w:start w:val="1"/>
      <w:numFmt w:val="decimal"/>
      <w:lvlText w:val="（%1）"/>
      <w:lvlJc w:val="left"/>
      <w:pPr>
        <w:ind w:left="1821" w:hanging="601"/>
      </w:pPr>
      <w:rPr>
        <w:rFonts w:hint="default" w:ascii="仿宋" w:hAnsi="仿宋" w:eastAsia="仿宋" w:cs="仿宋"/>
        <w:w w:val="100"/>
        <w:sz w:val="22"/>
        <w:szCs w:val="22"/>
      </w:rPr>
    </w:lvl>
    <w:lvl w:ilvl="1" w:tentative="0">
      <w:start w:val="0"/>
      <w:numFmt w:val="bullet"/>
      <w:lvlText w:val="•"/>
      <w:lvlJc w:val="left"/>
      <w:pPr>
        <w:ind w:left="2664" w:hanging="601"/>
      </w:pPr>
      <w:rPr>
        <w:rFonts w:hint="default"/>
      </w:rPr>
    </w:lvl>
    <w:lvl w:ilvl="2" w:tentative="0">
      <w:start w:val="0"/>
      <w:numFmt w:val="bullet"/>
      <w:lvlText w:val="•"/>
      <w:lvlJc w:val="left"/>
      <w:pPr>
        <w:ind w:left="3509" w:hanging="601"/>
      </w:pPr>
      <w:rPr>
        <w:rFonts w:hint="default"/>
      </w:rPr>
    </w:lvl>
    <w:lvl w:ilvl="3" w:tentative="0">
      <w:start w:val="0"/>
      <w:numFmt w:val="bullet"/>
      <w:lvlText w:val="•"/>
      <w:lvlJc w:val="left"/>
      <w:pPr>
        <w:ind w:left="4353" w:hanging="601"/>
      </w:pPr>
      <w:rPr>
        <w:rFonts w:hint="default"/>
      </w:rPr>
    </w:lvl>
    <w:lvl w:ilvl="4" w:tentative="0">
      <w:start w:val="0"/>
      <w:numFmt w:val="bullet"/>
      <w:lvlText w:val="•"/>
      <w:lvlJc w:val="left"/>
      <w:pPr>
        <w:ind w:left="5198" w:hanging="601"/>
      </w:pPr>
      <w:rPr>
        <w:rFonts w:hint="default"/>
      </w:rPr>
    </w:lvl>
    <w:lvl w:ilvl="5" w:tentative="0">
      <w:start w:val="0"/>
      <w:numFmt w:val="bullet"/>
      <w:lvlText w:val="•"/>
      <w:lvlJc w:val="left"/>
      <w:pPr>
        <w:ind w:left="6043" w:hanging="601"/>
      </w:pPr>
      <w:rPr>
        <w:rFonts w:hint="default"/>
      </w:rPr>
    </w:lvl>
    <w:lvl w:ilvl="6" w:tentative="0">
      <w:start w:val="0"/>
      <w:numFmt w:val="bullet"/>
      <w:lvlText w:val="•"/>
      <w:lvlJc w:val="left"/>
      <w:pPr>
        <w:ind w:left="6887" w:hanging="601"/>
      </w:pPr>
      <w:rPr>
        <w:rFonts w:hint="default"/>
      </w:rPr>
    </w:lvl>
    <w:lvl w:ilvl="7" w:tentative="0">
      <w:start w:val="0"/>
      <w:numFmt w:val="bullet"/>
      <w:lvlText w:val="•"/>
      <w:lvlJc w:val="left"/>
      <w:pPr>
        <w:ind w:left="7732" w:hanging="601"/>
      </w:pPr>
      <w:rPr>
        <w:rFonts w:hint="default"/>
      </w:rPr>
    </w:lvl>
    <w:lvl w:ilvl="8" w:tentative="0">
      <w:start w:val="0"/>
      <w:numFmt w:val="bullet"/>
      <w:lvlText w:val="•"/>
      <w:lvlJc w:val="left"/>
      <w:pPr>
        <w:ind w:left="8576" w:hanging="601"/>
      </w:pPr>
      <w:rPr>
        <w:rFonts w:hint="default"/>
      </w:rPr>
    </w:lvl>
  </w:abstractNum>
  <w:abstractNum w:abstractNumId="6">
    <w:nsid w:val="137B0A83"/>
    <w:multiLevelType w:val="multilevel"/>
    <w:tmpl w:val="137B0A83"/>
    <w:lvl w:ilvl="0" w:tentative="0">
      <w:start w:val="0"/>
      <w:numFmt w:val="bullet"/>
      <w:lvlText w:val="·"/>
      <w:lvlJc w:val="left"/>
      <w:pPr>
        <w:ind w:left="1514" w:hanging="95"/>
      </w:pPr>
      <w:rPr>
        <w:rFonts w:hint="default" w:ascii="Times New Roman" w:hAnsi="Times New Roman" w:eastAsia="Times New Roman" w:cs="Times New Roman"/>
        <w:w w:val="100"/>
        <w:sz w:val="26"/>
        <w:szCs w:val="26"/>
      </w:rPr>
    </w:lvl>
    <w:lvl w:ilvl="1" w:tentative="0">
      <w:start w:val="0"/>
      <w:numFmt w:val="bullet"/>
      <w:lvlText w:val="•"/>
      <w:lvlJc w:val="left"/>
      <w:pPr>
        <w:ind w:left="2052" w:hanging="95"/>
      </w:pPr>
      <w:rPr>
        <w:rFonts w:hint="default"/>
      </w:rPr>
    </w:lvl>
    <w:lvl w:ilvl="2" w:tentative="0">
      <w:start w:val="0"/>
      <w:numFmt w:val="bullet"/>
      <w:lvlText w:val="•"/>
      <w:lvlJc w:val="left"/>
      <w:pPr>
        <w:ind w:left="2585" w:hanging="95"/>
      </w:pPr>
      <w:rPr>
        <w:rFonts w:hint="default"/>
      </w:rPr>
    </w:lvl>
    <w:lvl w:ilvl="3" w:tentative="0">
      <w:start w:val="0"/>
      <w:numFmt w:val="bullet"/>
      <w:lvlText w:val="•"/>
      <w:lvlJc w:val="left"/>
      <w:pPr>
        <w:ind w:left="3117" w:hanging="95"/>
      </w:pPr>
      <w:rPr>
        <w:rFonts w:hint="default"/>
      </w:rPr>
    </w:lvl>
    <w:lvl w:ilvl="4" w:tentative="0">
      <w:start w:val="0"/>
      <w:numFmt w:val="bullet"/>
      <w:lvlText w:val="•"/>
      <w:lvlJc w:val="left"/>
      <w:pPr>
        <w:ind w:left="3650" w:hanging="95"/>
      </w:pPr>
      <w:rPr>
        <w:rFonts w:hint="default"/>
      </w:rPr>
    </w:lvl>
    <w:lvl w:ilvl="5" w:tentative="0">
      <w:start w:val="0"/>
      <w:numFmt w:val="bullet"/>
      <w:lvlText w:val="•"/>
      <w:lvlJc w:val="left"/>
      <w:pPr>
        <w:ind w:left="4183" w:hanging="95"/>
      </w:pPr>
      <w:rPr>
        <w:rFonts w:hint="default"/>
      </w:rPr>
    </w:lvl>
    <w:lvl w:ilvl="6" w:tentative="0">
      <w:start w:val="0"/>
      <w:numFmt w:val="bullet"/>
      <w:lvlText w:val="•"/>
      <w:lvlJc w:val="left"/>
      <w:pPr>
        <w:ind w:left="4715" w:hanging="95"/>
      </w:pPr>
      <w:rPr>
        <w:rFonts w:hint="default"/>
      </w:rPr>
    </w:lvl>
    <w:lvl w:ilvl="7" w:tentative="0">
      <w:start w:val="0"/>
      <w:numFmt w:val="bullet"/>
      <w:lvlText w:val="•"/>
      <w:lvlJc w:val="left"/>
      <w:pPr>
        <w:ind w:left="5248" w:hanging="95"/>
      </w:pPr>
      <w:rPr>
        <w:rFonts w:hint="default"/>
      </w:rPr>
    </w:lvl>
    <w:lvl w:ilvl="8" w:tentative="0">
      <w:start w:val="0"/>
      <w:numFmt w:val="bullet"/>
      <w:lvlText w:val="•"/>
      <w:lvlJc w:val="left"/>
      <w:pPr>
        <w:ind w:left="5780" w:hanging="95"/>
      </w:pPr>
      <w:rPr>
        <w:rFonts w:hint="default"/>
      </w:rPr>
    </w:lvl>
  </w:abstractNum>
  <w:abstractNum w:abstractNumId="7">
    <w:nsid w:val="180C4C51"/>
    <w:multiLevelType w:val="multilevel"/>
    <w:tmpl w:val="180C4C51"/>
    <w:lvl w:ilvl="0" w:tentative="0">
      <w:start w:val="1"/>
      <w:numFmt w:val="decimal"/>
      <w:lvlText w:val="%1."/>
      <w:lvlJc w:val="left"/>
      <w:pPr>
        <w:ind w:left="1451" w:hanging="181"/>
      </w:pPr>
      <w:rPr>
        <w:rFonts w:hint="default" w:ascii="Times New Roman" w:hAnsi="Times New Roman" w:eastAsia="Times New Roman" w:cs="Times New Roman"/>
        <w:b/>
        <w:bCs/>
        <w:w w:val="100"/>
        <w:sz w:val="22"/>
        <w:szCs w:val="22"/>
      </w:rPr>
    </w:lvl>
    <w:lvl w:ilvl="1" w:tentative="0">
      <w:start w:val="0"/>
      <w:numFmt w:val="bullet"/>
      <w:lvlText w:val="•"/>
      <w:lvlJc w:val="left"/>
      <w:pPr>
        <w:ind w:left="2340" w:hanging="181"/>
      </w:pPr>
      <w:rPr>
        <w:rFonts w:hint="default"/>
      </w:rPr>
    </w:lvl>
    <w:lvl w:ilvl="2" w:tentative="0">
      <w:start w:val="0"/>
      <w:numFmt w:val="bullet"/>
      <w:lvlText w:val="•"/>
      <w:lvlJc w:val="left"/>
      <w:pPr>
        <w:ind w:left="3221" w:hanging="181"/>
      </w:pPr>
      <w:rPr>
        <w:rFonts w:hint="default"/>
      </w:rPr>
    </w:lvl>
    <w:lvl w:ilvl="3" w:tentative="0">
      <w:start w:val="0"/>
      <w:numFmt w:val="bullet"/>
      <w:lvlText w:val="•"/>
      <w:lvlJc w:val="left"/>
      <w:pPr>
        <w:ind w:left="4101" w:hanging="181"/>
      </w:pPr>
      <w:rPr>
        <w:rFonts w:hint="default"/>
      </w:rPr>
    </w:lvl>
    <w:lvl w:ilvl="4" w:tentative="0">
      <w:start w:val="0"/>
      <w:numFmt w:val="bullet"/>
      <w:lvlText w:val="•"/>
      <w:lvlJc w:val="left"/>
      <w:pPr>
        <w:ind w:left="4982" w:hanging="181"/>
      </w:pPr>
      <w:rPr>
        <w:rFonts w:hint="default"/>
      </w:rPr>
    </w:lvl>
    <w:lvl w:ilvl="5" w:tentative="0">
      <w:start w:val="0"/>
      <w:numFmt w:val="bullet"/>
      <w:lvlText w:val="•"/>
      <w:lvlJc w:val="left"/>
      <w:pPr>
        <w:ind w:left="5863" w:hanging="181"/>
      </w:pPr>
      <w:rPr>
        <w:rFonts w:hint="default"/>
      </w:rPr>
    </w:lvl>
    <w:lvl w:ilvl="6" w:tentative="0">
      <w:start w:val="0"/>
      <w:numFmt w:val="bullet"/>
      <w:lvlText w:val="•"/>
      <w:lvlJc w:val="left"/>
      <w:pPr>
        <w:ind w:left="6743" w:hanging="181"/>
      </w:pPr>
      <w:rPr>
        <w:rFonts w:hint="default"/>
      </w:rPr>
    </w:lvl>
    <w:lvl w:ilvl="7" w:tentative="0">
      <w:start w:val="0"/>
      <w:numFmt w:val="bullet"/>
      <w:lvlText w:val="•"/>
      <w:lvlJc w:val="left"/>
      <w:pPr>
        <w:ind w:left="7624" w:hanging="181"/>
      </w:pPr>
      <w:rPr>
        <w:rFonts w:hint="default"/>
      </w:rPr>
    </w:lvl>
    <w:lvl w:ilvl="8" w:tentative="0">
      <w:start w:val="0"/>
      <w:numFmt w:val="bullet"/>
      <w:lvlText w:val="•"/>
      <w:lvlJc w:val="left"/>
      <w:pPr>
        <w:ind w:left="8504" w:hanging="181"/>
      </w:pPr>
      <w:rPr>
        <w:rFonts w:hint="default"/>
      </w:rPr>
    </w:lvl>
  </w:abstractNum>
  <w:abstractNum w:abstractNumId="8">
    <w:nsid w:val="19DC4680"/>
    <w:multiLevelType w:val="multilevel"/>
    <w:tmpl w:val="19DC4680"/>
    <w:lvl w:ilvl="0" w:tentative="0">
      <w:start w:val="1"/>
      <w:numFmt w:val="decimal"/>
      <w:lvlText w:val="%1."/>
      <w:lvlJc w:val="left"/>
      <w:pPr>
        <w:ind w:left="800" w:hanging="361"/>
      </w:pPr>
      <w:rPr>
        <w:rFonts w:hint="default" w:ascii="Times New Roman" w:hAnsi="Times New Roman" w:eastAsia="Times New Roman" w:cs="Times New Roman"/>
        <w:w w:val="100"/>
        <w:sz w:val="22"/>
        <w:szCs w:val="22"/>
      </w:rPr>
    </w:lvl>
    <w:lvl w:ilvl="1" w:tentative="0">
      <w:start w:val="0"/>
      <w:numFmt w:val="bullet"/>
      <w:lvlText w:val="•"/>
      <w:lvlJc w:val="left"/>
      <w:pPr>
        <w:ind w:left="1746" w:hanging="361"/>
      </w:pPr>
      <w:rPr>
        <w:rFonts w:hint="default"/>
      </w:rPr>
    </w:lvl>
    <w:lvl w:ilvl="2" w:tentative="0">
      <w:start w:val="0"/>
      <w:numFmt w:val="bullet"/>
      <w:lvlText w:val="•"/>
      <w:lvlJc w:val="left"/>
      <w:pPr>
        <w:ind w:left="2693" w:hanging="361"/>
      </w:pPr>
      <w:rPr>
        <w:rFonts w:hint="default"/>
      </w:rPr>
    </w:lvl>
    <w:lvl w:ilvl="3" w:tentative="0">
      <w:start w:val="0"/>
      <w:numFmt w:val="bullet"/>
      <w:lvlText w:val="•"/>
      <w:lvlJc w:val="left"/>
      <w:pPr>
        <w:ind w:left="3639" w:hanging="361"/>
      </w:pPr>
      <w:rPr>
        <w:rFonts w:hint="default"/>
      </w:rPr>
    </w:lvl>
    <w:lvl w:ilvl="4" w:tentative="0">
      <w:start w:val="0"/>
      <w:numFmt w:val="bullet"/>
      <w:lvlText w:val="•"/>
      <w:lvlJc w:val="left"/>
      <w:pPr>
        <w:ind w:left="4586" w:hanging="361"/>
      </w:pPr>
      <w:rPr>
        <w:rFonts w:hint="default"/>
      </w:rPr>
    </w:lvl>
    <w:lvl w:ilvl="5" w:tentative="0">
      <w:start w:val="0"/>
      <w:numFmt w:val="bullet"/>
      <w:lvlText w:val="•"/>
      <w:lvlJc w:val="left"/>
      <w:pPr>
        <w:ind w:left="5533" w:hanging="361"/>
      </w:pPr>
      <w:rPr>
        <w:rFonts w:hint="default"/>
      </w:rPr>
    </w:lvl>
    <w:lvl w:ilvl="6" w:tentative="0">
      <w:start w:val="0"/>
      <w:numFmt w:val="bullet"/>
      <w:lvlText w:val="•"/>
      <w:lvlJc w:val="left"/>
      <w:pPr>
        <w:ind w:left="6479" w:hanging="361"/>
      </w:pPr>
      <w:rPr>
        <w:rFonts w:hint="default"/>
      </w:rPr>
    </w:lvl>
    <w:lvl w:ilvl="7" w:tentative="0">
      <w:start w:val="0"/>
      <w:numFmt w:val="bullet"/>
      <w:lvlText w:val="•"/>
      <w:lvlJc w:val="left"/>
      <w:pPr>
        <w:ind w:left="7426" w:hanging="361"/>
      </w:pPr>
      <w:rPr>
        <w:rFonts w:hint="default"/>
      </w:rPr>
    </w:lvl>
    <w:lvl w:ilvl="8" w:tentative="0">
      <w:start w:val="0"/>
      <w:numFmt w:val="bullet"/>
      <w:lvlText w:val="•"/>
      <w:lvlJc w:val="left"/>
      <w:pPr>
        <w:ind w:left="8372" w:hanging="361"/>
      </w:pPr>
      <w:rPr>
        <w:rFonts w:hint="default"/>
      </w:rPr>
    </w:lvl>
  </w:abstractNum>
  <w:abstractNum w:abstractNumId="9">
    <w:nsid w:val="1F302F90"/>
    <w:multiLevelType w:val="multilevel"/>
    <w:tmpl w:val="1F302F90"/>
    <w:lvl w:ilvl="0" w:tentative="0">
      <w:start w:val="1"/>
      <w:numFmt w:val="decimal"/>
      <w:lvlText w:val="（%1）"/>
      <w:lvlJc w:val="left"/>
      <w:pPr>
        <w:ind w:left="1881" w:hanging="601"/>
      </w:pPr>
      <w:rPr>
        <w:rFonts w:hint="default" w:ascii="仿宋" w:hAnsi="仿宋" w:eastAsia="仿宋" w:cs="仿宋"/>
        <w:w w:val="100"/>
        <w:sz w:val="22"/>
        <w:szCs w:val="22"/>
      </w:rPr>
    </w:lvl>
    <w:lvl w:ilvl="1" w:tentative="0">
      <w:start w:val="0"/>
      <w:numFmt w:val="bullet"/>
      <w:lvlText w:val="•"/>
      <w:lvlJc w:val="left"/>
      <w:pPr>
        <w:ind w:left="2718" w:hanging="601"/>
      </w:pPr>
      <w:rPr>
        <w:rFonts w:hint="default"/>
      </w:rPr>
    </w:lvl>
    <w:lvl w:ilvl="2" w:tentative="0">
      <w:start w:val="0"/>
      <w:numFmt w:val="bullet"/>
      <w:lvlText w:val="•"/>
      <w:lvlJc w:val="left"/>
      <w:pPr>
        <w:ind w:left="3557" w:hanging="601"/>
      </w:pPr>
      <w:rPr>
        <w:rFonts w:hint="default"/>
      </w:rPr>
    </w:lvl>
    <w:lvl w:ilvl="3" w:tentative="0">
      <w:start w:val="0"/>
      <w:numFmt w:val="bullet"/>
      <w:lvlText w:val="•"/>
      <w:lvlJc w:val="left"/>
      <w:pPr>
        <w:ind w:left="4395" w:hanging="601"/>
      </w:pPr>
      <w:rPr>
        <w:rFonts w:hint="default"/>
      </w:rPr>
    </w:lvl>
    <w:lvl w:ilvl="4" w:tentative="0">
      <w:start w:val="0"/>
      <w:numFmt w:val="bullet"/>
      <w:lvlText w:val="•"/>
      <w:lvlJc w:val="left"/>
      <w:pPr>
        <w:ind w:left="5234" w:hanging="601"/>
      </w:pPr>
      <w:rPr>
        <w:rFonts w:hint="default"/>
      </w:rPr>
    </w:lvl>
    <w:lvl w:ilvl="5" w:tentative="0">
      <w:start w:val="0"/>
      <w:numFmt w:val="bullet"/>
      <w:lvlText w:val="•"/>
      <w:lvlJc w:val="left"/>
      <w:pPr>
        <w:ind w:left="6073" w:hanging="601"/>
      </w:pPr>
      <w:rPr>
        <w:rFonts w:hint="default"/>
      </w:rPr>
    </w:lvl>
    <w:lvl w:ilvl="6" w:tentative="0">
      <w:start w:val="0"/>
      <w:numFmt w:val="bullet"/>
      <w:lvlText w:val="•"/>
      <w:lvlJc w:val="left"/>
      <w:pPr>
        <w:ind w:left="6911" w:hanging="601"/>
      </w:pPr>
      <w:rPr>
        <w:rFonts w:hint="default"/>
      </w:rPr>
    </w:lvl>
    <w:lvl w:ilvl="7" w:tentative="0">
      <w:start w:val="0"/>
      <w:numFmt w:val="bullet"/>
      <w:lvlText w:val="•"/>
      <w:lvlJc w:val="left"/>
      <w:pPr>
        <w:ind w:left="7750" w:hanging="601"/>
      </w:pPr>
      <w:rPr>
        <w:rFonts w:hint="default"/>
      </w:rPr>
    </w:lvl>
    <w:lvl w:ilvl="8" w:tentative="0">
      <w:start w:val="0"/>
      <w:numFmt w:val="bullet"/>
      <w:lvlText w:val="•"/>
      <w:lvlJc w:val="left"/>
      <w:pPr>
        <w:ind w:left="8588" w:hanging="601"/>
      </w:pPr>
      <w:rPr>
        <w:rFonts w:hint="default"/>
      </w:rPr>
    </w:lvl>
  </w:abstractNum>
  <w:abstractNum w:abstractNumId="10">
    <w:nsid w:val="20BA4051"/>
    <w:multiLevelType w:val="multilevel"/>
    <w:tmpl w:val="20BA4051"/>
    <w:lvl w:ilvl="0" w:tentative="0">
      <w:start w:val="1"/>
      <w:numFmt w:val="decimal"/>
      <w:lvlText w:val="（%1）"/>
      <w:lvlJc w:val="left"/>
      <w:pPr>
        <w:ind w:left="1881" w:hanging="601"/>
      </w:pPr>
      <w:rPr>
        <w:rFonts w:hint="default" w:ascii="仿宋" w:hAnsi="仿宋" w:eastAsia="仿宋" w:cs="仿宋"/>
        <w:w w:val="100"/>
        <w:sz w:val="22"/>
        <w:szCs w:val="22"/>
      </w:rPr>
    </w:lvl>
    <w:lvl w:ilvl="1" w:tentative="0">
      <w:start w:val="0"/>
      <w:numFmt w:val="bullet"/>
      <w:lvlText w:val="•"/>
      <w:lvlJc w:val="left"/>
      <w:pPr>
        <w:ind w:left="2718" w:hanging="601"/>
      </w:pPr>
      <w:rPr>
        <w:rFonts w:hint="default"/>
      </w:rPr>
    </w:lvl>
    <w:lvl w:ilvl="2" w:tentative="0">
      <w:start w:val="0"/>
      <w:numFmt w:val="bullet"/>
      <w:lvlText w:val="•"/>
      <w:lvlJc w:val="left"/>
      <w:pPr>
        <w:ind w:left="3557" w:hanging="601"/>
      </w:pPr>
      <w:rPr>
        <w:rFonts w:hint="default"/>
      </w:rPr>
    </w:lvl>
    <w:lvl w:ilvl="3" w:tentative="0">
      <w:start w:val="0"/>
      <w:numFmt w:val="bullet"/>
      <w:lvlText w:val="•"/>
      <w:lvlJc w:val="left"/>
      <w:pPr>
        <w:ind w:left="4395" w:hanging="601"/>
      </w:pPr>
      <w:rPr>
        <w:rFonts w:hint="default"/>
      </w:rPr>
    </w:lvl>
    <w:lvl w:ilvl="4" w:tentative="0">
      <w:start w:val="0"/>
      <w:numFmt w:val="bullet"/>
      <w:lvlText w:val="•"/>
      <w:lvlJc w:val="left"/>
      <w:pPr>
        <w:ind w:left="5234" w:hanging="601"/>
      </w:pPr>
      <w:rPr>
        <w:rFonts w:hint="default"/>
      </w:rPr>
    </w:lvl>
    <w:lvl w:ilvl="5" w:tentative="0">
      <w:start w:val="0"/>
      <w:numFmt w:val="bullet"/>
      <w:lvlText w:val="•"/>
      <w:lvlJc w:val="left"/>
      <w:pPr>
        <w:ind w:left="6073" w:hanging="601"/>
      </w:pPr>
      <w:rPr>
        <w:rFonts w:hint="default"/>
      </w:rPr>
    </w:lvl>
    <w:lvl w:ilvl="6" w:tentative="0">
      <w:start w:val="0"/>
      <w:numFmt w:val="bullet"/>
      <w:lvlText w:val="•"/>
      <w:lvlJc w:val="left"/>
      <w:pPr>
        <w:ind w:left="6911" w:hanging="601"/>
      </w:pPr>
      <w:rPr>
        <w:rFonts w:hint="default"/>
      </w:rPr>
    </w:lvl>
    <w:lvl w:ilvl="7" w:tentative="0">
      <w:start w:val="0"/>
      <w:numFmt w:val="bullet"/>
      <w:lvlText w:val="•"/>
      <w:lvlJc w:val="left"/>
      <w:pPr>
        <w:ind w:left="7750" w:hanging="601"/>
      </w:pPr>
      <w:rPr>
        <w:rFonts w:hint="default"/>
      </w:rPr>
    </w:lvl>
    <w:lvl w:ilvl="8" w:tentative="0">
      <w:start w:val="0"/>
      <w:numFmt w:val="bullet"/>
      <w:lvlText w:val="•"/>
      <w:lvlJc w:val="left"/>
      <w:pPr>
        <w:ind w:left="8588" w:hanging="601"/>
      </w:pPr>
      <w:rPr>
        <w:rFonts w:hint="default"/>
      </w:rPr>
    </w:lvl>
  </w:abstractNum>
  <w:abstractNum w:abstractNumId="11">
    <w:nsid w:val="24DB2DE7"/>
    <w:multiLevelType w:val="multilevel"/>
    <w:tmpl w:val="24DB2DE7"/>
    <w:lvl w:ilvl="0" w:tentative="0">
      <w:start w:val="1"/>
      <w:numFmt w:val="decimal"/>
      <w:lvlText w:val="%1."/>
      <w:lvlJc w:val="left"/>
      <w:pPr>
        <w:ind w:left="1641" w:hanging="361"/>
      </w:pPr>
      <w:rPr>
        <w:rFonts w:hint="default" w:ascii="Times New Roman" w:hAnsi="Times New Roman" w:eastAsia="Times New Roman" w:cs="Times New Roman"/>
        <w:w w:val="100"/>
        <w:sz w:val="22"/>
        <w:szCs w:val="22"/>
      </w:rPr>
    </w:lvl>
    <w:lvl w:ilvl="1" w:tentative="0">
      <w:start w:val="0"/>
      <w:numFmt w:val="bullet"/>
      <w:lvlText w:val="•"/>
      <w:lvlJc w:val="left"/>
      <w:pPr>
        <w:ind w:left="2502" w:hanging="361"/>
      </w:pPr>
      <w:rPr>
        <w:rFonts w:hint="default"/>
      </w:rPr>
    </w:lvl>
    <w:lvl w:ilvl="2" w:tentative="0">
      <w:start w:val="0"/>
      <w:numFmt w:val="bullet"/>
      <w:lvlText w:val="•"/>
      <w:lvlJc w:val="left"/>
      <w:pPr>
        <w:ind w:left="3365" w:hanging="361"/>
      </w:pPr>
      <w:rPr>
        <w:rFonts w:hint="default"/>
      </w:rPr>
    </w:lvl>
    <w:lvl w:ilvl="3" w:tentative="0">
      <w:start w:val="0"/>
      <w:numFmt w:val="bullet"/>
      <w:lvlText w:val="•"/>
      <w:lvlJc w:val="left"/>
      <w:pPr>
        <w:ind w:left="4227" w:hanging="361"/>
      </w:pPr>
      <w:rPr>
        <w:rFonts w:hint="default"/>
      </w:rPr>
    </w:lvl>
    <w:lvl w:ilvl="4" w:tentative="0">
      <w:start w:val="0"/>
      <w:numFmt w:val="bullet"/>
      <w:lvlText w:val="•"/>
      <w:lvlJc w:val="left"/>
      <w:pPr>
        <w:ind w:left="5090" w:hanging="361"/>
      </w:pPr>
      <w:rPr>
        <w:rFonts w:hint="default"/>
      </w:rPr>
    </w:lvl>
    <w:lvl w:ilvl="5" w:tentative="0">
      <w:start w:val="0"/>
      <w:numFmt w:val="bullet"/>
      <w:lvlText w:val="•"/>
      <w:lvlJc w:val="left"/>
      <w:pPr>
        <w:ind w:left="5953" w:hanging="361"/>
      </w:pPr>
      <w:rPr>
        <w:rFonts w:hint="default"/>
      </w:rPr>
    </w:lvl>
    <w:lvl w:ilvl="6" w:tentative="0">
      <w:start w:val="0"/>
      <w:numFmt w:val="bullet"/>
      <w:lvlText w:val="•"/>
      <w:lvlJc w:val="left"/>
      <w:pPr>
        <w:ind w:left="6815" w:hanging="361"/>
      </w:pPr>
      <w:rPr>
        <w:rFonts w:hint="default"/>
      </w:rPr>
    </w:lvl>
    <w:lvl w:ilvl="7" w:tentative="0">
      <w:start w:val="0"/>
      <w:numFmt w:val="bullet"/>
      <w:lvlText w:val="•"/>
      <w:lvlJc w:val="left"/>
      <w:pPr>
        <w:ind w:left="7678" w:hanging="361"/>
      </w:pPr>
      <w:rPr>
        <w:rFonts w:hint="default"/>
      </w:rPr>
    </w:lvl>
    <w:lvl w:ilvl="8" w:tentative="0">
      <w:start w:val="0"/>
      <w:numFmt w:val="bullet"/>
      <w:lvlText w:val="•"/>
      <w:lvlJc w:val="left"/>
      <w:pPr>
        <w:ind w:left="8540" w:hanging="361"/>
      </w:pPr>
      <w:rPr>
        <w:rFonts w:hint="default"/>
      </w:rPr>
    </w:lvl>
  </w:abstractNum>
  <w:abstractNum w:abstractNumId="12">
    <w:nsid w:val="26FD02A8"/>
    <w:multiLevelType w:val="multilevel"/>
    <w:tmpl w:val="26FD02A8"/>
    <w:lvl w:ilvl="0" w:tentative="0">
      <w:start w:val="1"/>
      <w:numFmt w:val="decimal"/>
      <w:lvlText w:val="%1."/>
      <w:lvlJc w:val="left"/>
      <w:pPr>
        <w:ind w:left="1415" w:hanging="181"/>
      </w:pPr>
      <w:rPr>
        <w:rFonts w:hint="default" w:ascii="Times New Roman" w:hAnsi="Times New Roman" w:eastAsia="Times New Roman" w:cs="Times New Roman"/>
        <w:w w:val="100"/>
        <w:sz w:val="22"/>
        <w:szCs w:val="22"/>
      </w:rPr>
    </w:lvl>
    <w:lvl w:ilvl="1" w:tentative="0">
      <w:start w:val="0"/>
      <w:numFmt w:val="bullet"/>
      <w:lvlText w:val="•"/>
      <w:lvlJc w:val="left"/>
      <w:pPr>
        <w:ind w:left="2304" w:hanging="181"/>
      </w:pPr>
      <w:rPr>
        <w:rFonts w:hint="default"/>
      </w:rPr>
    </w:lvl>
    <w:lvl w:ilvl="2" w:tentative="0">
      <w:start w:val="0"/>
      <w:numFmt w:val="bullet"/>
      <w:lvlText w:val="•"/>
      <w:lvlJc w:val="left"/>
      <w:pPr>
        <w:ind w:left="3189" w:hanging="181"/>
      </w:pPr>
      <w:rPr>
        <w:rFonts w:hint="default"/>
      </w:rPr>
    </w:lvl>
    <w:lvl w:ilvl="3" w:tentative="0">
      <w:start w:val="0"/>
      <w:numFmt w:val="bullet"/>
      <w:lvlText w:val="•"/>
      <w:lvlJc w:val="left"/>
      <w:pPr>
        <w:ind w:left="4073" w:hanging="181"/>
      </w:pPr>
      <w:rPr>
        <w:rFonts w:hint="default"/>
      </w:rPr>
    </w:lvl>
    <w:lvl w:ilvl="4" w:tentative="0">
      <w:start w:val="0"/>
      <w:numFmt w:val="bullet"/>
      <w:lvlText w:val="•"/>
      <w:lvlJc w:val="left"/>
      <w:pPr>
        <w:ind w:left="4958" w:hanging="181"/>
      </w:pPr>
      <w:rPr>
        <w:rFonts w:hint="default"/>
      </w:rPr>
    </w:lvl>
    <w:lvl w:ilvl="5" w:tentative="0">
      <w:start w:val="0"/>
      <w:numFmt w:val="bullet"/>
      <w:lvlText w:val="•"/>
      <w:lvlJc w:val="left"/>
      <w:pPr>
        <w:ind w:left="5843" w:hanging="181"/>
      </w:pPr>
      <w:rPr>
        <w:rFonts w:hint="default"/>
      </w:rPr>
    </w:lvl>
    <w:lvl w:ilvl="6" w:tentative="0">
      <w:start w:val="0"/>
      <w:numFmt w:val="bullet"/>
      <w:lvlText w:val="•"/>
      <w:lvlJc w:val="left"/>
      <w:pPr>
        <w:ind w:left="6727" w:hanging="181"/>
      </w:pPr>
      <w:rPr>
        <w:rFonts w:hint="default"/>
      </w:rPr>
    </w:lvl>
    <w:lvl w:ilvl="7" w:tentative="0">
      <w:start w:val="0"/>
      <w:numFmt w:val="bullet"/>
      <w:lvlText w:val="•"/>
      <w:lvlJc w:val="left"/>
      <w:pPr>
        <w:ind w:left="7612" w:hanging="181"/>
      </w:pPr>
      <w:rPr>
        <w:rFonts w:hint="default"/>
      </w:rPr>
    </w:lvl>
    <w:lvl w:ilvl="8" w:tentative="0">
      <w:start w:val="0"/>
      <w:numFmt w:val="bullet"/>
      <w:lvlText w:val="•"/>
      <w:lvlJc w:val="left"/>
      <w:pPr>
        <w:ind w:left="8496" w:hanging="181"/>
      </w:pPr>
      <w:rPr>
        <w:rFonts w:hint="default"/>
      </w:rPr>
    </w:lvl>
  </w:abstractNum>
  <w:abstractNum w:abstractNumId="13">
    <w:nsid w:val="2C532B86"/>
    <w:multiLevelType w:val="multilevel"/>
    <w:tmpl w:val="2C532B86"/>
    <w:lvl w:ilvl="0" w:tentative="0">
      <w:start w:val="1"/>
      <w:numFmt w:val="decimal"/>
      <w:lvlText w:val="%1."/>
      <w:lvlJc w:val="left"/>
      <w:pPr>
        <w:ind w:left="800" w:hanging="361"/>
      </w:pPr>
      <w:rPr>
        <w:rFonts w:hint="default" w:ascii="Times New Roman" w:hAnsi="Times New Roman" w:eastAsia="Times New Roman" w:cs="Times New Roman"/>
        <w:w w:val="100"/>
        <w:sz w:val="22"/>
        <w:szCs w:val="22"/>
      </w:rPr>
    </w:lvl>
    <w:lvl w:ilvl="1" w:tentative="0">
      <w:start w:val="0"/>
      <w:numFmt w:val="bullet"/>
      <w:lvlText w:val="•"/>
      <w:lvlJc w:val="left"/>
      <w:pPr>
        <w:ind w:left="1746" w:hanging="361"/>
      </w:pPr>
      <w:rPr>
        <w:rFonts w:hint="default"/>
      </w:rPr>
    </w:lvl>
    <w:lvl w:ilvl="2" w:tentative="0">
      <w:start w:val="0"/>
      <w:numFmt w:val="bullet"/>
      <w:lvlText w:val="•"/>
      <w:lvlJc w:val="left"/>
      <w:pPr>
        <w:ind w:left="2693" w:hanging="361"/>
      </w:pPr>
      <w:rPr>
        <w:rFonts w:hint="default"/>
      </w:rPr>
    </w:lvl>
    <w:lvl w:ilvl="3" w:tentative="0">
      <w:start w:val="0"/>
      <w:numFmt w:val="bullet"/>
      <w:lvlText w:val="•"/>
      <w:lvlJc w:val="left"/>
      <w:pPr>
        <w:ind w:left="3639" w:hanging="361"/>
      </w:pPr>
      <w:rPr>
        <w:rFonts w:hint="default"/>
      </w:rPr>
    </w:lvl>
    <w:lvl w:ilvl="4" w:tentative="0">
      <w:start w:val="0"/>
      <w:numFmt w:val="bullet"/>
      <w:lvlText w:val="•"/>
      <w:lvlJc w:val="left"/>
      <w:pPr>
        <w:ind w:left="4586" w:hanging="361"/>
      </w:pPr>
      <w:rPr>
        <w:rFonts w:hint="default"/>
      </w:rPr>
    </w:lvl>
    <w:lvl w:ilvl="5" w:tentative="0">
      <w:start w:val="0"/>
      <w:numFmt w:val="bullet"/>
      <w:lvlText w:val="•"/>
      <w:lvlJc w:val="left"/>
      <w:pPr>
        <w:ind w:left="5533" w:hanging="361"/>
      </w:pPr>
      <w:rPr>
        <w:rFonts w:hint="default"/>
      </w:rPr>
    </w:lvl>
    <w:lvl w:ilvl="6" w:tentative="0">
      <w:start w:val="0"/>
      <w:numFmt w:val="bullet"/>
      <w:lvlText w:val="•"/>
      <w:lvlJc w:val="left"/>
      <w:pPr>
        <w:ind w:left="6479" w:hanging="361"/>
      </w:pPr>
      <w:rPr>
        <w:rFonts w:hint="default"/>
      </w:rPr>
    </w:lvl>
    <w:lvl w:ilvl="7" w:tentative="0">
      <w:start w:val="0"/>
      <w:numFmt w:val="bullet"/>
      <w:lvlText w:val="•"/>
      <w:lvlJc w:val="left"/>
      <w:pPr>
        <w:ind w:left="7426" w:hanging="361"/>
      </w:pPr>
      <w:rPr>
        <w:rFonts w:hint="default"/>
      </w:rPr>
    </w:lvl>
    <w:lvl w:ilvl="8" w:tentative="0">
      <w:start w:val="0"/>
      <w:numFmt w:val="bullet"/>
      <w:lvlText w:val="•"/>
      <w:lvlJc w:val="left"/>
      <w:pPr>
        <w:ind w:left="8372" w:hanging="361"/>
      </w:pPr>
      <w:rPr>
        <w:rFonts w:hint="default"/>
      </w:rPr>
    </w:lvl>
  </w:abstractNum>
  <w:abstractNum w:abstractNumId="14">
    <w:nsid w:val="2EF763F3"/>
    <w:multiLevelType w:val="multilevel"/>
    <w:tmpl w:val="2EF763F3"/>
    <w:lvl w:ilvl="0" w:tentative="0">
      <w:start w:val="1"/>
      <w:numFmt w:val="decimal"/>
      <w:lvlText w:val="%1."/>
      <w:lvlJc w:val="left"/>
      <w:pPr>
        <w:ind w:left="800" w:hanging="181"/>
      </w:pPr>
      <w:rPr>
        <w:rFonts w:hint="default" w:ascii="Times New Roman" w:hAnsi="Times New Roman" w:eastAsia="Times New Roman" w:cs="Times New Roman"/>
        <w:w w:val="100"/>
        <w:sz w:val="22"/>
        <w:szCs w:val="22"/>
      </w:rPr>
    </w:lvl>
    <w:lvl w:ilvl="1" w:tentative="0">
      <w:start w:val="0"/>
      <w:numFmt w:val="bullet"/>
      <w:lvlText w:val="•"/>
      <w:lvlJc w:val="left"/>
      <w:pPr>
        <w:ind w:left="1746" w:hanging="181"/>
      </w:pPr>
      <w:rPr>
        <w:rFonts w:hint="default"/>
      </w:rPr>
    </w:lvl>
    <w:lvl w:ilvl="2" w:tentative="0">
      <w:start w:val="0"/>
      <w:numFmt w:val="bullet"/>
      <w:lvlText w:val="•"/>
      <w:lvlJc w:val="left"/>
      <w:pPr>
        <w:ind w:left="2693" w:hanging="181"/>
      </w:pPr>
      <w:rPr>
        <w:rFonts w:hint="default"/>
      </w:rPr>
    </w:lvl>
    <w:lvl w:ilvl="3" w:tentative="0">
      <w:start w:val="0"/>
      <w:numFmt w:val="bullet"/>
      <w:lvlText w:val="•"/>
      <w:lvlJc w:val="left"/>
      <w:pPr>
        <w:ind w:left="3639" w:hanging="181"/>
      </w:pPr>
      <w:rPr>
        <w:rFonts w:hint="default"/>
      </w:rPr>
    </w:lvl>
    <w:lvl w:ilvl="4" w:tentative="0">
      <w:start w:val="0"/>
      <w:numFmt w:val="bullet"/>
      <w:lvlText w:val="•"/>
      <w:lvlJc w:val="left"/>
      <w:pPr>
        <w:ind w:left="4586" w:hanging="181"/>
      </w:pPr>
      <w:rPr>
        <w:rFonts w:hint="default"/>
      </w:rPr>
    </w:lvl>
    <w:lvl w:ilvl="5" w:tentative="0">
      <w:start w:val="0"/>
      <w:numFmt w:val="bullet"/>
      <w:lvlText w:val="•"/>
      <w:lvlJc w:val="left"/>
      <w:pPr>
        <w:ind w:left="5533" w:hanging="181"/>
      </w:pPr>
      <w:rPr>
        <w:rFonts w:hint="default"/>
      </w:rPr>
    </w:lvl>
    <w:lvl w:ilvl="6" w:tentative="0">
      <w:start w:val="0"/>
      <w:numFmt w:val="bullet"/>
      <w:lvlText w:val="•"/>
      <w:lvlJc w:val="left"/>
      <w:pPr>
        <w:ind w:left="6479" w:hanging="181"/>
      </w:pPr>
      <w:rPr>
        <w:rFonts w:hint="default"/>
      </w:rPr>
    </w:lvl>
    <w:lvl w:ilvl="7" w:tentative="0">
      <w:start w:val="0"/>
      <w:numFmt w:val="bullet"/>
      <w:lvlText w:val="•"/>
      <w:lvlJc w:val="left"/>
      <w:pPr>
        <w:ind w:left="7426" w:hanging="181"/>
      </w:pPr>
      <w:rPr>
        <w:rFonts w:hint="default"/>
      </w:rPr>
    </w:lvl>
    <w:lvl w:ilvl="8" w:tentative="0">
      <w:start w:val="0"/>
      <w:numFmt w:val="bullet"/>
      <w:lvlText w:val="•"/>
      <w:lvlJc w:val="left"/>
      <w:pPr>
        <w:ind w:left="8372" w:hanging="181"/>
      </w:pPr>
      <w:rPr>
        <w:rFonts w:hint="default"/>
      </w:rPr>
    </w:lvl>
  </w:abstractNum>
  <w:abstractNum w:abstractNumId="15">
    <w:nsid w:val="366B5C48"/>
    <w:multiLevelType w:val="multilevel"/>
    <w:tmpl w:val="366B5C48"/>
    <w:lvl w:ilvl="0" w:tentative="0">
      <w:start w:val="1"/>
      <w:numFmt w:val="decimal"/>
      <w:lvlText w:val="（%1）"/>
      <w:lvlJc w:val="left"/>
      <w:pPr>
        <w:ind w:left="1881" w:hanging="601"/>
      </w:pPr>
      <w:rPr>
        <w:rFonts w:hint="default" w:ascii="仿宋" w:hAnsi="仿宋" w:eastAsia="仿宋" w:cs="仿宋"/>
        <w:w w:val="100"/>
        <w:sz w:val="22"/>
        <w:szCs w:val="22"/>
      </w:rPr>
    </w:lvl>
    <w:lvl w:ilvl="1" w:tentative="0">
      <w:start w:val="0"/>
      <w:numFmt w:val="bullet"/>
      <w:lvlText w:val="•"/>
      <w:lvlJc w:val="left"/>
      <w:pPr>
        <w:ind w:left="2718" w:hanging="601"/>
      </w:pPr>
      <w:rPr>
        <w:rFonts w:hint="default"/>
      </w:rPr>
    </w:lvl>
    <w:lvl w:ilvl="2" w:tentative="0">
      <w:start w:val="0"/>
      <w:numFmt w:val="bullet"/>
      <w:lvlText w:val="•"/>
      <w:lvlJc w:val="left"/>
      <w:pPr>
        <w:ind w:left="3557" w:hanging="601"/>
      </w:pPr>
      <w:rPr>
        <w:rFonts w:hint="default"/>
      </w:rPr>
    </w:lvl>
    <w:lvl w:ilvl="3" w:tentative="0">
      <w:start w:val="0"/>
      <w:numFmt w:val="bullet"/>
      <w:lvlText w:val="•"/>
      <w:lvlJc w:val="left"/>
      <w:pPr>
        <w:ind w:left="4395" w:hanging="601"/>
      </w:pPr>
      <w:rPr>
        <w:rFonts w:hint="default"/>
      </w:rPr>
    </w:lvl>
    <w:lvl w:ilvl="4" w:tentative="0">
      <w:start w:val="0"/>
      <w:numFmt w:val="bullet"/>
      <w:lvlText w:val="•"/>
      <w:lvlJc w:val="left"/>
      <w:pPr>
        <w:ind w:left="5234" w:hanging="601"/>
      </w:pPr>
      <w:rPr>
        <w:rFonts w:hint="default"/>
      </w:rPr>
    </w:lvl>
    <w:lvl w:ilvl="5" w:tentative="0">
      <w:start w:val="0"/>
      <w:numFmt w:val="bullet"/>
      <w:lvlText w:val="•"/>
      <w:lvlJc w:val="left"/>
      <w:pPr>
        <w:ind w:left="6073" w:hanging="601"/>
      </w:pPr>
      <w:rPr>
        <w:rFonts w:hint="default"/>
      </w:rPr>
    </w:lvl>
    <w:lvl w:ilvl="6" w:tentative="0">
      <w:start w:val="0"/>
      <w:numFmt w:val="bullet"/>
      <w:lvlText w:val="•"/>
      <w:lvlJc w:val="left"/>
      <w:pPr>
        <w:ind w:left="6911" w:hanging="601"/>
      </w:pPr>
      <w:rPr>
        <w:rFonts w:hint="default"/>
      </w:rPr>
    </w:lvl>
    <w:lvl w:ilvl="7" w:tentative="0">
      <w:start w:val="0"/>
      <w:numFmt w:val="bullet"/>
      <w:lvlText w:val="•"/>
      <w:lvlJc w:val="left"/>
      <w:pPr>
        <w:ind w:left="7750" w:hanging="601"/>
      </w:pPr>
      <w:rPr>
        <w:rFonts w:hint="default"/>
      </w:rPr>
    </w:lvl>
    <w:lvl w:ilvl="8" w:tentative="0">
      <w:start w:val="0"/>
      <w:numFmt w:val="bullet"/>
      <w:lvlText w:val="•"/>
      <w:lvlJc w:val="left"/>
      <w:pPr>
        <w:ind w:left="8588" w:hanging="601"/>
      </w:pPr>
      <w:rPr>
        <w:rFonts w:hint="default"/>
      </w:rPr>
    </w:lvl>
  </w:abstractNum>
  <w:abstractNum w:abstractNumId="16">
    <w:nsid w:val="37946415"/>
    <w:multiLevelType w:val="multilevel"/>
    <w:tmpl w:val="37946415"/>
    <w:lvl w:ilvl="0" w:tentative="0">
      <w:start w:val="1"/>
      <w:numFmt w:val="decimal"/>
      <w:lvlText w:val="%1."/>
      <w:lvlJc w:val="left"/>
      <w:pPr>
        <w:ind w:left="800" w:hanging="364"/>
      </w:pPr>
      <w:rPr>
        <w:rFonts w:hint="default" w:ascii="Times New Roman" w:hAnsi="Times New Roman" w:eastAsia="Times New Roman" w:cs="Times New Roman"/>
        <w:spacing w:val="0"/>
        <w:w w:val="100"/>
        <w:sz w:val="22"/>
        <w:szCs w:val="22"/>
      </w:rPr>
    </w:lvl>
    <w:lvl w:ilvl="1" w:tentative="0">
      <w:start w:val="0"/>
      <w:numFmt w:val="bullet"/>
      <w:lvlText w:val="•"/>
      <w:lvlJc w:val="left"/>
      <w:pPr>
        <w:ind w:left="1746" w:hanging="364"/>
      </w:pPr>
      <w:rPr>
        <w:rFonts w:hint="default"/>
      </w:rPr>
    </w:lvl>
    <w:lvl w:ilvl="2" w:tentative="0">
      <w:start w:val="0"/>
      <w:numFmt w:val="bullet"/>
      <w:lvlText w:val="•"/>
      <w:lvlJc w:val="left"/>
      <w:pPr>
        <w:ind w:left="2693" w:hanging="364"/>
      </w:pPr>
      <w:rPr>
        <w:rFonts w:hint="default"/>
      </w:rPr>
    </w:lvl>
    <w:lvl w:ilvl="3" w:tentative="0">
      <w:start w:val="0"/>
      <w:numFmt w:val="bullet"/>
      <w:lvlText w:val="•"/>
      <w:lvlJc w:val="left"/>
      <w:pPr>
        <w:ind w:left="3639" w:hanging="364"/>
      </w:pPr>
      <w:rPr>
        <w:rFonts w:hint="default"/>
      </w:rPr>
    </w:lvl>
    <w:lvl w:ilvl="4" w:tentative="0">
      <w:start w:val="0"/>
      <w:numFmt w:val="bullet"/>
      <w:lvlText w:val="•"/>
      <w:lvlJc w:val="left"/>
      <w:pPr>
        <w:ind w:left="4586" w:hanging="364"/>
      </w:pPr>
      <w:rPr>
        <w:rFonts w:hint="default"/>
      </w:rPr>
    </w:lvl>
    <w:lvl w:ilvl="5" w:tentative="0">
      <w:start w:val="0"/>
      <w:numFmt w:val="bullet"/>
      <w:lvlText w:val="•"/>
      <w:lvlJc w:val="left"/>
      <w:pPr>
        <w:ind w:left="5533" w:hanging="364"/>
      </w:pPr>
      <w:rPr>
        <w:rFonts w:hint="default"/>
      </w:rPr>
    </w:lvl>
    <w:lvl w:ilvl="6" w:tentative="0">
      <w:start w:val="0"/>
      <w:numFmt w:val="bullet"/>
      <w:lvlText w:val="•"/>
      <w:lvlJc w:val="left"/>
      <w:pPr>
        <w:ind w:left="6479" w:hanging="364"/>
      </w:pPr>
      <w:rPr>
        <w:rFonts w:hint="default"/>
      </w:rPr>
    </w:lvl>
    <w:lvl w:ilvl="7" w:tentative="0">
      <w:start w:val="0"/>
      <w:numFmt w:val="bullet"/>
      <w:lvlText w:val="•"/>
      <w:lvlJc w:val="left"/>
      <w:pPr>
        <w:ind w:left="7426" w:hanging="364"/>
      </w:pPr>
      <w:rPr>
        <w:rFonts w:hint="default"/>
      </w:rPr>
    </w:lvl>
    <w:lvl w:ilvl="8" w:tentative="0">
      <w:start w:val="0"/>
      <w:numFmt w:val="bullet"/>
      <w:lvlText w:val="•"/>
      <w:lvlJc w:val="left"/>
      <w:pPr>
        <w:ind w:left="8372" w:hanging="364"/>
      </w:pPr>
      <w:rPr>
        <w:rFonts w:hint="default"/>
      </w:rPr>
    </w:lvl>
  </w:abstractNum>
  <w:abstractNum w:abstractNumId="17">
    <w:nsid w:val="397D2C51"/>
    <w:multiLevelType w:val="multilevel"/>
    <w:tmpl w:val="397D2C51"/>
    <w:lvl w:ilvl="0" w:tentative="0">
      <w:start w:val="1"/>
      <w:numFmt w:val="decimal"/>
      <w:lvlText w:val="（%1）"/>
      <w:lvlJc w:val="left"/>
      <w:pPr>
        <w:ind w:left="800" w:hanging="601"/>
      </w:pPr>
      <w:rPr>
        <w:rFonts w:hint="default" w:ascii="仿宋" w:hAnsi="仿宋" w:eastAsia="仿宋" w:cs="仿宋"/>
        <w:w w:val="100"/>
        <w:sz w:val="22"/>
        <w:szCs w:val="22"/>
      </w:rPr>
    </w:lvl>
    <w:lvl w:ilvl="1" w:tentative="0">
      <w:start w:val="0"/>
      <w:numFmt w:val="bullet"/>
      <w:lvlText w:val="•"/>
      <w:lvlJc w:val="left"/>
      <w:pPr>
        <w:ind w:left="1746" w:hanging="601"/>
      </w:pPr>
      <w:rPr>
        <w:rFonts w:hint="default"/>
      </w:rPr>
    </w:lvl>
    <w:lvl w:ilvl="2" w:tentative="0">
      <w:start w:val="0"/>
      <w:numFmt w:val="bullet"/>
      <w:lvlText w:val="•"/>
      <w:lvlJc w:val="left"/>
      <w:pPr>
        <w:ind w:left="2693" w:hanging="601"/>
      </w:pPr>
      <w:rPr>
        <w:rFonts w:hint="default"/>
      </w:rPr>
    </w:lvl>
    <w:lvl w:ilvl="3" w:tentative="0">
      <w:start w:val="0"/>
      <w:numFmt w:val="bullet"/>
      <w:lvlText w:val="•"/>
      <w:lvlJc w:val="left"/>
      <w:pPr>
        <w:ind w:left="3639" w:hanging="601"/>
      </w:pPr>
      <w:rPr>
        <w:rFonts w:hint="default"/>
      </w:rPr>
    </w:lvl>
    <w:lvl w:ilvl="4" w:tentative="0">
      <w:start w:val="0"/>
      <w:numFmt w:val="bullet"/>
      <w:lvlText w:val="•"/>
      <w:lvlJc w:val="left"/>
      <w:pPr>
        <w:ind w:left="4586" w:hanging="601"/>
      </w:pPr>
      <w:rPr>
        <w:rFonts w:hint="default"/>
      </w:rPr>
    </w:lvl>
    <w:lvl w:ilvl="5" w:tentative="0">
      <w:start w:val="0"/>
      <w:numFmt w:val="bullet"/>
      <w:lvlText w:val="•"/>
      <w:lvlJc w:val="left"/>
      <w:pPr>
        <w:ind w:left="5533" w:hanging="601"/>
      </w:pPr>
      <w:rPr>
        <w:rFonts w:hint="default"/>
      </w:rPr>
    </w:lvl>
    <w:lvl w:ilvl="6" w:tentative="0">
      <w:start w:val="0"/>
      <w:numFmt w:val="bullet"/>
      <w:lvlText w:val="•"/>
      <w:lvlJc w:val="left"/>
      <w:pPr>
        <w:ind w:left="6479" w:hanging="601"/>
      </w:pPr>
      <w:rPr>
        <w:rFonts w:hint="default"/>
      </w:rPr>
    </w:lvl>
    <w:lvl w:ilvl="7" w:tentative="0">
      <w:start w:val="0"/>
      <w:numFmt w:val="bullet"/>
      <w:lvlText w:val="•"/>
      <w:lvlJc w:val="left"/>
      <w:pPr>
        <w:ind w:left="7426" w:hanging="601"/>
      </w:pPr>
      <w:rPr>
        <w:rFonts w:hint="default"/>
      </w:rPr>
    </w:lvl>
    <w:lvl w:ilvl="8" w:tentative="0">
      <w:start w:val="0"/>
      <w:numFmt w:val="bullet"/>
      <w:lvlText w:val="•"/>
      <w:lvlJc w:val="left"/>
      <w:pPr>
        <w:ind w:left="8372" w:hanging="601"/>
      </w:pPr>
      <w:rPr>
        <w:rFonts w:hint="default"/>
      </w:rPr>
    </w:lvl>
  </w:abstractNum>
  <w:abstractNum w:abstractNumId="18">
    <w:nsid w:val="4A3D3E74"/>
    <w:multiLevelType w:val="multilevel"/>
    <w:tmpl w:val="4A3D3E74"/>
    <w:lvl w:ilvl="0" w:tentative="0">
      <w:start w:val="1"/>
      <w:numFmt w:val="decimal"/>
      <w:lvlText w:val="%1."/>
      <w:lvlJc w:val="left"/>
      <w:pPr>
        <w:ind w:left="1461" w:hanging="181"/>
      </w:pPr>
      <w:rPr>
        <w:rFonts w:hint="default" w:ascii="Times New Roman" w:hAnsi="Times New Roman" w:eastAsia="Times New Roman" w:cs="Times New Roman"/>
        <w:w w:val="100"/>
        <w:sz w:val="22"/>
        <w:szCs w:val="22"/>
      </w:rPr>
    </w:lvl>
    <w:lvl w:ilvl="1" w:tentative="0">
      <w:start w:val="0"/>
      <w:numFmt w:val="bullet"/>
      <w:lvlText w:val="•"/>
      <w:lvlJc w:val="left"/>
      <w:pPr>
        <w:ind w:left="2340" w:hanging="181"/>
      </w:pPr>
      <w:rPr>
        <w:rFonts w:hint="default"/>
      </w:rPr>
    </w:lvl>
    <w:lvl w:ilvl="2" w:tentative="0">
      <w:start w:val="0"/>
      <w:numFmt w:val="bullet"/>
      <w:lvlText w:val="•"/>
      <w:lvlJc w:val="left"/>
      <w:pPr>
        <w:ind w:left="3221" w:hanging="181"/>
      </w:pPr>
      <w:rPr>
        <w:rFonts w:hint="default"/>
      </w:rPr>
    </w:lvl>
    <w:lvl w:ilvl="3" w:tentative="0">
      <w:start w:val="0"/>
      <w:numFmt w:val="bullet"/>
      <w:lvlText w:val="•"/>
      <w:lvlJc w:val="left"/>
      <w:pPr>
        <w:ind w:left="4101" w:hanging="181"/>
      </w:pPr>
      <w:rPr>
        <w:rFonts w:hint="default"/>
      </w:rPr>
    </w:lvl>
    <w:lvl w:ilvl="4" w:tentative="0">
      <w:start w:val="0"/>
      <w:numFmt w:val="bullet"/>
      <w:lvlText w:val="•"/>
      <w:lvlJc w:val="left"/>
      <w:pPr>
        <w:ind w:left="4982" w:hanging="181"/>
      </w:pPr>
      <w:rPr>
        <w:rFonts w:hint="default"/>
      </w:rPr>
    </w:lvl>
    <w:lvl w:ilvl="5" w:tentative="0">
      <w:start w:val="0"/>
      <w:numFmt w:val="bullet"/>
      <w:lvlText w:val="•"/>
      <w:lvlJc w:val="left"/>
      <w:pPr>
        <w:ind w:left="5863" w:hanging="181"/>
      </w:pPr>
      <w:rPr>
        <w:rFonts w:hint="default"/>
      </w:rPr>
    </w:lvl>
    <w:lvl w:ilvl="6" w:tentative="0">
      <w:start w:val="0"/>
      <w:numFmt w:val="bullet"/>
      <w:lvlText w:val="•"/>
      <w:lvlJc w:val="left"/>
      <w:pPr>
        <w:ind w:left="6743" w:hanging="181"/>
      </w:pPr>
      <w:rPr>
        <w:rFonts w:hint="default"/>
      </w:rPr>
    </w:lvl>
    <w:lvl w:ilvl="7" w:tentative="0">
      <w:start w:val="0"/>
      <w:numFmt w:val="bullet"/>
      <w:lvlText w:val="•"/>
      <w:lvlJc w:val="left"/>
      <w:pPr>
        <w:ind w:left="7624" w:hanging="181"/>
      </w:pPr>
      <w:rPr>
        <w:rFonts w:hint="default"/>
      </w:rPr>
    </w:lvl>
    <w:lvl w:ilvl="8" w:tentative="0">
      <w:start w:val="0"/>
      <w:numFmt w:val="bullet"/>
      <w:lvlText w:val="•"/>
      <w:lvlJc w:val="left"/>
      <w:pPr>
        <w:ind w:left="8504" w:hanging="181"/>
      </w:pPr>
      <w:rPr>
        <w:rFonts w:hint="default"/>
      </w:rPr>
    </w:lvl>
  </w:abstractNum>
  <w:abstractNum w:abstractNumId="19">
    <w:nsid w:val="4B3573F6"/>
    <w:multiLevelType w:val="multilevel"/>
    <w:tmpl w:val="4B3573F6"/>
    <w:lvl w:ilvl="0" w:tentative="0">
      <w:start w:val="1"/>
      <w:numFmt w:val="decimal"/>
      <w:lvlText w:val="%1."/>
      <w:lvlJc w:val="left"/>
      <w:pPr>
        <w:ind w:left="800" w:hanging="181"/>
      </w:pPr>
      <w:rPr>
        <w:rFonts w:hint="default" w:ascii="Times New Roman" w:hAnsi="Times New Roman" w:eastAsia="Times New Roman" w:cs="Times New Roman"/>
        <w:w w:val="100"/>
        <w:sz w:val="22"/>
        <w:szCs w:val="22"/>
      </w:rPr>
    </w:lvl>
    <w:lvl w:ilvl="1" w:tentative="0">
      <w:start w:val="0"/>
      <w:numFmt w:val="bullet"/>
      <w:lvlText w:val="•"/>
      <w:lvlJc w:val="left"/>
      <w:pPr>
        <w:ind w:left="1746" w:hanging="181"/>
      </w:pPr>
      <w:rPr>
        <w:rFonts w:hint="default"/>
      </w:rPr>
    </w:lvl>
    <w:lvl w:ilvl="2" w:tentative="0">
      <w:start w:val="0"/>
      <w:numFmt w:val="bullet"/>
      <w:lvlText w:val="•"/>
      <w:lvlJc w:val="left"/>
      <w:pPr>
        <w:ind w:left="2693" w:hanging="181"/>
      </w:pPr>
      <w:rPr>
        <w:rFonts w:hint="default"/>
      </w:rPr>
    </w:lvl>
    <w:lvl w:ilvl="3" w:tentative="0">
      <w:start w:val="0"/>
      <w:numFmt w:val="bullet"/>
      <w:lvlText w:val="•"/>
      <w:lvlJc w:val="left"/>
      <w:pPr>
        <w:ind w:left="3639" w:hanging="181"/>
      </w:pPr>
      <w:rPr>
        <w:rFonts w:hint="default"/>
      </w:rPr>
    </w:lvl>
    <w:lvl w:ilvl="4" w:tentative="0">
      <w:start w:val="0"/>
      <w:numFmt w:val="bullet"/>
      <w:lvlText w:val="•"/>
      <w:lvlJc w:val="left"/>
      <w:pPr>
        <w:ind w:left="4586" w:hanging="181"/>
      </w:pPr>
      <w:rPr>
        <w:rFonts w:hint="default"/>
      </w:rPr>
    </w:lvl>
    <w:lvl w:ilvl="5" w:tentative="0">
      <w:start w:val="0"/>
      <w:numFmt w:val="bullet"/>
      <w:lvlText w:val="•"/>
      <w:lvlJc w:val="left"/>
      <w:pPr>
        <w:ind w:left="5533" w:hanging="181"/>
      </w:pPr>
      <w:rPr>
        <w:rFonts w:hint="default"/>
      </w:rPr>
    </w:lvl>
    <w:lvl w:ilvl="6" w:tentative="0">
      <w:start w:val="0"/>
      <w:numFmt w:val="bullet"/>
      <w:lvlText w:val="•"/>
      <w:lvlJc w:val="left"/>
      <w:pPr>
        <w:ind w:left="6479" w:hanging="181"/>
      </w:pPr>
      <w:rPr>
        <w:rFonts w:hint="default"/>
      </w:rPr>
    </w:lvl>
    <w:lvl w:ilvl="7" w:tentative="0">
      <w:start w:val="0"/>
      <w:numFmt w:val="bullet"/>
      <w:lvlText w:val="•"/>
      <w:lvlJc w:val="left"/>
      <w:pPr>
        <w:ind w:left="7426" w:hanging="181"/>
      </w:pPr>
      <w:rPr>
        <w:rFonts w:hint="default"/>
      </w:rPr>
    </w:lvl>
    <w:lvl w:ilvl="8" w:tentative="0">
      <w:start w:val="0"/>
      <w:numFmt w:val="bullet"/>
      <w:lvlText w:val="•"/>
      <w:lvlJc w:val="left"/>
      <w:pPr>
        <w:ind w:left="8372" w:hanging="181"/>
      </w:pPr>
      <w:rPr>
        <w:rFonts w:hint="default"/>
      </w:rPr>
    </w:lvl>
  </w:abstractNum>
  <w:abstractNum w:abstractNumId="20">
    <w:nsid w:val="4DD9482E"/>
    <w:multiLevelType w:val="multilevel"/>
    <w:tmpl w:val="4DD9482E"/>
    <w:lvl w:ilvl="0" w:tentative="0">
      <w:start w:val="1"/>
      <w:numFmt w:val="decimal"/>
      <w:lvlText w:val="%1."/>
      <w:lvlJc w:val="left"/>
      <w:pPr>
        <w:ind w:left="1580" w:hanging="300"/>
      </w:pPr>
      <w:rPr>
        <w:rFonts w:hint="default" w:ascii="Times New Roman" w:hAnsi="Times New Roman" w:eastAsia="Times New Roman" w:cs="Times New Roman"/>
        <w:w w:val="100"/>
        <w:sz w:val="24"/>
        <w:szCs w:val="24"/>
      </w:rPr>
    </w:lvl>
    <w:lvl w:ilvl="1" w:tentative="0">
      <w:start w:val="0"/>
      <w:numFmt w:val="bullet"/>
      <w:lvlText w:val="•"/>
      <w:lvlJc w:val="left"/>
      <w:pPr>
        <w:ind w:left="2448" w:hanging="300"/>
      </w:pPr>
      <w:rPr>
        <w:rFonts w:hint="default"/>
      </w:rPr>
    </w:lvl>
    <w:lvl w:ilvl="2" w:tentative="0">
      <w:start w:val="0"/>
      <w:numFmt w:val="bullet"/>
      <w:lvlText w:val="•"/>
      <w:lvlJc w:val="left"/>
      <w:pPr>
        <w:ind w:left="3317" w:hanging="300"/>
      </w:pPr>
      <w:rPr>
        <w:rFonts w:hint="default"/>
      </w:rPr>
    </w:lvl>
    <w:lvl w:ilvl="3" w:tentative="0">
      <w:start w:val="0"/>
      <w:numFmt w:val="bullet"/>
      <w:lvlText w:val="•"/>
      <w:lvlJc w:val="left"/>
      <w:pPr>
        <w:ind w:left="4185" w:hanging="300"/>
      </w:pPr>
      <w:rPr>
        <w:rFonts w:hint="default"/>
      </w:rPr>
    </w:lvl>
    <w:lvl w:ilvl="4" w:tentative="0">
      <w:start w:val="0"/>
      <w:numFmt w:val="bullet"/>
      <w:lvlText w:val="•"/>
      <w:lvlJc w:val="left"/>
      <w:pPr>
        <w:ind w:left="5054" w:hanging="300"/>
      </w:pPr>
      <w:rPr>
        <w:rFonts w:hint="default"/>
      </w:rPr>
    </w:lvl>
    <w:lvl w:ilvl="5" w:tentative="0">
      <w:start w:val="0"/>
      <w:numFmt w:val="bullet"/>
      <w:lvlText w:val="•"/>
      <w:lvlJc w:val="left"/>
      <w:pPr>
        <w:ind w:left="5923" w:hanging="300"/>
      </w:pPr>
      <w:rPr>
        <w:rFonts w:hint="default"/>
      </w:rPr>
    </w:lvl>
    <w:lvl w:ilvl="6" w:tentative="0">
      <w:start w:val="0"/>
      <w:numFmt w:val="bullet"/>
      <w:lvlText w:val="•"/>
      <w:lvlJc w:val="left"/>
      <w:pPr>
        <w:ind w:left="6791" w:hanging="300"/>
      </w:pPr>
      <w:rPr>
        <w:rFonts w:hint="default"/>
      </w:rPr>
    </w:lvl>
    <w:lvl w:ilvl="7" w:tentative="0">
      <w:start w:val="0"/>
      <w:numFmt w:val="bullet"/>
      <w:lvlText w:val="•"/>
      <w:lvlJc w:val="left"/>
      <w:pPr>
        <w:ind w:left="7660" w:hanging="300"/>
      </w:pPr>
      <w:rPr>
        <w:rFonts w:hint="default"/>
      </w:rPr>
    </w:lvl>
    <w:lvl w:ilvl="8" w:tentative="0">
      <w:start w:val="0"/>
      <w:numFmt w:val="bullet"/>
      <w:lvlText w:val="•"/>
      <w:lvlJc w:val="left"/>
      <w:pPr>
        <w:ind w:left="8528" w:hanging="300"/>
      </w:pPr>
      <w:rPr>
        <w:rFonts w:hint="default"/>
      </w:rPr>
    </w:lvl>
  </w:abstractNum>
  <w:abstractNum w:abstractNumId="21">
    <w:nsid w:val="525955ED"/>
    <w:multiLevelType w:val="multilevel"/>
    <w:tmpl w:val="525955ED"/>
    <w:lvl w:ilvl="0" w:tentative="0">
      <w:start w:val="1"/>
      <w:numFmt w:val="decimal"/>
      <w:lvlText w:val="%1."/>
      <w:lvlJc w:val="left"/>
      <w:pPr>
        <w:ind w:left="800" w:hanging="181"/>
      </w:pPr>
      <w:rPr>
        <w:rFonts w:hint="default" w:ascii="Times New Roman" w:hAnsi="Times New Roman" w:eastAsia="Times New Roman" w:cs="Times New Roman"/>
        <w:w w:val="100"/>
        <w:sz w:val="22"/>
        <w:szCs w:val="22"/>
      </w:rPr>
    </w:lvl>
    <w:lvl w:ilvl="1" w:tentative="0">
      <w:start w:val="0"/>
      <w:numFmt w:val="bullet"/>
      <w:lvlText w:val="•"/>
      <w:lvlJc w:val="left"/>
      <w:pPr>
        <w:ind w:left="1746" w:hanging="181"/>
      </w:pPr>
      <w:rPr>
        <w:rFonts w:hint="default"/>
      </w:rPr>
    </w:lvl>
    <w:lvl w:ilvl="2" w:tentative="0">
      <w:start w:val="0"/>
      <w:numFmt w:val="bullet"/>
      <w:lvlText w:val="•"/>
      <w:lvlJc w:val="left"/>
      <w:pPr>
        <w:ind w:left="2693" w:hanging="181"/>
      </w:pPr>
      <w:rPr>
        <w:rFonts w:hint="default"/>
      </w:rPr>
    </w:lvl>
    <w:lvl w:ilvl="3" w:tentative="0">
      <w:start w:val="0"/>
      <w:numFmt w:val="bullet"/>
      <w:lvlText w:val="•"/>
      <w:lvlJc w:val="left"/>
      <w:pPr>
        <w:ind w:left="3639" w:hanging="181"/>
      </w:pPr>
      <w:rPr>
        <w:rFonts w:hint="default"/>
      </w:rPr>
    </w:lvl>
    <w:lvl w:ilvl="4" w:tentative="0">
      <w:start w:val="0"/>
      <w:numFmt w:val="bullet"/>
      <w:lvlText w:val="•"/>
      <w:lvlJc w:val="left"/>
      <w:pPr>
        <w:ind w:left="4586" w:hanging="181"/>
      </w:pPr>
      <w:rPr>
        <w:rFonts w:hint="default"/>
      </w:rPr>
    </w:lvl>
    <w:lvl w:ilvl="5" w:tentative="0">
      <w:start w:val="0"/>
      <w:numFmt w:val="bullet"/>
      <w:lvlText w:val="•"/>
      <w:lvlJc w:val="left"/>
      <w:pPr>
        <w:ind w:left="5533" w:hanging="181"/>
      </w:pPr>
      <w:rPr>
        <w:rFonts w:hint="default"/>
      </w:rPr>
    </w:lvl>
    <w:lvl w:ilvl="6" w:tentative="0">
      <w:start w:val="0"/>
      <w:numFmt w:val="bullet"/>
      <w:lvlText w:val="•"/>
      <w:lvlJc w:val="left"/>
      <w:pPr>
        <w:ind w:left="6479" w:hanging="181"/>
      </w:pPr>
      <w:rPr>
        <w:rFonts w:hint="default"/>
      </w:rPr>
    </w:lvl>
    <w:lvl w:ilvl="7" w:tentative="0">
      <w:start w:val="0"/>
      <w:numFmt w:val="bullet"/>
      <w:lvlText w:val="•"/>
      <w:lvlJc w:val="left"/>
      <w:pPr>
        <w:ind w:left="7426" w:hanging="181"/>
      </w:pPr>
      <w:rPr>
        <w:rFonts w:hint="default"/>
      </w:rPr>
    </w:lvl>
    <w:lvl w:ilvl="8" w:tentative="0">
      <w:start w:val="0"/>
      <w:numFmt w:val="bullet"/>
      <w:lvlText w:val="•"/>
      <w:lvlJc w:val="left"/>
      <w:pPr>
        <w:ind w:left="8372" w:hanging="181"/>
      </w:pPr>
      <w:rPr>
        <w:rFonts w:hint="default"/>
      </w:rPr>
    </w:lvl>
  </w:abstractNum>
  <w:abstractNum w:abstractNumId="22">
    <w:nsid w:val="569D1B87"/>
    <w:multiLevelType w:val="multilevel"/>
    <w:tmpl w:val="569D1B87"/>
    <w:lvl w:ilvl="0" w:tentative="0">
      <w:start w:val="1"/>
      <w:numFmt w:val="decimal"/>
      <w:lvlText w:val="%1."/>
      <w:lvlJc w:val="left"/>
      <w:pPr>
        <w:ind w:left="800" w:hanging="361"/>
      </w:pPr>
      <w:rPr>
        <w:rFonts w:hint="default" w:ascii="Times New Roman" w:hAnsi="Times New Roman" w:eastAsia="Times New Roman" w:cs="Times New Roman"/>
        <w:spacing w:val="-96"/>
        <w:w w:val="100"/>
        <w:sz w:val="22"/>
        <w:szCs w:val="22"/>
      </w:rPr>
    </w:lvl>
    <w:lvl w:ilvl="1" w:tentative="0">
      <w:start w:val="0"/>
      <w:numFmt w:val="bullet"/>
      <w:lvlText w:val="•"/>
      <w:lvlJc w:val="left"/>
      <w:pPr>
        <w:ind w:left="1746" w:hanging="361"/>
      </w:pPr>
      <w:rPr>
        <w:rFonts w:hint="default"/>
      </w:rPr>
    </w:lvl>
    <w:lvl w:ilvl="2" w:tentative="0">
      <w:start w:val="0"/>
      <w:numFmt w:val="bullet"/>
      <w:lvlText w:val="•"/>
      <w:lvlJc w:val="left"/>
      <w:pPr>
        <w:ind w:left="2693" w:hanging="361"/>
      </w:pPr>
      <w:rPr>
        <w:rFonts w:hint="default"/>
      </w:rPr>
    </w:lvl>
    <w:lvl w:ilvl="3" w:tentative="0">
      <w:start w:val="0"/>
      <w:numFmt w:val="bullet"/>
      <w:lvlText w:val="•"/>
      <w:lvlJc w:val="left"/>
      <w:pPr>
        <w:ind w:left="3639" w:hanging="361"/>
      </w:pPr>
      <w:rPr>
        <w:rFonts w:hint="default"/>
      </w:rPr>
    </w:lvl>
    <w:lvl w:ilvl="4" w:tentative="0">
      <w:start w:val="0"/>
      <w:numFmt w:val="bullet"/>
      <w:lvlText w:val="•"/>
      <w:lvlJc w:val="left"/>
      <w:pPr>
        <w:ind w:left="4586" w:hanging="361"/>
      </w:pPr>
      <w:rPr>
        <w:rFonts w:hint="default"/>
      </w:rPr>
    </w:lvl>
    <w:lvl w:ilvl="5" w:tentative="0">
      <w:start w:val="0"/>
      <w:numFmt w:val="bullet"/>
      <w:lvlText w:val="•"/>
      <w:lvlJc w:val="left"/>
      <w:pPr>
        <w:ind w:left="5533" w:hanging="361"/>
      </w:pPr>
      <w:rPr>
        <w:rFonts w:hint="default"/>
      </w:rPr>
    </w:lvl>
    <w:lvl w:ilvl="6" w:tentative="0">
      <w:start w:val="0"/>
      <w:numFmt w:val="bullet"/>
      <w:lvlText w:val="•"/>
      <w:lvlJc w:val="left"/>
      <w:pPr>
        <w:ind w:left="6479" w:hanging="361"/>
      </w:pPr>
      <w:rPr>
        <w:rFonts w:hint="default"/>
      </w:rPr>
    </w:lvl>
    <w:lvl w:ilvl="7" w:tentative="0">
      <w:start w:val="0"/>
      <w:numFmt w:val="bullet"/>
      <w:lvlText w:val="•"/>
      <w:lvlJc w:val="left"/>
      <w:pPr>
        <w:ind w:left="7426" w:hanging="361"/>
      </w:pPr>
      <w:rPr>
        <w:rFonts w:hint="default"/>
      </w:rPr>
    </w:lvl>
    <w:lvl w:ilvl="8" w:tentative="0">
      <w:start w:val="0"/>
      <w:numFmt w:val="bullet"/>
      <w:lvlText w:val="•"/>
      <w:lvlJc w:val="left"/>
      <w:pPr>
        <w:ind w:left="8372" w:hanging="361"/>
      </w:pPr>
      <w:rPr>
        <w:rFonts w:hint="default"/>
      </w:rPr>
    </w:lvl>
  </w:abstractNum>
  <w:abstractNum w:abstractNumId="23">
    <w:nsid w:val="60991A84"/>
    <w:multiLevelType w:val="multilevel"/>
    <w:tmpl w:val="60991A84"/>
    <w:lvl w:ilvl="0" w:tentative="0">
      <w:start w:val="1"/>
      <w:numFmt w:val="decimal"/>
      <w:lvlText w:val="（%1）"/>
      <w:lvlJc w:val="left"/>
      <w:pPr>
        <w:ind w:left="1881" w:hanging="601"/>
      </w:pPr>
      <w:rPr>
        <w:rFonts w:hint="default" w:ascii="仿宋" w:hAnsi="仿宋" w:eastAsia="仿宋" w:cs="仿宋"/>
        <w:w w:val="100"/>
        <w:sz w:val="22"/>
        <w:szCs w:val="22"/>
      </w:rPr>
    </w:lvl>
    <w:lvl w:ilvl="1" w:tentative="0">
      <w:start w:val="0"/>
      <w:numFmt w:val="bullet"/>
      <w:lvlText w:val="•"/>
      <w:lvlJc w:val="left"/>
      <w:pPr>
        <w:ind w:left="2718" w:hanging="601"/>
      </w:pPr>
      <w:rPr>
        <w:rFonts w:hint="default"/>
      </w:rPr>
    </w:lvl>
    <w:lvl w:ilvl="2" w:tentative="0">
      <w:start w:val="0"/>
      <w:numFmt w:val="bullet"/>
      <w:lvlText w:val="•"/>
      <w:lvlJc w:val="left"/>
      <w:pPr>
        <w:ind w:left="3557" w:hanging="601"/>
      </w:pPr>
      <w:rPr>
        <w:rFonts w:hint="default"/>
      </w:rPr>
    </w:lvl>
    <w:lvl w:ilvl="3" w:tentative="0">
      <w:start w:val="0"/>
      <w:numFmt w:val="bullet"/>
      <w:lvlText w:val="•"/>
      <w:lvlJc w:val="left"/>
      <w:pPr>
        <w:ind w:left="4395" w:hanging="601"/>
      </w:pPr>
      <w:rPr>
        <w:rFonts w:hint="default"/>
      </w:rPr>
    </w:lvl>
    <w:lvl w:ilvl="4" w:tentative="0">
      <w:start w:val="0"/>
      <w:numFmt w:val="bullet"/>
      <w:lvlText w:val="•"/>
      <w:lvlJc w:val="left"/>
      <w:pPr>
        <w:ind w:left="5234" w:hanging="601"/>
      </w:pPr>
      <w:rPr>
        <w:rFonts w:hint="default"/>
      </w:rPr>
    </w:lvl>
    <w:lvl w:ilvl="5" w:tentative="0">
      <w:start w:val="0"/>
      <w:numFmt w:val="bullet"/>
      <w:lvlText w:val="•"/>
      <w:lvlJc w:val="left"/>
      <w:pPr>
        <w:ind w:left="6073" w:hanging="601"/>
      </w:pPr>
      <w:rPr>
        <w:rFonts w:hint="default"/>
      </w:rPr>
    </w:lvl>
    <w:lvl w:ilvl="6" w:tentative="0">
      <w:start w:val="0"/>
      <w:numFmt w:val="bullet"/>
      <w:lvlText w:val="•"/>
      <w:lvlJc w:val="left"/>
      <w:pPr>
        <w:ind w:left="6911" w:hanging="601"/>
      </w:pPr>
      <w:rPr>
        <w:rFonts w:hint="default"/>
      </w:rPr>
    </w:lvl>
    <w:lvl w:ilvl="7" w:tentative="0">
      <w:start w:val="0"/>
      <w:numFmt w:val="bullet"/>
      <w:lvlText w:val="•"/>
      <w:lvlJc w:val="left"/>
      <w:pPr>
        <w:ind w:left="7750" w:hanging="601"/>
      </w:pPr>
      <w:rPr>
        <w:rFonts w:hint="default"/>
      </w:rPr>
    </w:lvl>
    <w:lvl w:ilvl="8" w:tentative="0">
      <w:start w:val="0"/>
      <w:numFmt w:val="bullet"/>
      <w:lvlText w:val="•"/>
      <w:lvlJc w:val="left"/>
      <w:pPr>
        <w:ind w:left="8588" w:hanging="601"/>
      </w:pPr>
      <w:rPr>
        <w:rFonts w:hint="default"/>
      </w:rPr>
    </w:lvl>
  </w:abstractNum>
  <w:abstractNum w:abstractNumId="24">
    <w:nsid w:val="61A66C2C"/>
    <w:multiLevelType w:val="multilevel"/>
    <w:tmpl w:val="61A66C2C"/>
    <w:lvl w:ilvl="0" w:tentative="0">
      <w:start w:val="1"/>
      <w:numFmt w:val="decimal"/>
      <w:lvlText w:val="%1."/>
      <w:lvlJc w:val="left"/>
      <w:pPr>
        <w:ind w:left="1461" w:hanging="181"/>
      </w:pPr>
      <w:rPr>
        <w:rFonts w:hint="default" w:ascii="Times New Roman" w:hAnsi="Times New Roman" w:eastAsia="Times New Roman" w:cs="Times New Roman"/>
        <w:b/>
        <w:bCs/>
        <w:w w:val="100"/>
        <w:sz w:val="22"/>
        <w:szCs w:val="22"/>
      </w:rPr>
    </w:lvl>
    <w:lvl w:ilvl="1" w:tentative="0">
      <w:start w:val="0"/>
      <w:numFmt w:val="bullet"/>
      <w:lvlText w:val="•"/>
      <w:lvlJc w:val="left"/>
      <w:pPr>
        <w:ind w:left="2340" w:hanging="181"/>
      </w:pPr>
      <w:rPr>
        <w:rFonts w:hint="default"/>
      </w:rPr>
    </w:lvl>
    <w:lvl w:ilvl="2" w:tentative="0">
      <w:start w:val="0"/>
      <w:numFmt w:val="bullet"/>
      <w:lvlText w:val="•"/>
      <w:lvlJc w:val="left"/>
      <w:pPr>
        <w:ind w:left="3221" w:hanging="181"/>
      </w:pPr>
      <w:rPr>
        <w:rFonts w:hint="default"/>
      </w:rPr>
    </w:lvl>
    <w:lvl w:ilvl="3" w:tentative="0">
      <w:start w:val="0"/>
      <w:numFmt w:val="bullet"/>
      <w:lvlText w:val="•"/>
      <w:lvlJc w:val="left"/>
      <w:pPr>
        <w:ind w:left="4101" w:hanging="181"/>
      </w:pPr>
      <w:rPr>
        <w:rFonts w:hint="default"/>
      </w:rPr>
    </w:lvl>
    <w:lvl w:ilvl="4" w:tentative="0">
      <w:start w:val="0"/>
      <w:numFmt w:val="bullet"/>
      <w:lvlText w:val="•"/>
      <w:lvlJc w:val="left"/>
      <w:pPr>
        <w:ind w:left="4982" w:hanging="181"/>
      </w:pPr>
      <w:rPr>
        <w:rFonts w:hint="default"/>
      </w:rPr>
    </w:lvl>
    <w:lvl w:ilvl="5" w:tentative="0">
      <w:start w:val="0"/>
      <w:numFmt w:val="bullet"/>
      <w:lvlText w:val="•"/>
      <w:lvlJc w:val="left"/>
      <w:pPr>
        <w:ind w:left="5863" w:hanging="181"/>
      </w:pPr>
      <w:rPr>
        <w:rFonts w:hint="default"/>
      </w:rPr>
    </w:lvl>
    <w:lvl w:ilvl="6" w:tentative="0">
      <w:start w:val="0"/>
      <w:numFmt w:val="bullet"/>
      <w:lvlText w:val="•"/>
      <w:lvlJc w:val="left"/>
      <w:pPr>
        <w:ind w:left="6743" w:hanging="181"/>
      </w:pPr>
      <w:rPr>
        <w:rFonts w:hint="default"/>
      </w:rPr>
    </w:lvl>
    <w:lvl w:ilvl="7" w:tentative="0">
      <w:start w:val="0"/>
      <w:numFmt w:val="bullet"/>
      <w:lvlText w:val="•"/>
      <w:lvlJc w:val="left"/>
      <w:pPr>
        <w:ind w:left="7624" w:hanging="181"/>
      </w:pPr>
      <w:rPr>
        <w:rFonts w:hint="default"/>
      </w:rPr>
    </w:lvl>
    <w:lvl w:ilvl="8" w:tentative="0">
      <w:start w:val="0"/>
      <w:numFmt w:val="bullet"/>
      <w:lvlText w:val="•"/>
      <w:lvlJc w:val="left"/>
      <w:pPr>
        <w:ind w:left="8504" w:hanging="181"/>
      </w:pPr>
      <w:rPr>
        <w:rFonts w:hint="default"/>
      </w:rPr>
    </w:lvl>
  </w:abstractNum>
  <w:abstractNum w:abstractNumId="25">
    <w:nsid w:val="6B6A18B4"/>
    <w:multiLevelType w:val="multilevel"/>
    <w:tmpl w:val="6B6A18B4"/>
    <w:lvl w:ilvl="0" w:tentative="0">
      <w:start w:val="1"/>
      <w:numFmt w:val="decimal"/>
      <w:lvlText w:val="%1."/>
      <w:lvlJc w:val="left"/>
      <w:pPr>
        <w:ind w:left="1641" w:hanging="361"/>
      </w:pPr>
      <w:rPr>
        <w:rFonts w:hint="default" w:ascii="Times New Roman" w:hAnsi="Times New Roman" w:eastAsia="Times New Roman" w:cs="Times New Roman"/>
        <w:w w:val="100"/>
        <w:sz w:val="22"/>
        <w:szCs w:val="22"/>
      </w:rPr>
    </w:lvl>
    <w:lvl w:ilvl="1" w:tentative="0">
      <w:start w:val="0"/>
      <w:numFmt w:val="bullet"/>
      <w:lvlText w:val="•"/>
      <w:lvlJc w:val="left"/>
      <w:pPr>
        <w:ind w:left="2502" w:hanging="361"/>
      </w:pPr>
      <w:rPr>
        <w:rFonts w:hint="default"/>
      </w:rPr>
    </w:lvl>
    <w:lvl w:ilvl="2" w:tentative="0">
      <w:start w:val="0"/>
      <w:numFmt w:val="bullet"/>
      <w:lvlText w:val="•"/>
      <w:lvlJc w:val="left"/>
      <w:pPr>
        <w:ind w:left="3365" w:hanging="361"/>
      </w:pPr>
      <w:rPr>
        <w:rFonts w:hint="default"/>
      </w:rPr>
    </w:lvl>
    <w:lvl w:ilvl="3" w:tentative="0">
      <w:start w:val="0"/>
      <w:numFmt w:val="bullet"/>
      <w:lvlText w:val="•"/>
      <w:lvlJc w:val="left"/>
      <w:pPr>
        <w:ind w:left="4227" w:hanging="361"/>
      </w:pPr>
      <w:rPr>
        <w:rFonts w:hint="default"/>
      </w:rPr>
    </w:lvl>
    <w:lvl w:ilvl="4" w:tentative="0">
      <w:start w:val="0"/>
      <w:numFmt w:val="bullet"/>
      <w:lvlText w:val="•"/>
      <w:lvlJc w:val="left"/>
      <w:pPr>
        <w:ind w:left="5090" w:hanging="361"/>
      </w:pPr>
      <w:rPr>
        <w:rFonts w:hint="default"/>
      </w:rPr>
    </w:lvl>
    <w:lvl w:ilvl="5" w:tentative="0">
      <w:start w:val="0"/>
      <w:numFmt w:val="bullet"/>
      <w:lvlText w:val="•"/>
      <w:lvlJc w:val="left"/>
      <w:pPr>
        <w:ind w:left="5953" w:hanging="361"/>
      </w:pPr>
      <w:rPr>
        <w:rFonts w:hint="default"/>
      </w:rPr>
    </w:lvl>
    <w:lvl w:ilvl="6" w:tentative="0">
      <w:start w:val="0"/>
      <w:numFmt w:val="bullet"/>
      <w:lvlText w:val="•"/>
      <w:lvlJc w:val="left"/>
      <w:pPr>
        <w:ind w:left="6815" w:hanging="361"/>
      </w:pPr>
      <w:rPr>
        <w:rFonts w:hint="default"/>
      </w:rPr>
    </w:lvl>
    <w:lvl w:ilvl="7" w:tentative="0">
      <w:start w:val="0"/>
      <w:numFmt w:val="bullet"/>
      <w:lvlText w:val="•"/>
      <w:lvlJc w:val="left"/>
      <w:pPr>
        <w:ind w:left="7678" w:hanging="361"/>
      </w:pPr>
      <w:rPr>
        <w:rFonts w:hint="default"/>
      </w:rPr>
    </w:lvl>
    <w:lvl w:ilvl="8" w:tentative="0">
      <w:start w:val="0"/>
      <w:numFmt w:val="bullet"/>
      <w:lvlText w:val="•"/>
      <w:lvlJc w:val="left"/>
      <w:pPr>
        <w:ind w:left="8540" w:hanging="361"/>
      </w:pPr>
      <w:rPr>
        <w:rFonts w:hint="default"/>
      </w:rPr>
    </w:lvl>
  </w:abstractNum>
  <w:abstractNum w:abstractNumId="26">
    <w:nsid w:val="767F45E5"/>
    <w:multiLevelType w:val="multilevel"/>
    <w:tmpl w:val="767F45E5"/>
    <w:lvl w:ilvl="0" w:tentative="0">
      <w:start w:val="1"/>
      <w:numFmt w:val="decimal"/>
      <w:lvlText w:val="%1."/>
      <w:lvlJc w:val="left"/>
      <w:pPr>
        <w:ind w:left="800" w:hanging="361"/>
      </w:pPr>
      <w:rPr>
        <w:rFonts w:hint="default" w:ascii="Times New Roman" w:hAnsi="Times New Roman" w:eastAsia="Times New Roman" w:cs="Times New Roman"/>
        <w:w w:val="100"/>
        <w:sz w:val="22"/>
        <w:szCs w:val="22"/>
      </w:rPr>
    </w:lvl>
    <w:lvl w:ilvl="1" w:tentative="0">
      <w:start w:val="0"/>
      <w:numFmt w:val="bullet"/>
      <w:lvlText w:val="•"/>
      <w:lvlJc w:val="left"/>
      <w:pPr>
        <w:ind w:left="1746" w:hanging="361"/>
      </w:pPr>
      <w:rPr>
        <w:rFonts w:hint="default"/>
      </w:rPr>
    </w:lvl>
    <w:lvl w:ilvl="2" w:tentative="0">
      <w:start w:val="0"/>
      <w:numFmt w:val="bullet"/>
      <w:lvlText w:val="•"/>
      <w:lvlJc w:val="left"/>
      <w:pPr>
        <w:ind w:left="2693" w:hanging="361"/>
      </w:pPr>
      <w:rPr>
        <w:rFonts w:hint="default"/>
      </w:rPr>
    </w:lvl>
    <w:lvl w:ilvl="3" w:tentative="0">
      <w:start w:val="0"/>
      <w:numFmt w:val="bullet"/>
      <w:lvlText w:val="•"/>
      <w:lvlJc w:val="left"/>
      <w:pPr>
        <w:ind w:left="3639" w:hanging="361"/>
      </w:pPr>
      <w:rPr>
        <w:rFonts w:hint="default"/>
      </w:rPr>
    </w:lvl>
    <w:lvl w:ilvl="4" w:tentative="0">
      <w:start w:val="0"/>
      <w:numFmt w:val="bullet"/>
      <w:lvlText w:val="•"/>
      <w:lvlJc w:val="left"/>
      <w:pPr>
        <w:ind w:left="4586" w:hanging="361"/>
      </w:pPr>
      <w:rPr>
        <w:rFonts w:hint="default"/>
      </w:rPr>
    </w:lvl>
    <w:lvl w:ilvl="5" w:tentative="0">
      <w:start w:val="0"/>
      <w:numFmt w:val="bullet"/>
      <w:lvlText w:val="•"/>
      <w:lvlJc w:val="left"/>
      <w:pPr>
        <w:ind w:left="5533" w:hanging="361"/>
      </w:pPr>
      <w:rPr>
        <w:rFonts w:hint="default"/>
      </w:rPr>
    </w:lvl>
    <w:lvl w:ilvl="6" w:tentative="0">
      <w:start w:val="0"/>
      <w:numFmt w:val="bullet"/>
      <w:lvlText w:val="•"/>
      <w:lvlJc w:val="left"/>
      <w:pPr>
        <w:ind w:left="6479" w:hanging="361"/>
      </w:pPr>
      <w:rPr>
        <w:rFonts w:hint="default"/>
      </w:rPr>
    </w:lvl>
    <w:lvl w:ilvl="7" w:tentative="0">
      <w:start w:val="0"/>
      <w:numFmt w:val="bullet"/>
      <w:lvlText w:val="•"/>
      <w:lvlJc w:val="left"/>
      <w:pPr>
        <w:ind w:left="7426" w:hanging="361"/>
      </w:pPr>
      <w:rPr>
        <w:rFonts w:hint="default"/>
      </w:rPr>
    </w:lvl>
    <w:lvl w:ilvl="8" w:tentative="0">
      <w:start w:val="0"/>
      <w:numFmt w:val="bullet"/>
      <w:lvlText w:val="•"/>
      <w:lvlJc w:val="left"/>
      <w:pPr>
        <w:ind w:left="8372" w:hanging="361"/>
      </w:pPr>
      <w:rPr>
        <w:rFonts w:hint="default"/>
      </w:rPr>
    </w:lvl>
  </w:abstractNum>
  <w:abstractNum w:abstractNumId="27">
    <w:nsid w:val="77900E99"/>
    <w:multiLevelType w:val="multilevel"/>
    <w:tmpl w:val="77900E99"/>
    <w:lvl w:ilvl="0" w:tentative="0">
      <w:start w:val="1"/>
      <w:numFmt w:val="decimal"/>
      <w:lvlText w:val="（%1）"/>
      <w:lvlJc w:val="left"/>
      <w:pPr>
        <w:ind w:left="800" w:hanging="601"/>
      </w:pPr>
      <w:rPr>
        <w:rFonts w:hint="default" w:ascii="仿宋" w:hAnsi="仿宋" w:eastAsia="仿宋" w:cs="仿宋"/>
        <w:w w:val="100"/>
        <w:sz w:val="22"/>
        <w:szCs w:val="22"/>
      </w:rPr>
    </w:lvl>
    <w:lvl w:ilvl="1" w:tentative="0">
      <w:start w:val="0"/>
      <w:numFmt w:val="bullet"/>
      <w:lvlText w:val="•"/>
      <w:lvlJc w:val="left"/>
      <w:pPr>
        <w:ind w:left="1746" w:hanging="601"/>
      </w:pPr>
      <w:rPr>
        <w:rFonts w:hint="default"/>
      </w:rPr>
    </w:lvl>
    <w:lvl w:ilvl="2" w:tentative="0">
      <w:start w:val="0"/>
      <w:numFmt w:val="bullet"/>
      <w:lvlText w:val="•"/>
      <w:lvlJc w:val="left"/>
      <w:pPr>
        <w:ind w:left="2693" w:hanging="601"/>
      </w:pPr>
      <w:rPr>
        <w:rFonts w:hint="default"/>
      </w:rPr>
    </w:lvl>
    <w:lvl w:ilvl="3" w:tentative="0">
      <w:start w:val="0"/>
      <w:numFmt w:val="bullet"/>
      <w:lvlText w:val="•"/>
      <w:lvlJc w:val="left"/>
      <w:pPr>
        <w:ind w:left="3639" w:hanging="601"/>
      </w:pPr>
      <w:rPr>
        <w:rFonts w:hint="default"/>
      </w:rPr>
    </w:lvl>
    <w:lvl w:ilvl="4" w:tentative="0">
      <w:start w:val="0"/>
      <w:numFmt w:val="bullet"/>
      <w:lvlText w:val="•"/>
      <w:lvlJc w:val="left"/>
      <w:pPr>
        <w:ind w:left="4586" w:hanging="601"/>
      </w:pPr>
      <w:rPr>
        <w:rFonts w:hint="default"/>
      </w:rPr>
    </w:lvl>
    <w:lvl w:ilvl="5" w:tentative="0">
      <w:start w:val="0"/>
      <w:numFmt w:val="bullet"/>
      <w:lvlText w:val="•"/>
      <w:lvlJc w:val="left"/>
      <w:pPr>
        <w:ind w:left="5533" w:hanging="601"/>
      </w:pPr>
      <w:rPr>
        <w:rFonts w:hint="default"/>
      </w:rPr>
    </w:lvl>
    <w:lvl w:ilvl="6" w:tentative="0">
      <w:start w:val="0"/>
      <w:numFmt w:val="bullet"/>
      <w:lvlText w:val="•"/>
      <w:lvlJc w:val="left"/>
      <w:pPr>
        <w:ind w:left="6479" w:hanging="601"/>
      </w:pPr>
      <w:rPr>
        <w:rFonts w:hint="default"/>
      </w:rPr>
    </w:lvl>
    <w:lvl w:ilvl="7" w:tentative="0">
      <w:start w:val="0"/>
      <w:numFmt w:val="bullet"/>
      <w:lvlText w:val="•"/>
      <w:lvlJc w:val="left"/>
      <w:pPr>
        <w:ind w:left="7426" w:hanging="601"/>
      </w:pPr>
      <w:rPr>
        <w:rFonts w:hint="default"/>
      </w:rPr>
    </w:lvl>
    <w:lvl w:ilvl="8" w:tentative="0">
      <w:start w:val="0"/>
      <w:numFmt w:val="bullet"/>
      <w:lvlText w:val="•"/>
      <w:lvlJc w:val="left"/>
      <w:pPr>
        <w:ind w:left="8372" w:hanging="601"/>
      </w:pPr>
      <w:rPr>
        <w:rFonts w:hint="default"/>
      </w:rPr>
    </w:lvl>
  </w:abstractNum>
  <w:abstractNum w:abstractNumId="28">
    <w:nsid w:val="7A6D00C9"/>
    <w:multiLevelType w:val="multilevel"/>
    <w:tmpl w:val="7A6D00C9"/>
    <w:lvl w:ilvl="0" w:tentative="0">
      <w:start w:val="1"/>
      <w:numFmt w:val="decimal"/>
      <w:lvlText w:val="%1."/>
      <w:lvlJc w:val="left"/>
      <w:pPr>
        <w:ind w:left="1461" w:hanging="181"/>
      </w:pPr>
      <w:rPr>
        <w:rFonts w:hint="default" w:ascii="Times New Roman" w:hAnsi="Times New Roman" w:eastAsia="Times New Roman" w:cs="Times New Roman"/>
        <w:w w:val="100"/>
        <w:sz w:val="22"/>
        <w:szCs w:val="22"/>
      </w:rPr>
    </w:lvl>
    <w:lvl w:ilvl="1" w:tentative="0">
      <w:start w:val="0"/>
      <w:numFmt w:val="bullet"/>
      <w:lvlText w:val="•"/>
      <w:lvlJc w:val="left"/>
      <w:pPr>
        <w:ind w:left="2340" w:hanging="181"/>
      </w:pPr>
      <w:rPr>
        <w:rFonts w:hint="default"/>
      </w:rPr>
    </w:lvl>
    <w:lvl w:ilvl="2" w:tentative="0">
      <w:start w:val="0"/>
      <w:numFmt w:val="bullet"/>
      <w:lvlText w:val="•"/>
      <w:lvlJc w:val="left"/>
      <w:pPr>
        <w:ind w:left="3221" w:hanging="181"/>
      </w:pPr>
      <w:rPr>
        <w:rFonts w:hint="default"/>
      </w:rPr>
    </w:lvl>
    <w:lvl w:ilvl="3" w:tentative="0">
      <w:start w:val="0"/>
      <w:numFmt w:val="bullet"/>
      <w:lvlText w:val="•"/>
      <w:lvlJc w:val="left"/>
      <w:pPr>
        <w:ind w:left="4101" w:hanging="181"/>
      </w:pPr>
      <w:rPr>
        <w:rFonts w:hint="default"/>
      </w:rPr>
    </w:lvl>
    <w:lvl w:ilvl="4" w:tentative="0">
      <w:start w:val="0"/>
      <w:numFmt w:val="bullet"/>
      <w:lvlText w:val="•"/>
      <w:lvlJc w:val="left"/>
      <w:pPr>
        <w:ind w:left="4982" w:hanging="181"/>
      </w:pPr>
      <w:rPr>
        <w:rFonts w:hint="default"/>
      </w:rPr>
    </w:lvl>
    <w:lvl w:ilvl="5" w:tentative="0">
      <w:start w:val="0"/>
      <w:numFmt w:val="bullet"/>
      <w:lvlText w:val="•"/>
      <w:lvlJc w:val="left"/>
      <w:pPr>
        <w:ind w:left="5863" w:hanging="181"/>
      </w:pPr>
      <w:rPr>
        <w:rFonts w:hint="default"/>
      </w:rPr>
    </w:lvl>
    <w:lvl w:ilvl="6" w:tentative="0">
      <w:start w:val="0"/>
      <w:numFmt w:val="bullet"/>
      <w:lvlText w:val="•"/>
      <w:lvlJc w:val="left"/>
      <w:pPr>
        <w:ind w:left="6743" w:hanging="181"/>
      </w:pPr>
      <w:rPr>
        <w:rFonts w:hint="default"/>
      </w:rPr>
    </w:lvl>
    <w:lvl w:ilvl="7" w:tentative="0">
      <w:start w:val="0"/>
      <w:numFmt w:val="bullet"/>
      <w:lvlText w:val="•"/>
      <w:lvlJc w:val="left"/>
      <w:pPr>
        <w:ind w:left="7624" w:hanging="181"/>
      </w:pPr>
      <w:rPr>
        <w:rFonts w:hint="default"/>
      </w:rPr>
    </w:lvl>
    <w:lvl w:ilvl="8" w:tentative="0">
      <w:start w:val="0"/>
      <w:numFmt w:val="bullet"/>
      <w:lvlText w:val="•"/>
      <w:lvlJc w:val="left"/>
      <w:pPr>
        <w:ind w:left="8504" w:hanging="181"/>
      </w:pPr>
      <w:rPr>
        <w:rFonts w:hint="default"/>
      </w:rPr>
    </w:lvl>
  </w:abstractNum>
  <w:abstractNum w:abstractNumId="29">
    <w:nsid w:val="7C3B3C48"/>
    <w:multiLevelType w:val="multilevel"/>
    <w:tmpl w:val="7C3B3C48"/>
    <w:lvl w:ilvl="0" w:tentative="0">
      <w:start w:val="1"/>
      <w:numFmt w:val="decimal"/>
      <w:lvlText w:val="（%1）"/>
      <w:lvlJc w:val="left"/>
      <w:pPr>
        <w:ind w:left="3632" w:hanging="720"/>
      </w:pPr>
      <w:rPr>
        <w:rFonts w:hint="default"/>
      </w:rPr>
    </w:lvl>
    <w:lvl w:ilvl="1" w:tentative="0">
      <w:start w:val="1"/>
      <w:numFmt w:val="lowerLetter"/>
      <w:lvlText w:val="%2)"/>
      <w:lvlJc w:val="left"/>
      <w:pPr>
        <w:ind w:left="3752" w:hanging="420"/>
      </w:pPr>
    </w:lvl>
    <w:lvl w:ilvl="2" w:tentative="0">
      <w:start w:val="1"/>
      <w:numFmt w:val="lowerRoman"/>
      <w:lvlText w:val="%3."/>
      <w:lvlJc w:val="right"/>
      <w:pPr>
        <w:ind w:left="4172" w:hanging="420"/>
      </w:pPr>
    </w:lvl>
    <w:lvl w:ilvl="3" w:tentative="0">
      <w:start w:val="1"/>
      <w:numFmt w:val="decimal"/>
      <w:lvlText w:val="%4."/>
      <w:lvlJc w:val="left"/>
      <w:pPr>
        <w:ind w:left="4592" w:hanging="420"/>
      </w:pPr>
    </w:lvl>
    <w:lvl w:ilvl="4" w:tentative="0">
      <w:start w:val="1"/>
      <w:numFmt w:val="lowerLetter"/>
      <w:lvlText w:val="%5)"/>
      <w:lvlJc w:val="left"/>
      <w:pPr>
        <w:ind w:left="5012" w:hanging="420"/>
      </w:pPr>
    </w:lvl>
    <w:lvl w:ilvl="5" w:tentative="0">
      <w:start w:val="1"/>
      <w:numFmt w:val="lowerRoman"/>
      <w:lvlText w:val="%6."/>
      <w:lvlJc w:val="right"/>
      <w:pPr>
        <w:ind w:left="5432" w:hanging="420"/>
      </w:pPr>
    </w:lvl>
    <w:lvl w:ilvl="6" w:tentative="0">
      <w:start w:val="1"/>
      <w:numFmt w:val="decimal"/>
      <w:lvlText w:val="%7."/>
      <w:lvlJc w:val="left"/>
      <w:pPr>
        <w:ind w:left="5852" w:hanging="420"/>
      </w:pPr>
    </w:lvl>
    <w:lvl w:ilvl="7" w:tentative="0">
      <w:start w:val="1"/>
      <w:numFmt w:val="lowerLetter"/>
      <w:lvlText w:val="%8)"/>
      <w:lvlJc w:val="left"/>
      <w:pPr>
        <w:ind w:left="6272" w:hanging="420"/>
      </w:pPr>
    </w:lvl>
    <w:lvl w:ilvl="8" w:tentative="0">
      <w:start w:val="1"/>
      <w:numFmt w:val="lowerRoman"/>
      <w:lvlText w:val="%9."/>
      <w:lvlJc w:val="right"/>
      <w:pPr>
        <w:ind w:left="6692" w:hanging="420"/>
      </w:pPr>
    </w:lvl>
  </w:abstractNum>
  <w:abstractNum w:abstractNumId="30">
    <w:nsid w:val="7C633FC6"/>
    <w:multiLevelType w:val="multilevel"/>
    <w:tmpl w:val="7C633FC6"/>
    <w:lvl w:ilvl="0" w:tentative="0">
      <w:start w:val="1"/>
      <w:numFmt w:val="decimal"/>
      <w:lvlText w:val="（%1）"/>
      <w:lvlJc w:val="left"/>
      <w:pPr>
        <w:ind w:left="3632" w:hanging="720"/>
      </w:pPr>
      <w:rPr>
        <w:rFonts w:hint="default"/>
      </w:rPr>
    </w:lvl>
    <w:lvl w:ilvl="1" w:tentative="0">
      <w:start w:val="1"/>
      <w:numFmt w:val="lowerLetter"/>
      <w:lvlText w:val="%2)"/>
      <w:lvlJc w:val="left"/>
      <w:pPr>
        <w:ind w:left="3752" w:hanging="420"/>
      </w:pPr>
    </w:lvl>
    <w:lvl w:ilvl="2" w:tentative="0">
      <w:start w:val="1"/>
      <w:numFmt w:val="lowerRoman"/>
      <w:lvlText w:val="%3."/>
      <w:lvlJc w:val="right"/>
      <w:pPr>
        <w:ind w:left="4172" w:hanging="420"/>
      </w:pPr>
    </w:lvl>
    <w:lvl w:ilvl="3" w:tentative="0">
      <w:start w:val="1"/>
      <w:numFmt w:val="decimal"/>
      <w:lvlText w:val="%4."/>
      <w:lvlJc w:val="left"/>
      <w:pPr>
        <w:ind w:left="4592" w:hanging="420"/>
      </w:pPr>
    </w:lvl>
    <w:lvl w:ilvl="4" w:tentative="0">
      <w:start w:val="1"/>
      <w:numFmt w:val="lowerLetter"/>
      <w:lvlText w:val="%5)"/>
      <w:lvlJc w:val="left"/>
      <w:pPr>
        <w:ind w:left="5012" w:hanging="420"/>
      </w:pPr>
    </w:lvl>
    <w:lvl w:ilvl="5" w:tentative="0">
      <w:start w:val="1"/>
      <w:numFmt w:val="lowerRoman"/>
      <w:lvlText w:val="%6."/>
      <w:lvlJc w:val="right"/>
      <w:pPr>
        <w:ind w:left="5432" w:hanging="420"/>
      </w:pPr>
    </w:lvl>
    <w:lvl w:ilvl="6" w:tentative="0">
      <w:start w:val="1"/>
      <w:numFmt w:val="decimal"/>
      <w:lvlText w:val="%7."/>
      <w:lvlJc w:val="left"/>
      <w:pPr>
        <w:ind w:left="5852" w:hanging="420"/>
      </w:pPr>
    </w:lvl>
    <w:lvl w:ilvl="7" w:tentative="0">
      <w:start w:val="1"/>
      <w:numFmt w:val="lowerLetter"/>
      <w:lvlText w:val="%8)"/>
      <w:lvlJc w:val="left"/>
      <w:pPr>
        <w:ind w:left="6272" w:hanging="420"/>
      </w:pPr>
    </w:lvl>
    <w:lvl w:ilvl="8" w:tentative="0">
      <w:start w:val="1"/>
      <w:numFmt w:val="lowerRoman"/>
      <w:lvlText w:val="%9."/>
      <w:lvlJc w:val="right"/>
      <w:pPr>
        <w:ind w:left="6692" w:hanging="420"/>
      </w:pPr>
    </w:lvl>
  </w:abstractNum>
  <w:abstractNum w:abstractNumId="31">
    <w:nsid w:val="7D1E30B9"/>
    <w:multiLevelType w:val="multilevel"/>
    <w:tmpl w:val="7D1E30B9"/>
    <w:lvl w:ilvl="0" w:tentative="0">
      <w:start w:val="1"/>
      <w:numFmt w:val="decimal"/>
      <w:lvlText w:val="%1."/>
      <w:lvlJc w:val="left"/>
      <w:pPr>
        <w:ind w:left="1641" w:hanging="361"/>
      </w:pPr>
      <w:rPr>
        <w:rFonts w:hint="default" w:ascii="Times New Roman" w:hAnsi="Times New Roman" w:eastAsia="Times New Roman" w:cs="Times New Roman"/>
        <w:w w:val="100"/>
        <w:sz w:val="22"/>
        <w:szCs w:val="22"/>
      </w:rPr>
    </w:lvl>
    <w:lvl w:ilvl="1" w:tentative="0">
      <w:start w:val="0"/>
      <w:numFmt w:val="bullet"/>
      <w:lvlText w:val="•"/>
      <w:lvlJc w:val="left"/>
      <w:pPr>
        <w:ind w:left="2502" w:hanging="361"/>
      </w:pPr>
      <w:rPr>
        <w:rFonts w:hint="default"/>
      </w:rPr>
    </w:lvl>
    <w:lvl w:ilvl="2" w:tentative="0">
      <w:start w:val="0"/>
      <w:numFmt w:val="bullet"/>
      <w:lvlText w:val="•"/>
      <w:lvlJc w:val="left"/>
      <w:pPr>
        <w:ind w:left="3365" w:hanging="361"/>
      </w:pPr>
      <w:rPr>
        <w:rFonts w:hint="default"/>
      </w:rPr>
    </w:lvl>
    <w:lvl w:ilvl="3" w:tentative="0">
      <w:start w:val="0"/>
      <w:numFmt w:val="bullet"/>
      <w:lvlText w:val="•"/>
      <w:lvlJc w:val="left"/>
      <w:pPr>
        <w:ind w:left="4227" w:hanging="361"/>
      </w:pPr>
      <w:rPr>
        <w:rFonts w:hint="default"/>
      </w:rPr>
    </w:lvl>
    <w:lvl w:ilvl="4" w:tentative="0">
      <w:start w:val="0"/>
      <w:numFmt w:val="bullet"/>
      <w:lvlText w:val="•"/>
      <w:lvlJc w:val="left"/>
      <w:pPr>
        <w:ind w:left="5090" w:hanging="361"/>
      </w:pPr>
      <w:rPr>
        <w:rFonts w:hint="default"/>
      </w:rPr>
    </w:lvl>
    <w:lvl w:ilvl="5" w:tentative="0">
      <w:start w:val="0"/>
      <w:numFmt w:val="bullet"/>
      <w:lvlText w:val="•"/>
      <w:lvlJc w:val="left"/>
      <w:pPr>
        <w:ind w:left="5953" w:hanging="361"/>
      </w:pPr>
      <w:rPr>
        <w:rFonts w:hint="default"/>
      </w:rPr>
    </w:lvl>
    <w:lvl w:ilvl="6" w:tentative="0">
      <w:start w:val="0"/>
      <w:numFmt w:val="bullet"/>
      <w:lvlText w:val="•"/>
      <w:lvlJc w:val="left"/>
      <w:pPr>
        <w:ind w:left="6815" w:hanging="361"/>
      </w:pPr>
      <w:rPr>
        <w:rFonts w:hint="default"/>
      </w:rPr>
    </w:lvl>
    <w:lvl w:ilvl="7" w:tentative="0">
      <w:start w:val="0"/>
      <w:numFmt w:val="bullet"/>
      <w:lvlText w:val="•"/>
      <w:lvlJc w:val="left"/>
      <w:pPr>
        <w:ind w:left="7678" w:hanging="361"/>
      </w:pPr>
      <w:rPr>
        <w:rFonts w:hint="default"/>
      </w:rPr>
    </w:lvl>
    <w:lvl w:ilvl="8" w:tentative="0">
      <w:start w:val="0"/>
      <w:numFmt w:val="bullet"/>
      <w:lvlText w:val="•"/>
      <w:lvlJc w:val="left"/>
      <w:pPr>
        <w:ind w:left="8540" w:hanging="361"/>
      </w:pPr>
      <w:rPr>
        <w:rFonts w:hint="default"/>
      </w:rPr>
    </w:lvl>
  </w:abstractNum>
  <w:abstractNum w:abstractNumId="32">
    <w:nsid w:val="7FAF304D"/>
    <w:multiLevelType w:val="multilevel"/>
    <w:tmpl w:val="7FAF304D"/>
    <w:lvl w:ilvl="0" w:tentative="0">
      <w:start w:val="1"/>
      <w:numFmt w:val="decimal"/>
      <w:lvlText w:val="%1."/>
      <w:lvlJc w:val="left"/>
      <w:pPr>
        <w:ind w:left="800" w:hanging="183"/>
      </w:pPr>
      <w:rPr>
        <w:rFonts w:hint="default" w:ascii="Times New Roman" w:hAnsi="Times New Roman" w:eastAsia="Times New Roman" w:cs="Times New Roman"/>
        <w:w w:val="100"/>
        <w:sz w:val="22"/>
        <w:szCs w:val="22"/>
      </w:rPr>
    </w:lvl>
    <w:lvl w:ilvl="1" w:tentative="0">
      <w:start w:val="0"/>
      <w:numFmt w:val="bullet"/>
      <w:lvlText w:val="•"/>
      <w:lvlJc w:val="left"/>
      <w:pPr>
        <w:ind w:left="1746" w:hanging="183"/>
      </w:pPr>
      <w:rPr>
        <w:rFonts w:hint="default"/>
      </w:rPr>
    </w:lvl>
    <w:lvl w:ilvl="2" w:tentative="0">
      <w:start w:val="0"/>
      <w:numFmt w:val="bullet"/>
      <w:lvlText w:val="•"/>
      <w:lvlJc w:val="left"/>
      <w:pPr>
        <w:ind w:left="2693" w:hanging="183"/>
      </w:pPr>
      <w:rPr>
        <w:rFonts w:hint="default"/>
      </w:rPr>
    </w:lvl>
    <w:lvl w:ilvl="3" w:tentative="0">
      <w:start w:val="0"/>
      <w:numFmt w:val="bullet"/>
      <w:lvlText w:val="•"/>
      <w:lvlJc w:val="left"/>
      <w:pPr>
        <w:ind w:left="3639" w:hanging="183"/>
      </w:pPr>
      <w:rPr>
        <w:rFonts w:hint="default"/>
      </w:rPr>
    </w:lvl>
    <w:lvl w:ilvl="4" w:tentative="0">
      <w:start w:val="0"/>
      <w:numFmt w:val="bullet"/>
      <w:lvlText w:val="•"/>
      <w:lvlJc w:val="left"/>
      <w:pPr>
        <w:ind w:left="4586" w:hanging="183"/>
      </w:pPr>
      <w:rPr>
        <w:rFonts w:hint="default"/>
      </w:rPr>
    </w:lvl>
    <w:lvl w:ilvl="5" w:tentative="0">
      <w:start w:val="0"/>
      <w:numFmt w:val="bullet"/>
      <w:lvlText w:val="•"/>
      <w:lvlJc w:val="left"/>
      <w:pPr>
        <w:ind w:left="5533" w:hanging="183"/>
      </w:pPr>
      <w:rPr>
        <w:rFonts w:hint="default"/>
      </w:rPr>
    </w:lvl>
    <w:lvl w:ilvl="6" w:tentative="0">
      <w:start w:val="0"/>
      <w:numFmt w:val="bullet"/>
      <w:lvlText w:val="•"/>
      <w:lvlJc w:val="left"/>
      <w:pPr>
        <w:ind w:left="6479" w:hanging="183"/>
      </w:pPr>
      <w:rPr>
        <w:rFonts w:hint="default"/>
      </w:rPr>
    </w:lvl>
    <w:lvl w:ilvl="7" w:tentative="0">
      <w:start w:val="0"/>
      <w:numFmt w:val="bullet"/>
      <w:lvlText w:val="•"/>
      <w:lvlJc w:val="left"/>
      <w:pPr>
        <w:ind w:left="7426" w:hanging="183"/>
      </w:pPr>
      <w:rPr>
        <w:rFonts w:hint="default"/>
      </w:rPr>
    </w:lvl>
    <w:lvl w:ilvl="8" w:tentative="0">
      <w:start w:val="0"/>
      <w:numFmt w:val="bullet"/>
      <w:lvlText w:val="•"/>
      <w:lvlJc w:val="left"/>
      <w:pPr>
        <w:ind w:left="8372" w:hanging="183"/>
      </w:pPr>
      <w:rPr>
        <w:rFonts w:hint="default"/>
      </w:rPr>
    </w:lvl>
  </w:abstractNum>
  <w:num w:numId="1">
    <w:abstractNumId w:val="22"/>
  </w:num>
  <w:num w:numId="2">
    <w:abstractNumId w:val="3"/>
  </w:num>
  <w:num w:numId="3">
    <w:abstractNumId w:val="28"/>
  </w:num>
  <w:num w:numId="4">
    <w:abstractNumId w:val="27"/>
  </w:num>
  <w:num w:numId="5">
    <w:abstractNumId w:val="29"/>
  </w:num>
  <w:num w:numId="6">
    <w:abstractNumId w:val="30"/>
  </w:num>
  <w:num w:numId="7">
    <w:abstractNumId w:val="8"/>
  </w:num>
  <w:num w:numId="8">
    <w:abstractNumId w:val="31"/>
  </w:num>
  <w:num w:numId="9">
    <w:abstractNumId w:val="16"/>
  </w:num>
  <w:num w:numId="10">
    <w:abstractNumId w:val="25"/>
  </w:num>
  <w:num w:numId="11">
    <w:abstractNumId w:val="17"/>
  </w:num>
  <w:num w:numId="12">
    <w:abstractNumId w:val="5"/>
  </w:num>
  <w:num w:numId="13">
    <w:abstractNumId w:val="4"/>
  </w:num>
  <w:num w:numId="14">
    <w:abstractNumId w:val="13"/>
  </w:num>
  <w:num w:numId="15">
    <w:abstractNumId w:val="1"/>
  </w:num>
  <w:num w:numId="16">
    <w:abstractNumId w:val="26"/>
  </w:num>
  <w:num w:numId="17">
    <w:abstractNumId w:val="11"/>
  </w:num>
  <w:num w:numId="18">
    <w:abstractNumId w:val="21"/>
  </w:num>
  <w:num w:numId="19">
    <w:abstractNumId w:val="14"/>
  </w:num>
  <w:num w:numId="20">
    <w:abstractNumId w:val="12"/>
  </w:num>
  <w:num w:numId="21">
    <w:abstractNumId w:val="20"/>
  </w:num>
  <w:num w:numId="22">
    <w:abstractNumId w:val="18"/>
  </w:num>
  <w:num w:numId="23">
    <w:abstractNumId w:val="2"/>
  </w:num>
  <w:num w:numId="24">
    <w:abstractNumId w:val="7"/>
  </w:num>
  <w:num w:numId="25">
    <w:abstractNumId w:val="0"/>
  </w:num>
  <w:num w:numId="26">
    <w:abstractNumId w:val="9"/>
  </w:num>
  <w:num w:numId="27">
    <w:abstractNumId w:val="24"/>
  </w:num>
  <w:num w:numId="28">
    <w:abstractNumId w:val="15"/>
  </w:num>
  <w:num w:numId="29">
    <w:abstractNumId w:val="10"/>
  </w:num>
  <w:num w:numId="30">
    <w:abstractNumId w:val="32"/>
  </w:num>
  <w:num w:numId="31">
    <w:abstractNumId w:val="23"/>
  </w:num>
  <w:num w:numId="32">
    <w:abstractNumId w:val="19"/>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0YjM1ZjExMjU0ZGI3NjE4MTVkMjU2N2RmMmY3MGIifQ=="/>
  </w:docVars>
  <w:rsids>
    <w:rsidRoot w:val="00400AAD"/>
    <w:rsid w:val="0005031A"/>
    <w:rsid w:val="00067DB6"/>
    <w:rsid w:val="000E3F60"/>
    <w:rsid w:val="001562FE"/>
    <w:rsid w:val="001A7FC8"/>
    <w:rsid w:val="001D13A7"/>
    <w:rsid w:val="00307205"/>
    <w:rsid w:val="00375CCA"/>
    <w:rsid w:val="00393B81"/>
    <w:rsid w:val="00400AAD"/>
    <w:rsid w:val="00411410"/>
    <w:rsid w:val="00413733"/>
    <w:rsid w:val="00454B13"/>
    <w:rsid w:val="004630CE"/>
    <w:rsid w:val="0049157A"/>
    <w:rsid w:val="00715AA7"/>
    <w:rsid w:val="007868E8"/>
    <w:rsid w:val="007C4896"/>
    <w:rsid w:val="00901487"/>
    <w:rsid w:val="00933C50"/>
    <w:rsid w:val="00B47FA7"/>
    <w:rsid w:val="00B65956"/>
    <w:rsid w:val="00BA2F0A"/>
    <w:rsid w:val="00CA5516"/>
    <w:rsid w:val="00CD6AA0"/>
    <w:rsid w:val="00D46A9E"/>
    <w:rsid w:val="00D56704"/>
    <w:rsid w:val="00DE1B29"/>
    <w:rsid w:val="00FB383D"/>
    <w:rsid w:val="7BD04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仿宋" w:hAnsi="仿宋" w:eastAsia="仿宋" w:cs="仿宋"/>
      <w:sz w:val="22"/>
      <w:szCs w:val="22"/>
      <w:lang w:val="en-US" w:eastAsia="en-US" w:bidi="ar-SA"/>
    </w:rPr>
  </w:style>
  <w:style w:type="paragraph" w:styleId="2">
    <w:name w:val="heading 1"/>
    <w:basedOn w:val="1"/>
    <w:next w:val="1"/>
    <w:qFormat/>
    <w:uiPriority w:val="9"/>
    <w:pPr>
      <w:spacing w:before="37"/>
      <w:ind w:left="576"/>
      <w:outlineLvl w:val="0"/>
    </w:pPr>
    <w:rPr>
      <w:rFonts w:ascii="宋体" w:hAnsi="宋体" w:eastAsia="宋体" w:cs="宋体"/>
      <w:b/>
      <w:bCs/>
      <w:sz w:val="44"/>
      <w:szCs w:val="44"/>
    </w:rPr>
  </w:style>
  <w:style w:type="paragraph" w:styleId="3">
    <w:name w:val="heading 2"/>
    <w:basedOn w:val="1"/>
    <w:next w:val="1"/>
    <w:unhideWhenUsed/>
    <w:qFormat/>
    <w:uiPriority w:val="9"/>
    <w:pPr>
      <w:spacing w:before="55"/>
      <w:ind w:left="800"/>
      <w:outlineLvl w:val="1"/>
    </w:pPr>
    <w:rPr>
      <w:sz w:val="28"/>
      <w:szCs w:val="28"/>
    </w:rPr>
  </w:style>
  <w:style w:type="paragraph" w:styleId="4">
    <w:name w:val="heading 3"/>
    <w:basedOn w:val="1"/>
    <w:next w:val="1"/>
    <w:unhideWhenUsed/>
    <w:qFormat/>
    <w:uiPriority w:val="9"/>
    <w:pPr>
      <w:ind w:left="936"/>
      <w:jc w:val="center"/>
      <w:outlineLvl w:val="2"/>
    </w:pPr>
    <w:rPr>
      <w:b/>
      <w:bCs/>
      <w:sz w:val="24"/>
      <w:szCs w:val="2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1"/>
    <w:pPr>
      <w:ind w:left="800"/>
    </w:pPr>
    <w:rPr>
      <w:sz w:val="24"/>
      <w:szCs w:val="24"/>
    </w:rPr>
  </w:style>
  <w:style w:type="paragraph" w:styleId="6">
    <w:name w:val="footer"/>
    <w:basedOn w:val="1"/>
    <w:link w:val="14"/>
    <w:unhideWhenUsed/>
    <w:qFormat/>
    <w:uiPriority w:val="99"/>
    <w:pPr>
      <w:tabs>
        <w:tab w:val="center" w:pos="4153"/>
        <w:tab w:val="right" w:pos="8306"/>
      </w:tabs>
      <w:snapToGrid w:val="0"/>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spacing w:before="1"/>
      <w:ind w:left="800" w:firstLine="480"/>
    </w:pPr>
  </w:style>
  <w:style w:type="paragraph" w:customStyle="1" w:styleId="12">
    <w:name w:val="Table Paragraph"/>
    <w:basedOn w:val="1"/>
    <w:qFormat/>
    <w:uiPriority w:val="1"/>
  </w:style>
  <w:style w:type="character" w:customStyle="1" w:styleId="13">
    <w:name w:val="页眉 字符"/>
    <w:basedOn w:val="9"/>
    <w:link w:val="7"/>
    <w:qFormat/>
    <w:uiPriority w:val="99"/>
    <w:rPr>
      <w:rFonts w:ascii="仿宋" w:hAnsi="仿宋" w:eastAsia="仿宋" w:cs="仿宋"/>
      <w:sz w:val="18"/>
      <w:szCs w:val="18"/>
    </w:rPr>
  </w:style>
  <w:style w:type="character" w:customStyle="1" w:styleId="14">
    <w:name w:val="页脚 字符"/>
    <w:basedOn w:val="9"/>
    <w:link w:val="6"/>
    <w:uiPriority w:val="99"/>
    <w:rPr>
      <w:rFonts w:ascii="仿宋" w:hAnsi="仿宋" w:eastAsia="仿宋" w:cs="仿宋"/>
      <w:sz w:val="18"/>
      <w:szCs w:val="18"/>
    </w:rPr>
  </w:style>
  <w:style w:type="paragraph" w:customStyle="1" w:styleId="15">
    <w:name w:val="Revision"/>
    <w:hidden/>
    <w:semiHidden/>
    <w:uiPriority w:val="99"/>
    <w:pPr>
      <w:widowControl/>
      <w:autoSpaceDE/>
      <w:autoSpaceDN/>
    </w:pPr>
    <w:rPr>
      <w:rFonts w:ascii="仿宋" w:hAnsi="仿宋" w:eastAsia="仿宋" w:cs="仿宋"/>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2218</Words>
  <Characters>12647</Characters>
  <Lines>105</Lines>
  <Paragraphs>29</Paragraphs>
  <TotalTime>466</TotalTime>
  <ScaleCrop>false</ScaleCrop>
  <LinksUpToDate>false</LinksUpToDate>
  <CharactersWithSpaces>14836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2022-08-18T15:39:00Z</dcterms:created>
  <dc:creator>丛锐</dc:creator>
  <cp:lastModifiedBy>WPS_1546395547</cp:lastModifiedBy>
  <dcterms:modified xsi:type="dcterms:W3CDTF">2023-02-07T01:39:02Z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2022-08-16T00:00:00Z</vt:filetime>
  </property>
  <property fmtid="{D5CDD505-2E9C-101B-9397-08002B2CF9AE}" pid="3" name="Creator">
    <vt:lpwstr>WPS 文字</vt:lpwstr>
  </property>
  <property fmtid="{D5CDD505-2E9C-101B-9397-08002B2CF9AE}" pid="4" name="LastSaved">
    <vt:filetime>2022-08-18T00:00:00Z</vt:filetime>
  </property>
  <property fmtid="{D5CDD505-2E9C-101B-9397-08002B2CF9AE}" pid="5" name="KSOProductBuildVer">
    <vt:lpwstr>2052-11.1.0.13703</vt:lpwstr>
  </property>
  <property fmtid="{D5CDD505-2E9C-101B-9397-08002B2CF9AE}" pid="6" name="ICV">
    <vt:lpwstr>7B4DDC7F0C394E60B08D623A770E5717</vt:lpwstr>
  </property>
</Properties>
</file>