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2022-2023季度运维服务报告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bookmarkStart w:id="19" w:name="_GoBack"/>
          <w:bookmarkEnd w:id="19"/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_Toc19655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_Toc19655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_Toc23609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_Toc23609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_Toc28642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_Toc28642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_Toc25691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_Toc25691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_Toc10623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_Toc10623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_Toc3101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季度巡检服务报告</w:t>
          </w:r>
          <w:r>
            <w:tab/>
          </w:r>
          <w:r>
            <w:fldChar w:fldCharType="begin"/>
          </w:r>
          <w:r>
            <w:instrText xml:space="preserve"> PAGEREF _Toc3101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_Toc2501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2.1.1 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报告一</w:t>
          </w:r>
          <w:r>
            <w:tab/>
          </w:r>
          <w:r>
            <w:fldChar w:fldCharType="begin"/>
          </w:r>
          <w:r>
            <w:instrText xml:space="preserve"> PAGEREF _Toc2501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_Toc26358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2.1.2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报告二</w:t>
          </w:r>
          <w:r>
            <w:tab/>
          </w:r>
          <w:r>
            <w:fldChar w:fldCharType="begin"/>
          </w:r>
          <w:r>
            <w:instrText xml:space="preserve"> PAGEREF _Toc26358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_Toc14550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2.1.3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报告三</w:t>
          </w:r>
          <w:r>
            <w:tab/>
          </w:r>
          <w:r>
            <w:fldChar w:fldCharType="begin"/>
          </w:r>
          <w:r>
            <w:instrText xml:space="preserve"> PAGEREF _Toc14550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_Toc784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_Toc784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19655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3609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28642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5691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10623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3"/>
        <w:spacing w:before="312" w:after="156"/>
        <w:rPr>
          <w:rFonts w:ascii="Calibri" w:hAnsi="Calibri"/>
        </w:rPr>
      </w:pPr>
      <w:bookmarkStart w:id="12" w:name="_Toc3101"/>
      <w:r>
        <w:rPr>
          <w:rFonts w:hint="eastAsia" w:ascii="宋体" w:hAnsi="宋体" w:eastAsia="宋体" w:cs="宋体"/>
          <w:lang w:val="en-US" w:eastAsia="zh-CN"/>
        </w:rPr>
        <w:t>季度巡检服务报告</w:t>
      </w:r>
      <w:bookmarkEnd w:id="12"/>
    </w:p>
    <w:p>
      <w:pPr>
        <w:pStyle w:val="4"/>
        <w:tabs>
          <w:tab w:val="left" w:pos="1404"/>
          <w:tab w:val="clear" w:pos="1134"/>
        </w:tabs>
        <w:spacing w:before="156"/>
        <w:rPr>
          <w:rFonts w:hint="eastAsia" w:ascii="宋体" w:hAnsi="宋体" w:eastAsia="宋体" w:cs="宋体"/>
        </w:rPr>
      </w:pPr>
      <w:bookmarkStart w:id="13" w:name="_Toc2501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报告一</w:t>
      </w:r>
      <w:bookmarkEnd w:id="13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4" w:name="_Toc26358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报告二</w:t>
      </w:r>
      <w:bookmarkEnd w:id="14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</w:rPr>
      </w:pPr>
      <w:bookmarkStart w:id="15" w:name="_Toc26619"/>
      <w:bookmarkStart w:id="16" w:name="_Toc65482111"/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7" w:name="_Toc14550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报告三</w:t>
      </w:r>
      <w:bookmarkEnd w:id="17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罗泽宇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ind w:left="0" w:leftChars="0" w:firstLine="0" w:firstLineChars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8" w:name="_Toc784"/>
      <w:r>
        <w:rPr>
          <w:rFonts w:hint="eastAsia" w:ascii="宋体" w:hAnsi="宋体" w:eastAsia="宋体" w:cs="宋体"/>
        </w:rPr>
        <w:t>系统维护问题</w:t>
      </w:r>
      <w:bookmarkEnd w:id="15"/>
      <w:bookmarkEnd w:id="16"/>
      <w:bookmarkEnd w:id="18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6"/>
        <w:gridCol w:w="662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80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2023-6-16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运维系统无法打开。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用户服务器断电，服务器重启，协助启动应用。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监控系统数据采集经常会出现JVM内存过高情况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15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反馈交换机停电恢复后系统长时间连接不上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后续做停电或断网演练时需要同步跟踪这个问题</w:t>
            </w: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）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未复现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后续有演练活动要配合吧数据库备份恢复测试做完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待解决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2023.06.27  </w:t>
      </w: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0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7214F1"/>
    <w:rsid w:val="04062116"/>
    <w:rsid w:val="043D09D3"/>
    <w:rsid w:val="04E20990"/>
    <w:rsid w:val="05CB1926"/>
    <w:rsid w:val="065962B8"/>
    <w:rsid w:val="07481817"/>
    <w:rsid w:val="088146AB"/>
    <w:rsid w:val="0A7A3AD9"/>
    <w:rsid w:val="0A855AC0"/>
    <w:rsid w:val="0B454DDB"/>
    <w:rsid w:val="0B5E5DFE"/>
    <w:rsid w:val="0C470552"/>
    <w:rsid w:val="0E2C21E4"/>
    <w:rsid w:val="0E3B0F0B"/>
    <w:rsid w:val="0EC532D1"/>
    <w:rsid w:val="100C4ADB"/>
    <w:rsid w:val="10BD503B"/>
    <w:rsid w:val="11B00454"/>
    <w:rsid w:val="11CF52A4"/>
    <w:rsid w:val="14CE4728"/>
    <w:rsid w:val="16077093"/>
    <w:rsid w:val="170507F5"/>
    <w:rsid w:val="17457E73"/>
    <w:rsid w:val="178336D5"/>
    <w:rsid w:val="18C25BD4"/>
    <w:rsid w:val="19991C8A"/>
    <w:rsid w:val="1B660DB9"/>
    <w:rsid w:val="1D32401C"/>
    <w:rsid w:val="1D4961E3"/>
    <w:rsid w:val="20095F3B"/>
    <w:rsid w:val="20DF0528"/>
    <w:rsid w:val="20E4768B"/>
    <w:rsid w:val="215A276C"/>
    <w:rsid w:val="25002B6D"/>
    <w:rsid w:val="254862F0"/>
    <w:rsid w:val="26E815CA"/>
    <w:rsid w:val="27556BF6"/>
    <w:rsid w:val="27794FC7"/>
    <w:rsid w:val="282E04AF"/>
    <w:rsid w:val="2A502F65"/>
    <w:rsid w:val="2A6057C8"/>
    <w:rsid w:val="2B955295"/>
    <w:rsid w:val="2BF67781"/>
    <w:rsid w:val="2D2A2720"/>
    <w:rsid w:val="2EF90AB2"/>
    <w:rsid w:val="2F2B399A"/>
    <w:rsid w:val="2FD51C44"/>
    <w:rsid w:val="30A107B4"/>
    <w:rsid w:val="31E211D9"/>
    <w:rsid w:val="335D7E9A"/>
    <w:rsid w:val="335E5DC3"/>
    <w:rsid w:val="342C4C62"/>
    <w:rsid w:val="35B53F6F"/>
    <w:rsid w:val="37B876E9"/>
    <w:rsid w:val="39930626"/>
    <w:rsid w:val="3BF840E7"/>
    <w:rsid w:val="3C61492A"/>
    <w:rsid w:val="3C793F97"/>
    <w:rsid w:val="3D931088"/>
    <w:rsid w:val="3DB525A9"/>
    <w:rsid w:val="3DB71BB6"/>
    <w:rsid w:val="3E6D3687"/>
    <w:rsid w:val="3ED410FE"/>
    <w:rsid w:val="3F240247"/>
    <w:rsid w:val="41C51901"/>
    <w:rsid w:val="42892FDB"/>
    <w:rsid w:val="43886D49"/>
    <w:rsid w:val="43D91FB7"/>
    <w:rsid w:val="44083C21"/>
    <w:rsid w:val="47807AEE"/>
    <w:rsid w:val="47913CF2"/>
    <w:rsid w:val="48C40C4F"/>
    <w:rsid w:val="4A4F4FEB"/>
    <w:rsid w:val="4A736D2C"/>
    <w:rsid w:val="4A8C30E7"/>
    <w:rsid w:val="4AA27F40"/>
    <w:rsid w:val="4ABE5ABC"/>
    <w:rsid w:val="4B9A7A86"/>
    <w:rsid w:val="4BEF6134"/>
    <w:rsid w:val="4C6728D8"/>
    <w:rsid w:val="4CFC648F"/>
    <w:rsid w:val="4D573629"/>
    <w:rsid w:val="50585DB8"/>
    <w:rsid w:val="52214A5D"/>
    <w:rsid w:val="52EB7C49"/>
    <w:rsid w:val="54C65EB4"/>
    <w:rsid w:val="54F24CAD"/>
    <w:rsid w:val="55017533"/>
    <w:rsid w:val="56272130"/>
    <w:rsid w:val="5675346C"/>
    <w:rsid w:val="579D200F"/>
    <w:rsid w:val="57AA72A2"/>
    <w:rsid w:val="59B97AAA"/>
    <w:rsid w:val="59CB4B34"/>
    <w:rsid w:val="5A3572F7"/>
    <w:rsid w:val="5A53350F"/>
    <w:rsid w:val="5B0033BF"/>
    <w:rsid w:val="5B4E6A57"/>
    <w:rsid w:val="5C074CC3"/>
    <w:rsid w:val="5D7675B9"/>
    <w:rsid w:val="5DDC5358"/>
    <w:rsid w:val="5F9F3A27"/>
    <w:rsid w:val="5FE936F7"/>
    <w:rsid w:val="6041420B"/>
    <w:rsid w:val="611840E5"/>
    <w:rsid w:val="636430A4"/>
    <w:rsid w:val="645D7FB0"/>
    <w:rsid w:val="65257FCF"/>
    <w:rsid w:val="68E04A63"/>
    <w:rsid w:val="68F61F9D"/>
    <w:rsid w:val="6BA37E39"/>
    <w:rsid w:val="6BB93CE6"/>
    <w:rsid w:val="6C1F71C0"/>
    <w:rsid w:val="6C7A5163"/>
    <w:rsid w:val="705F1010"/>
    <w:rsid w:val="7245411A"/>
    <w:rsid w:val="736F1D9C"/>
    <w:rsid w:val="74284B39"/>
    <w:rsid w:val="75641024"/>
    <w:rsid w:val="766C30AB"/>
    <w:rsid w:val="77982A7B"/>
    <w:rsid w:val="7A1545F8"/>
    <w:rsid w:val="7C08424A"/>
    <w:rsid w:val="7CDF433C"/>
    <w:rsid w:val="7CE7227B"/>
    <w:rsid w:val="7DF07F6A"/>
    <w:rsid w:val="7DF508A1"/>
    <w:rsid w:val="7DF91659"/>
    <w:rsid w:val="7F1A1A8E"/>
    <w:rsid w:val="7F671ECA"/>
    <w:rsid w:val="7F945FBF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9</Pages>
  <Words>2652</Words>
  <Characters>2981</Characters>
  <Lines>58</Lines>
  <Paragraphs>16</Paragraphs>
  <TotalTime>0</TotalTime>
  <ScaleCrop>false</ScaleCrop>
  <LinksUpToDate>false</LinksUpToDate>
  <CharactersWithSpaces>3138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2023-10-12T00:37:58Z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B3F62054D0484D4EBAE3E5315BFFB7BC</vt:lpwstr>
  </property>
</Properties>
</file>