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rFonts w:ascii="宋体"/>
          <w:b/>
          <w:sz w:val="36"/>
          <w:szCs w:val="36"/>
        </w:rPr>
      </w:pPr>
    </w:p>
    <w:p>
      <w:pPr>
        <w:widowControl/>
        <w:spacing w:line="240" w:lineRule="atLeast"/>
        <w:jc w:val="center"/>
        <w:rPr>
          <w:rFonts w:ascii="宋体"/>
          <w:b/>
          <w:sz w:val="36"/>
          <w:szCs w:val="36"/>
        </w:rPr>
      </w:pPr>
    </w:p>
    <w:p>
      <w:pPr>
        <w:spacing w:line="360" w:lineRule="auto"/>
        <w:jc w:val="center"/>
        <w:rPr>
          <w:rFonts w:ascii="宋体" w:hAnsi="宋体"/>
          <w:sz w:val="44"/>
          <w:szCs w:val="44"/>
        </w:rPr>
      </w:pPr>
      <w:bookmarkStart w:id="0" w:name="OLE_LINK2"/>
      <w:bookmarkStart w:id="1" w:name="OLE_LINK1"/>
      <w:r>
        <w:rPr>
          <w:rFonts w:hint="eastAsia" w:ascii="宋体" w:hAnsi="宋体"/>
          <w:sz w:val="44"/>
          <w:szCs w:val="44"/>
        </w:rPr>
        <w:t>凯美瑞德（苏州）信息科技股份有限公司</w:t>
      </w:r>
    </w:p>
    <w:p>
      <w:pPr>
        <w:spacing w:line="360" w:lineRule="auto"/>
        <w:jc w:val="center"/>
        <w:rPr>
          <w:rFonts w:ascii="宋体" w:hAnsi="宋体"/>
          <w:sz w:val="44"/>
          <w:szCs w:val="44"/>
        </w:rPr>
      </w:pPr>
      <w:r>
        <w:rPr>
          <w:rFonts w:hint="eastAsia" w:ascii="宋体" w:hAnsi="宋体"/>
          <w:sz w:val="44"/>
          <w:szCs w:val="44"/>
        </w:rPr>
        <w:t>技术合作服务协议</w:t>
      </w:r>
    </w:p>
    <w:p>
      <w:pPr>
        <w:pStyle w:val="33"/>
        <w:jc w:val="center"/>
        <w:rPr>
          <w:rFonts w:ascii="方正小标宋_GBK" w:hAnsi="华文仿宋" w:eastAsia="方正小标宋_GBK"/>
          <w:b/>
          <w:sz w:val="44"/>
          <w:szCs w:val="44"/>
          <w:highlight w:val="red"/>
        </w:rPr>
      </w:pPr>
    </w:p>
    <w:p>
      <w:pPr>
        <w:pStyle w:val="33"/>
        <w:jc w:val="center"/>
        <w:rPr>
          <w:rFonts w:ascii="方正小标宋_GBK" w:hAnsi="华文仿宋" w:eastAsia="方正小标宋_GBK"/>
          <w:b/>
          <w:sz w:val="44"/>
          <w:szCs w:val="44"/>
          <w:highlight w:val="red"/>
        </w:rPr>
      </w:pP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 w:val="32"/>
          <w:szCs w:val="32"/>
        </w:rPr>
      </w:pPr>
      <w:r>
        <w:rPr>
          <w:rFonts w:hint="eastAsia" w:ascii="宋体" w:hAnsi="宋体" w:cs="宋体"/>
          <w:kern w:val="0"/>
          <w:sz w:val="32"/>
          <w:szCs w:val="32"/>
        </w:rPr>
        <w:t>【 协议编号：                      】</w:t>
      </w:r>
    </w:p>
    <w:p>
      <w:pPr>
        <w:pStyle w:val="33"/>
        <w:jc w:val="center"/>
        <w:rPr>
          <w:rFonts w:ascii="微软雅黑" w:hAnsi="微软雅黑" w:eastAsia="微软雅黑"/>
          <w:sz w:val="42"/>
          <w:szCs w:val="42"/>
        </w:rPr>
      </w:pPr>
      <w:bookmarkStart w:id="20" w:name="_GoBack"/>
      <w:bookmarkEnd w:id="20"/>
    </w:p>
    <w:p>
      <w:pPr>
        <w:pStyle w:val="33"/>
        <w:jc w:val="center"/>
        <w:rPr>
          <w:rFonts w:ascii="微软雅黑" w:hAnsi="微软雅黑" w:eastAsia="微软雅黑"/>
          <w:sz w:val="42"/>
          <w:szCs w:val="42"/>
        </w:rPr>
      </w:pPr>
    </w:p>
    <w:p>
      <w:pPr>
        <w:pStyle w:val="33"/>
        <w:jc w:val="center"/>
        <w:rPr>
          <w:rFonts w:ascii="微软雅黑" w:hAnsi="微软雅黑" w:eastAsia="微软雅黑"/>
          <w:sz w:val="42"/>
          <w:szCs w:val="42"/>
        </w:rPr>
      </w:pPr>
    </w:p>
    <w:p>
      <w:pPr>
        <w:pStyle w:val="33"/>
        <w:jc w:val="center"/>
        <w:rPr>
          <w:rFonts w:ascii="微软雅黑" w:hAnsi="微软雅黑" w:eastAsia="微软雅黑"/>
          <w:sz w:val="42"/>
          <w:szCs w:val="42"/>
        </w:rPr>
      </w:pPr>
    </w:p>
    <w:p>
      <w:pPr>
        <w:widowControl/>
        <w:spacing w:line="360" w:lineRule="auto"/>
        <w:jc w:val="left"/>
        <w:rPr>
          <w:rFonts w:ascii="宋体" w:hAnsi="宋体"/>
          <w:b/>
          <w:sz w:val="30"/>
          <w:szCs w:val="30"/>
        </w:rPr>
      </w:pPr>
    </w:p>
    <w:p>
      <w:pPr>
        <w:widowControl/>
        <w:spacing w:line="360" w:lineRule="auto"/>
        <w:jc w:val="left"/>
        <w:rPr>
          <w:rFonts w:ascii="宋体" w:hAnsi="宋体" w:cs="宋体"/>
          <w:b/>
          <w:kern w:val="0"/>
          <w:sz w:val="30"/>
          <w:szCs w:val="30"/>
        </w:rPr>
      </w:pPr>
      <w:r>
        <w:rPr>
          <w:rFonts w:hint="eastAsia" w:ascii="宋体" w:hAnsi="宋体" w:cs="宋体"/>
          <w:b/>
          <w:kern w:val="0"/>
          <w:sz w:val="30"/>
          <w:szCs w:val="30"/>
        </w:rPr>
        <w:t>甲    方：凯美瑞德（苏州）信息科技股份有限公司</w:t>
      </w:r>
    </w:p>
    <w:p>
      <w:pPr>
        <w:widowControl/>
        <w:spacing w:line="360" w:lineRule="auto"/>
        <w:jc w:val="left"/>
        <w:rPr>
          <w:rFonts w:ascii="宋体" w:hAnsi="宋体" w:cs="宋体"/>
          <w:b/>
          <w:kern w:val="0"/>
          <w:sz w:val="30"/>
          <w:szCs w:val="30"/>
        </w:rPr>
      </w:pPr>
      <w:r>
        <w:rPr>
          <w:rFonts w:hint="eastAsia" w:ascii="宋体" w:hAnsi="宋体" w:cs="宋体"/>
          <w:b/>
          <w:kern w:val="0"/>
          <w:sz w:val="30"/>
          <w:szCs w:val="30"/>
        </w:rPr>
        <w:t>乙    方：</w:t>
      </w:r>
      <w:r>
        <w:rPr>
          <w:rFonts w:ascii="宋体" w:hAnsi="宋体" w:cs="宋体"/>
          <w:b/>
          <w:kern w:val="0"/>
          <w:sz w:val="30"/>
          <w:szCs w:val="30"/>
        </w:rPr>
        <w:t xml:space="preserve"> </w:t>
      </w:r>
    </w:p>
    <w:p>
      <w:pPr>
        <w:widowControl/>
        <w:spacing w:line="360" w:lineRule="auto"/>
        <w:jc w:val="left"/>
        <w:rPr>
          <w:rFonts w:ascii="宋体" w:hAnsi="宋体" w:cs="宋体"/>
          <w:b/>
          <w:sz w:val="30"/>
          <w:szCs w:val="30"/>
        </w:rPr>
      </w:pPr>
    </w:p>
    <w:p>
      <w:pPr>
        <w:widowControl/>
        <w:spacing w:line="360" w:lineRule="auto"/>
        <w:jc w:val="left"/>
        <w:rPr>
          <w:rFonts w:ascii="宋体" w:hAnsi="宋体" w:cs="宋体"/>
          <w:b/>
          <w:sz w:val="30"/>
          <w:szCs w:val="30"/>
        </w:rPr>
      </w:pPr>
      <w:bookmarkEnd w:id="0"/>
      <w:bookmarkEnd w:id="1"/>
    </w:p>
    <w:p>
      <w:pPr>
        <w:snapToGrid w:val="0"/>
        <w:spacing w:line="360" w:lineRule="auto"/>
        <w:rPr>
          <w:rFonts w:ascii="宋体" w:hAnsi="宋体"/>
          <w:sz w:val="24"/>
          <w:szCs w:val="20"/>
        </w:rPr>
      </w:pPr>
    </w:p>
    <w:p>
      <w:pPr>
        <w:snapToGrid w:val="0"/>
        <w:spacing w:line="360" w:lineRule="auto"/>
        <w:rPr>
          <w:rFonts w:ascii="宋体" w:hAnsi="宋体"/>
          <w:sz w:val="24"/>
          <w:szCs w:val="20"/>
        </w:rPr>
      </w:pPr>
    </w:p>
    <w:p>
      <w:pPr>
        <w:snapToGrid w:val="0"/>
        <w:spacing w:line="360" w:lineRule="auto"/>
        <w:ind w:firstLine="600" w:firstLineChars="250"/>
        <w:rPr>
          <w:rFonts w:ascii="宋体" w:hAnsi="宋体"/>
          <w:sz w:val="24"/>
          <w:szCs w:val="20"/>
          <w:u w:val="single"/>
        </w:rPr>
      </w:pPr>
      <w:r>
        <w:rPr>
          <w:rFonts w:hint="eastAsia" w:ascii="宋体" w:hAnsi="宋体"/>
          <w:sz w:val="24"/>
          <w:szCs w:val="20"/>
        </w:rPr>
        <w:t>根据《中华人民共和国</w:t>
      </w:r>
      <w:r>
        <w:rPr>
          <w:rFonts w:hint="eastAsia" w:ascii="宋体" w:hAnsi="宋体"/>
          <w:sz w:val="24"/>
          <w:szCs w:val="20"/>
          <w:lang w:val="en-US" w:eastAsia="zh-CN"/>
        </w:rPr>
        <w:t>民法典</w:t>
      </w:r>
      <w:r>
        <w:rPr>
          <w:rFonts w:hint="eastAsia" w:ascii="宋体" w:hAnsi="宋体"/>
          <w:sz w:val="24"/>
          <w:szCs w:val="20"/>
        </w:rPr>
        <w:t>》，经甲乙双方协商，就乙方向甲方提供技术服务事宜达成一致，签订本协议。</w:t>
      </w:r>
    </w:p>
    <w:p>
      <w:pPr>
        <w:widowControl/>
        <w:numPr>
          <w:ilvl w:val="0"/>
          <w:numId w:val="1"/>
        </w:numPr>
        <w:spacing w:line="360" w:lineRule="auto"/>
        <w:jc w:val="left"/>
        <w:rPr>
          <w:rFonts w:ascii="宋体" w:hAnsi="宋体" w:cs="宋体"/>
          <w:b/>
          <w:sz w:val="24"/>
        </w:rPr>
      </w:pPr>
      <w:r>
        <w:rPr>
          <w:rFonts w:hint="eastAsia" w:hAnsi="宋体" w:cs="宋体"/>
          <w:b/>
          <w:sz w:val="24"/>
        </w:rPr>
        <w:t>定义</w:t>
      </w:r>
    </w:p>
    <w:p>
      <w:pPr>
        <w:widowControl/>
        <w:numPr>
          <w:ilvl w:val="0"/>
          <w:numId w:val="2"/>
        </w:numPr>
        <w:spacing w:line="360" w:lineRule="auto"/>
        <w:ind w:left="2" w:firstLine="567"/>
        <w:jc w:val="left"/>
        <w:rPr>
          <w:rFonts w:ascii="宋体" w:hAnsi="宋体" w:cs="宋体"/>
          <w:kern w:val="0"/>
          <w:sz w:val="24"/>
        </w:rPr>
        <w:sectPr>
          <w:pgSz w:w="11906" w:h="16838"/>
          <w:pgMar w:top="1440" w:right="1797" w:bottom="1440" w:left="1797" w:header="851" w:footer="992" w:gutter="0"/>
          <w:pgNumType w:fmt="decimal" w:start="1"/>
          <w:cols w:space="720" w:num="1"/>
          <w:titlePg/>
          <w:docGrid w:linePitch="312" w:charSpace="0"/>
        </w:sectPr>
      </w:pPr>
    </w:p>
    <w:p>
      <w:pPr>
        <w:widowControl/>
        <w:numPr>
          <w:ilvl w:val="0"/>
          <w:numId w:val="2"/>
        </w:numPr>
        <w:spacing w:line="360" w:lineRule="auto"/>
        <w:ind w:left="2" w:firstLine="567"/>
        <w:jc w:val="left"/>
        <w:rPr>
          <w:rFonts w:ascii="宋体" w:hAnsi="宋体" w:cs="宋体"/>
          <w:kern w:val="0"/>
          <w:sz w:val="24"/>
        </w:rPr>
      </w:pPr>
      <w:r>
        <w:rPr>
          <w:rFonts w:hint="eastAsia" w:ascii="宋体" w:hAnsi="宋体" w:cs="宋体"/>
          <w:kern w:val="0"/>
          <w:sz w:val="24"/>
        </w:rPr>
        <w:t>派驻人员：由乙方提供、经甲方考核录用、处于为甲方提供技术服务期间的工作人员。</w:t>
      </w:r>
    </w:p>
    <w:p>
      <w:pPr>
        <w:widowControl/>
        <w:numPr>
          <w:ilvl w:val="0"/>
          <w:numId w:val="2"/>
        </w:numPr>
        <w:spacing w:line="360" w:lineRule="auto"/>
        <w:ind w:left="2" w:firstLine="567"/>
        <w:jc w:val="left"/>
        <w:rPr>
          <w:rFonts w:ascii="宋体" w:hAnsi="宋体" w:cs="宋体"/>
          <w:kern w:val="0"/>
          <w:sz w:val="24"/>
        </w:rPr>
      </w:pPr>
      <w:r>
        <w:rPr>
          <w:rFonts w:hint="eastAsia" w:ascii="宋体" w:hAnsi="宋体" w:cs="宋体"/>
          <w:kern w:val="0"/>
          <w:sz w:val="24"/>
        </w:rPr>
        <w:t>人月单价：乙方派驻人员在甲方项目工作期间，经</w:t>
      </w:r>
      <w:r>
        <w:rPr>
          <w:rFonts w:ascii="宋体" w:hAnsi="宋体" w:cs="宋体"/>
          <w:kern w:val="0"/>
          <w:sz w:val="24"/>
        </w:rPr>
        <w:t>甲方</w:t>
      </w:r>
      <w:r>
        <w:rPr>
          <w:rFonts w:hint="eastAsia" w:ascii="宋体" w:hAnsi="宋体" w:cs="宋体"/>
          <w:kern w:val="0"/>
          <w:sz w:val="24"/>
        </w:rPr>
        <w:t>书面</w:t>
      </w:r>
      <w:r>
        <w:rPr>
          <w:rFonts w:ascii="宋体" w:hAnsi="宋体" w:cs="宋体"/>
          <w:kern w:val="0"/>
          <w:sz w:val="24"/>
        </w:rPr>
        <w:t>确认</w:t>
      </w:r>
      <w:r>
        <w:rPr>
          <w:rFonts w:hint="eastAsia" w:ascii="宋体" w:hAnsi="宋体" w:cs="宋体"/>
          <w:kern w:val="0"/>
          <w:sz w:val="24"/>
        </w:rPr>
        <w:t>乙方人员当月全勤的情况下，甲方提供给乙方的人员的月度单价费用。</w:t>
      </w:r>
    </w:p>
    <w:p>
      <w:pPr>
        <w:widowControl/>
        <w:numPr>
          <w:ilvl w:val="0"/>
          <w:numId w:val="2"/>
        </w:numPr>
        <w:spacing w:line="360" w:lineRule="auto"/>
        <w:ind w:left="2" w:firstLine="567"/>
        <w:jc w:val="left"/>
        <w:rPr>
          <w:rFonts w:ascii="宋体" w:hAnsi="宋体" w:cs="宋体"/>
          <w:kern w:val="0"/>
          <w:sz w:val="24"/>
        </w:rPr>
      </w:pPr>
      <w:r>
        <w:rPr>
          <w:rFonts w:hint="eastAsia" w:ascii="宋体" w:hAnsi="宋体" w:cs="宋体"/>
          <w:kern w:val="0"/>
          <w:sz w:val="24"/>
        </w:rPr>
        <w:t>出差地：乙方派驻人员按甲方要求，到工作城市以外的其它地区完成工作任务的城市。</w:t>
      </w:r>
    </w:p>
    <w:p>
      <w:pPr>
        <w:widowControl/>
        <w:numPr>
          <w:ilvl w:val="0"/>
          <w:numId w:val="2"/>
        </w:numPr>
        <w:spacing w:line="360" w:lineRule="auto"/>
        <w:ind w:left="2" w:firstLine="567"/>
        <w:jc w:val="left"/>
        <w:rPr>
          <w:rFonts w:ascii="宋体" w:hAnsi="宋体" w:cs="宋体"/>
          <w:kern w:val="0"/>
          <w:sz w:val="24"/>
        </w:rPr>
      </w:pPr>
      <w:r>
        <w:rPr>
          <w:rFonts w:ascii="宋体" w:hAnsi="宋体" w:cs="宋体"/>
          <w:kern w:val="0"/>
          <w:sz w:val="24"/>
        </w:rPr>
        <w:t>加班</w:t>
      </w:r>
      <w:r>
        <w:rPr>
          <w:rFonts w:hint="eastAsia" w:ascii="宋体" w:hAnsi="宋体" w:cs="宋体"/>
          <w:kern w:val="0"/>
          <w:sz w:val="24"/>
        </w:rPr>
        <w:t>：</w:t>
      </w:r>
      <w:r>
        <w:rPr>
          <w:rFonts w:hint="eastAsia" w:ascii="宋体" w:hAnsi="宋体"/>
          <w:sz w:val="24"/>
          <w:szCs w:val="20"/>
        </w:rPr>
        <w:t>乙方派驻人员由于工作需要必须在非工作日完成工作，并且得到甲方项目经理认可的称之为加班。</w:t>
      </w:r>
    </w:p>
    <w:p>
      <w:pPr>
        <w:widowControl/>
        <w:numPr>
          <w:ilvl w:val="0"/>
          <w:numId w:val="2"/>
        </w:numPr>
        <w:spacing w:line="360" w:lineRule="auto"/>
        <w:ind w:left="2" w:firstLine="567"/>
        <w:jc w:val="left"/>
        <w:rPr>
          <w:rFonts w:ascii="宋体" w:hAnsi="宋体" w:cs="宋体"/>
          <w:kern w:val="0"/>
          <w:sz w:val="24"/>
        </w:rPr>
      </w:pPr>
      <w:r>
        <w:rPr>
          <w:rFonts w:ascii="宋体" w:hAnsi="宋体" w:cs="宋体"/>
          <w:kern w:val="0"/>
          <w:sz w:val="24"/>
        </w:rPr>
        <w:t>月结算单价</w:t>
      </w:r>
      <w:r>
        <w:rPr>
          <w:rFonts w:hint="eastAsia" w:ascii="宋体" w:hAnsi="宋体" w:cs="宋体"/>
          <w:kern w:val="0"/>
          <w:sz w:val="24"/>
        </w:rPr>
        <w:t>：</w:t>
      </w:r>
      <w:r>
        <w:rPr>
          <w:rFonts w:ascii="宋体" w:hAnsi="宋体" w:cs="宋体"/>
          <w:kern w:val="0"/>
          <w:sz w:val="24"/>
        </w:rPr>
        <w:t>每月甲方按照乙方派驻人员的工作出勤天数</w:t>
      </w:r>
      <w:r>
        <w:rPr>
          <w:rFonts w:hint="eastAsia" w:ascii="宋体" w:hAnsi="宋体" w:cs="宋体"/>
          <w:kern w:val="0"/>
          <w:sz w:val="24"/>
        </w:rPr>
        <w:t>（以</w:t>
      </w:r>
      <w:r>
        <w:rPr>
          <w:rFonts w:ascii="宋体" w:hAnsi="宋体" w:cs="宋体"/>
          <w:kern w:val="0"/>
          <w:sz w:val="24"/>
        </w:rPr>
        <w:t>甲方书面确认为准</w:t>
      </w:r>
      <w:r>
        <w:rPr>
          <w:rFonts w:hint="eastAsia" w:ascii="宋体" w:hAnsi="宋体" w:cs="宋体"/>
          <w:kern w:val="0"/>
          <w:sz w:val="24"/>
        </w:rPr>
        <w:t>）</w:t>
      </w:r>
      <w:r>
        <w:rPr>
          <w:rFonts w:ascii="宋体" w:hAnsi="宋体" w:cs="宋体"/>
          <w:kern w:val="0"/>
          <w:sz w:val="24"/>
        </w:rPr>
        <w:t>计算每月乙方人员派驻价格</w:t>
      </w:r>
      <w:r>
        <w:rPr>
          <w:rFonts w:hint="eastAsia" w:ascii="宋体" w:hAnsi="宋体" w:cs="宋体"/>
          <w:kern w:val="0"/>
          <w:sz w:val="24"/>
        </w:rPr>
        <w:t>，</w:t>
      </w:r>
      <w:r>
        <w:rPr>
          <w:rFonts w:ascii="宋体" w:hAnsi="宋体" w:cs="宋体"/>
          <w:kern w:val="0"/>
          <w:sz w:val="24"/>
        </w:rPr>
        <w:t>即月结算单价</w:t>
      </w:r>
      <w:r>
        <w:rPr>
          <w:rFonts w:hint="eastAsia" w:ascii="宋体" w:hAnsi="宋体" w:cs="宋体"/>
          <w:kern w:val="0"/>
          <w:sz w:val="24"/>
        </w:rPr>
        <w:t>=人员单价*（1-月请假天数/月标准工作天数）。</w:t>
      </w:r>
    </w:p>
    <w:p>
      <w:pPr>
        <w:widowControl/>
        <w:numPr>
          <w:ilvl w:val="0"/>
          <w:numId w:val="1"/>
        </w:numPr>
        <w:spacing w:line="360" w:lineRule="auto"/>
        <w:jc w:val="left"/>
        <w:rPr>
          <w:rFonts w:hAnsi="宋体" w:cs="宋体"/>
          <w:b/>
          <w:sz w:val="24"/>
        </w:rPr>
      </w:pPr>
      <w:r>
        <w:rPr>
          <w:rFonts w:hint="eastAsia" w:hAnsi="宋体" w:cs="宋体"/>
          <w:b/>
          <w:sz w:val="24"/>
        </w:rPr>
        <w:t>派驻人员和价格</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hint="eastAsia" w:ascii="宋体" w:hAnsi="宋体" w:cs="宋体"/>
          <w:sz w:val="24"/>
        </w:rPr>
        <w:t>甲方有权根据乙方派驻人员的入职地、能力以及经验等，核定对各个派驻人员的人月单价，具体人月单价由补充协议加以确定；</w:t>
      </w:r>
    </w:p>
    <w:p>
      <w:pPr>
        <w:numPr>
          <w:ilvl w:val="0"/>
          <w:numId w:val="3"/>
        </w:numPr>
        <w:snapToGrid w:val="0"/>
        <w:spacing w:line="360" w:lineRule="auto"/>
        <w:ind w:left="2" w:firstLine="564" w:firstLineChars="235"/>
        <w:rPr>
          <w:rFonts w:ascii="宋体" w:hAnsi="宋体"/>
          <w:sz w:val="24"/>
          <w:szCs w:val="20"/>
        </w:rPr>
      </w:pPr>
      <w:r>
        <w:rPr>
          <w:rFonts w:ascii="宋体" w:hAnsi="宋体"/>
          <w:sz w:val="24"/>
          <w:szCs w:val="20"/>
        </w:rPr>
        <w:t>乙方派驻人员需自行</w:t>
      </w:r>
      <w:r>
        <w:rPr>
          <w:rFonts w:hint="eastAsia" w:ascii="宋体" w:hAnsi="宋体"/>
          <w:sz w:val="24"/>
          <w:szCs w:val="20"/>
        </w:rPr>
        <w:t>配备</w:t>
      </w:r>
      <w:r>
        <w:rPr>
          <w:rFonts w:ascii="宋体" w:hAnsi="宋体"/>
          <w:sz w:val="24"/>
          <w:szCs w:val="20"/>
        </w:rPr>
        <w:t>满足甲方工作要求配置的办公电脑</w:t>
      </w:r>
      <w:r>
        <w:rPr>
          <w:rFonts w:hint="eastAsia" w:ascii="宋体" w:hAnsi="宋体"/>
          <w:sz w:val="24"/>
          <w:szCs w:val="20"/>
        </w:rPr>
        <w:t>等</w:t>
      </w:r>
      <w:r>
        <w:rPr>
          <w:rFonts w:ascii="宋体" w:hAnsi="宋体"/>
          <w:sz w:val="24"/>
          <w:szCs w:val="20"/>
        </w:rPr>
        <w:t>办公设备和工具</w:t>
      </w:r>
      <w:r>
        <w:rPr>
          <w:rFonts w:hint="eastAsia" w:ascii="宋体" w:hAnsi="宋体"/>
          <w:sz w:val="24"/>
          <w:szCs w:val="20"/>
        </w:rPr>
        <w:t>；</w:t>
      </w:r>
      <w:r>
        <w:rPr>
          <w:rFonts w:ascii="宋体" w:hAnsi="宋体"/>
          <w:sz w:val="24"/>
          <w:szCs w:val="20"/>
        </w:rPr>
        <w:t xml:space="preserve"> </w:t>
      </w:r>
    </w:p>
    <w:p>
      <w:pPr>
        <w:numPr>
          <w:ilvl w:val="0"/>
          <w:numId w:val="3"/>
        </w:numPr>
        <w:snapToGrid w:val="0"/>
        <w:spacing w:line="360" w:lineRule="auto"/>
        <w:ind w:left="2" w:firstLine="564"/>
        <w:rPr>
          <w:rFonts w:ascii="宋体" w:hAnsi="宋体"/>
          <w:sz w:val="24"/>
          <w:szCs w:val="20"/>
        </w:rPr>
      </w:pPr>
      <w:r>
        <w:rPr>
          <w:rFonts w:hint="eastAsia" w:ascii="宋体" w:hAnsi="宋体"/>
          <w:sz w:val="24"/>
          <w:szCs w:val="20"/>
        </w:rPr>
        <w:t>乙方派驻人员加班必须由甲方项目经理认可，且甲方需对乙方派驻员工的加班安排与加班工时等量的倒休补贴；</w:t>
      </w:r>
    </w:p>
    <w:p>
      <w:pPr>
        <w:pStyle w:val="34"/>
        <w:numPr>
          <w:ilvl w:val="0"/>
          <w:numId w:val="3"/>
        </w:numPr>
        <w:snapToGrid w:val="0"/>
        <w:spacing w:line="360" w:lineRule="auto"/>
        <w:ind w:firstLineChars="0"/>
        <w:rPr>
          <w:rFonts w:ascii="宋体" w:hAnsi="宋体"/>
          <w:sz w:val="24"/>
          <w:szCs w:val="20"/>
        </w:rPr>
      </w:pPr>
      <w:r>
        <w:rPr>
          <w:rFonts w:hint="eastAsia" w:ascii="宋体" w:hAnsi="宋体"/>
          <w:sz w:val="24"/>
          <w:szCs w:val="20"/>
        </w:rPr>
        <w:t>乙方派驻人员在服务期间的其它费用（包括但不限于往返项目所在地费用、上下班路费、餐费等）均由乙方承担；</w:t>
      </w:r>
    </w:p>
    <w:p>
      <w:pPr>
        <w:pStyle w:val="34"/>
        <w:numPr>
          <w:ilvl w:val="0"/>
          <w:numId w:val="3"/>
        </w:numPr>
        <w:snapToGrid w:val="0"/>
        <w:spacing w:line="360" w:lineRule="auto"/>
        <w:ind w:firstLineChars="0"/>
        <w:rPr>
          <w:rFonts w:ascii="宋体" w:hAnsi="宋体"/>
          <w:sz w:val="24"/>
          <w:szCs w:val="20"/>
        </w:rPr>
      </w:pPr>
      <w:r>
        <w:rPr>
          <w:rFonts w:hint="eastAsia" w:ascii="宋体" w:hAnsi="宋体"/>
          <w:sz w:val="24"/>
          <w:szCs w:val="20"/>
        </w:rPr>
        <w:t>乙方派驻人员在服务期间的其它费用（医疗费用、社会保险、公积金相关等）由乙方公司为其办理，并按月缴纳；</w:t>
      </w:r>
    </w:p>
    <w:p>
      <w:pPr>
        <w:pStyle w:val="34"/>
        <w:numPr>
          <w:ilvl w:val="0"/>
          <w:numId w:val="3"/>
        </w:numPr>
        <w:snapToGrid w:val="0"/>
        <w:spacing w:line="360" w:lineRule="auto"/>
        <w:ind w:firstLineChars="0"/>
        <w:rPr>
          <w:rFonts w:ascii="宋体" w:hAnsi="宋体"/>
          <w:sz w:val="24"/>
          <w:szCs w:val="20"/>
        </w:rPr>
      </w:pPr>
      <w:r>
        <w:rPr>
          <w:rFonts w:hint="eastAsia" w:ascii="宋体" w:hAnsi="宋体"/>
          <w:sz w:val="24"/>
          <w:szCs w:val="20"/>
        </w:rPr>
        <w:t>本协议结算周期为按</w:t>
      </w:r>
      <w:r>
        <w:rPr>
          <w:rFonts w:hint="eastAsia" w:ascii="宋体" w:hAnsi="宋体"/>
          <w:sz w:val="24"/>
          <w:szCs w:val="20"/>
          <w:lang w:val="en-US" w:eastAsia="zh-CN"/>
        </w:rPr>
        <w:t>月</w:t>
      </w:r>
      <w:r>
        <w:rPr>
          <w:rFonts w:hint="eastAsia" w:ascii="宋体" w:hAnsi="宋体"/>
          <w:sz w:val="24"/>
          <w:szCs w:val="20"/>
        </w:rPr>
        <w:t>度结算，结算单详见附件六。未免</w:t>
      </w:r>
      <w:r>
        <w:rPr>
          <w:rFonts w:ascii="宋体" w:hAnsi="宋体"/>
          <w:sz w:val="24"/>
          <w:szCs w:val="20"/>
        </w:rPr>
        <w:t>歧义，</w:t>
      </w:r>
      <w:r>
        <w:rPr>
          <w:rFonts w:hint="eastAsia" w:ascii="宋体" w:hAnsi="宋体"/>
          <w:sz w:val="24"/>
          <w:szCs w:val="20"/>
        </w:rPr>
        <w:t>双方</w:t>
      </w:r>
      <w:r>
        <w:rPr>
          <w:rFonts w:ascii="宋体" w:hAnsi="宋体"/>
          <w:sz w:val="24"/>
          <w:szCs w:val="20"/>
        </w:rPr>
        <w:t>明确除甲方认可</w:t>
      </w:r>
      <w:r>
        <w:rPr>
          <w:rFonts w:hint="eastAsia" w:ascii="宋体" w:hAnsi="宋体"/>
          <w:sz w:val="24"/>
          <w:szCs w:val="20"/>
        </w:rPr>
        <w:t>按结算单应付</w:t>
      </w:r>
      <w:r>
        <w:rPr>
          <w:rFonts w:ascii="宋体" w:hAnsi="宋体"/>
          <w:sz w:val="24"/>
          <w:szCs w:val="20"/>
        </w:rPr>
        <w:t>款项外，甲方无需向乙方或派驻人员支付其他任何费用。</w:t>
      </w:r>
    </w:p>
    <w:p>
      <w:pPr>
        <w:widowControl/>
        <w:numPr>
          <w:ilvl w:val="0"/>
          <w:numId w:val="1"/>
        </w:numPr>
        <w:spacing w:line="360" w:lineRule="auto"/>
        <w:jc w:val="left"/>
        <w:rPr>
          <w:rFonts w:hAnsi="宋体" w:cs="宋体"/>
          <w:b/>
          <w:sz w:val="24"/>
        </w:rPr>
      </w:pPr>
      <w:r>
        <w:rPr>
          <w:rFonts w:hint="eastAsia" w:hAnsi="宋体" w:cs="宋体"/>
          <w:b/>
          <w:sz w:val="24"/>
        </w:rPr>
        <w:t>合同期限</w:t>
      </w:r>
    </w:p>
    <w:p>
      <w:pPr>
        <w:widowControl/>
        <w:spacing w:line="360" w:lineRule="auto"/>
        <w:jc w:val="left"/>
        <w:rPr>
          <w:rFonts w:hAnsi="宋体" w:cs="宋体"/>
          <w:b/>
          <w:sz w:val="24"/>
        </w:rPr>
      </w:pPr>
      <w:r>
        <w:rPr>
          <w:rFonts w:hint="eastAsia" w:hAnsi="宋体" w:cs="宋体"/>
          <w:b/>
          <w:sz w:val="24"/>
        </w:rPr>
        <w:t xml:space="preserve">      </w:t>
      </w:r>
      <w:r>
        <w:rPr>
          <w:rFonts w:hint="eastAsia" w:hAnsi="宋体" w:cs="宋体"/>
          <w:bCs/>
          <w:sz w:val="24"/>
        </w:rPr>
        <w:t>本合同自签字盖章之日起生效，有效期为</w:t>
      </w:r>
      <w:r>
        <w:rPr>
          <w:rFonts w:hint="eastAsia" w:hAnsi="宋体" w:cs="宋体"/>
          <w:bCs/>
          <w:sz w:val="24"/>
          <w:u w:val="single"/>
        </w:rPr>
        <w:t xml:space="preserve"> </w:t>
      </w:r>
      <w:r>
        <w:rPr>
          <w:rFonts w:hint="default" w:hAnsi="宋体" w:cs="宋体"/>
          <w:bCs/>
          <w:sz w:val="24"/>
          <w:u w:val="single"/>
        </w:rPr>
        <w:t>2021</w:t>
      </w:r>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r>
        <w:rPr>
          <w:rFonts w:hint="default" w:hAnsi="宋体" w:cs="宋体"/>
          <w:bCs/>
          <w:sz w:val="24"/>
          <w:u w:val="single"/>
        </w:rPr>
        <w:t>6</w:t>
      </w:r>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r>
        <w:rPr>
          <w:rFonts w:hint="default" w:hAnsi="宋体" w:cs="宋体"/>
          <w:bCs/>
          <w:sz w:val="24"/>
          <w:u w:val="single"/>
        </w:rPr>
        <w:t>1</w:t>
      </w:r>
      <w:r>
        <w:rPr>
          <w:rFonts w:hint="eastAsia" w:hAnsi="宋体" w:cs="宋体"/>
          <w:bCs/>
          <w:sz w:val="24"/>
          <w:u w:val="single"/>
        </w:rPr>
        <w:t xml:space="preserve"> </w:t>
      </w:r>
      <w:r>
        <w:rPr>
          <w:rFonts w:hint="eastAsia" w:hAnsi="宋体" w:cs="宋体"/>
          <w:bCs/>
          <w:sz w:val="24"/>
        </w:rPr>
        <w:t>日到</w:t>
      </w:r>
      <w:r>
        <w:rPr>
          <w:rFonts w:hint="eastAsia" w:hAnsi="宋体" w:cs="宋体"/>
          <w:bCs/>
          <w:sz w:val="24"/>
          <w:u w:val="single"/>
        </w:rPr>
        <w:t xml:space="preserve"> </w:t>
      </w:r>
      <w:r>
        <w:rPr>
          <w:rFonts w:hint="default" w:hAnsi="宋体" w:cs="宋体"/>
          <w:bCs/>
          <w:sz w:val="24"/>
          <w:u w:val="single"/>
        </w:rPr>
        <w:t>2021</w:t>
      </w:r>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r>
        <w:rPr>
          <w:rFonts w:hint="default" w:hAnsi="宋体" w:cs="宋体"/>
          <w:bCs/>
          <w:sz w:val="24"/>
          <w:u w:val="single"/>
        </w:rPr>
        <w:t>9</w:t>
      </w:r>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r>
        <w:rPr>
          <w:rFonts w:hint="default" w:hAnsi="宋体" w:cs="宋体"/>
          <w:bCs/>
          <w:sz w:val="24"/>
          <w:u w:val="single"/>
        </w:rPr>
        <w:t>15</w:t>
      </w:r>
      <w:r>
        <w:rPr>
          <w:rFonts w:hint="eastAsia" w:hAnsi="宋体" w:cs="宋体"/>
          <w:bCs/>
          <w:sz w:val="24"/>
          <w:u w:val="single"/>
        </w:rPr>
        <w:t xml:space="preserve"> </w:t>
      </w:r>
      <w:r>
        <w:rPr>
          <w:rFonts w:hint="eastAsia" w:hAnsi="宋体" w:cs="宋体"/>
          <w:bCs/>
          <w:sz w:val="24"/>
        </w:rPr>
        <w:t>日，协议期限届满前一个月，甲方如需继续与乙方合作，需书面通知对方；未通知的，本合同即视为终止。如原派驻人员有未完成的事务，可按针对其个人的补充协议继续履行，直到相关事务完结之日终止</w:t>
      </w:r>
      <w:r>
        <w:rPr>
          <w:rFonts w:hAnsi="宋体" w:cs="宋体"/>
          <w:bCs/>
          <w:sz w:val="24"/>
        </w:rPr>
        <w:t>协议</w:t>
      </w:r>
      <w:r>
        <w:rPr>
          <w:rFonts w:hint="eastAsia" w:hAnsi="宋体" w:cs="宋体"/>
          <w:bCs/>
          <w:sz w:val="24"/>
        </w:rPr>
        <w:t>。</w:t>
      </w:r>
    </w:p>
    <w:p>
      <w:pPr>
        <w:widowControl/>
        <w:numPr>
          <w:ilvl w:val="0"/>
          <w:numId w:val="1"/>
        </w:numPr>
        <w:spacing w:line="360" w:lineRule="auto"/>
        <w:jc w:val="left"/>
        <w:rPr>
          <w:rFonts w:hAnsi="宋体" w:cs="宋体"/>
          <w:b/>
          <w:sz w:val="24"/>
        </w:rPr>
      </w:pPr>
      <w:r>
        <w:rPr>
          <w:rFonts w:hint="eastAsia" w:hAnsi="宋体" w:cs="宋体"/>
          <w:b/>
          <w:sz w:val="24"/>
        </w:rPr>
        <w:t>工作内容</w:t>
      </w:r>
    </w:p>
    <w:p>
      <w:pPr>
        <w:widowControl/>
        <w:spacing w:line="360" w:lineRule="auto"/>
        <w:jc w:val="left"/>
        <w:rPr>
          <w:rFonts w:hAnsi="宋体" w:cs="宋体"/>
          <w:b/>
          <w:sz w:val="24"/>
        </w:rPr>
      </w:pPr>
      <w:r>
        <w:rPr>
          <w:rFonts w:hint="eastAsia" w:hAnsi="宋体" w:cs="宋体"/>
          <w:b/>
          <w:sz w:val="24"/>
        </w:rPr>
        <w:t xml:space="preserve">     </w:t>
      </w:r>
      <w:r>
        <w:rPr>
          <w:rFonts w:hint="eastAsia" w:hAnsi="宋体" w:cs="宋体"/>
          <w:bCs/>
          <w:sz w:val="24"/>
        </w:rPr>
        <w:t>乙方派驻甲方的工作人员协助甲方完成甲方指定项目的日常工作事宜，具体工作内容由甲方具体项目负责人下达的工作指令为准。</w:t>
      </w:r>
    </w:p>
    <w:p>
      <w:pPr>
        <w:widowControl/>
        <w:numPr>
          <w:ilvl w:val="0"/>
          <w:numId w:val="1"/>
        </w:numPr>
        <w:spacing w:line="360" w:lineRule="auto"/>
        <w:jc w:val="left"/>
        <w:rPr>
          <w:rFonts w:hAnsi="宋体" w:cs="宋体"/>
          <w:b/>
          <w:sz w:val="24"/>
        </w:rPr>
      </w:pPr>
      <w:r>
        <w:rPr>
          <w:rFonts w:hint="eastAsia" w:hAnsi="宋体" w:cs="宋体"/>
          <w:b/>
          <w:sz w:val="24"/>
        </w:rPr>
        <w:t>人员审核</w:t>
      </w:r>
    </w:p>
    <w:p>
      <w:pPr>
        <w:snapToGrid w:val="0"/>
        <w:spacing w:line="360" w:lineRule="auto"/>
        <w:ind w:left="2" w:firstLine="564" w:firstLineChars="235"/>
        <w:rPr>
          <w:rFonts w:ascii="宋体" w:hAnsi="宋体"/>
          <w:sz w:val="24"/>
          <w:szCs w:val="20"/>
        </w:rPr>
      </w:pPr>
      <w:r>
        <w:rPr>
          <w:rFonts w:hint="eastAsia" w:ascii="宋体" w:hAnsi="宋体"/>
          <w:sz w:val="24"/>
          <w:szCs w:val="20"/>
        </w:rPr>
        <w:t>1.乙方应在收到甲方《技术服务招聘需求表》后5个工作日内安排符合甲方要求的人员面试，待甲方面试后决定是否录用；</w:t>
      </w:r>
    </w:p>
    <w:p>
      <w:pPr>
        <w:snapToGrid w:val="0"/>
        <w:spacing w:line="360" w:lineRule="auto"/>
        <w:ind w:left="2" w:firstLine="564" w:firstLineChars="235"/>
        <w:rPr>
          <w:rFonts w:ascii="宋体" w:hAnsi="宋体"/>
          <w:sz w:val="24"/>
          <w:szCs w:val="20"/>
        </w:rPr>
      </w:pPr>
      <w:r>
        <w:rPr>
          <w:rFonts w:ascii="宋体" w:hAnsi="宋体"/>
          <w:sz w:val="24"/>
          <w:szCs w:val="20"/>
        </w:rPr>
        <w:t>2.</w:t>
      </w:r>
      <w:r>
        <w:rPr>
          <w:rFonts w:hint="eastAsia" w:ascii="宋体" w:hAnsi="宋体"/>
          <w:sz w:val="24"/>
          <w:szCs w:val="20"/>
        </w:rPr>
        <w:t>乙方人员录用入场后前5个工作日为试用期，</w:t>
      </w:r>
      <w:r>
        <w:rPr>
          <w:rFonts w:ascii="宋体" w:hAnsi="宋体"/>
          <w:sz w:val="24"/>
          <w:szCs w:val="20"/>
        </w:rPr>
        <w:t>甲方</w:t>
      </w:r>
      <w:r>
        <w:rPr>
          <w:rFonts w:hint="eastAsia" w:ascii="宋体" w:hAnsi="宋体"/>
          <w:sz w:val="24"/>
          <w:szCs w:val="20"/>
        </w:rPr>
        <w:t>将对乙方试用期的表现进行评分，并于</w:t>
      </w:r>
      <w:r>
        <w:rPr>
          <w:rFonts w:ascii="宋体" w:hAnsi="宋体"/>
          <w:sz w:val="24"/>
          <w:szCs w:val="20"/>
        </w:rPr>
        <w:t>乙方人员入场</w:t>
      </w:r>
      <w:r>
        <w:rPr>
          <w:rFonts w:hint="eastAsia" w:ascii="宋体" w:hAnsi="宋体"/>
          <w:sz w:val="24"/>
          <w:szCs w:val="20"/>
        </w:rPr>
        <w:t>第5个工作日当天</w:t>
      </w:r>
      <w:r>
        <w:rPr>
          <w:rFonts w:ascii="宋体" w:hAnsi="宋体"/>
          <w:sz w:val="24"/>
          <w:szCs w:val="20"/>
        </w:rPr>
        <w:t>对其发起</w:t>
      </w:r>
      <w:r>
        <w:rPr>
          <w:rFonts w:hint="eastAsia" w:ascii="宋体" w:hAnsi="宋体"/>
          <w:sz w:val="24"/>
          <w:szCs w:val="20"/>
        </w:rPr>
        <w:t>《技术服务试用期评价表》，</w:t>
      </w:r>
      <w:r>
        <w:rPr>
          <w:rFonts w:ascii="宋体" w:hAnsi="宋体"/>
          <w:sz w:val="24"/>
          <w:szCs w:val="20"/>
        </w:rPr>
        <w:t>如评价</w:t>
      </w:r>
      <w:r>
        <w:rPr>
          <w:rFonts w:hint="eastAsia" w:ascii="宋体" w:hAnsi="宋体"/>
          <w:sz w:val="24"/>
          <w:szCs w:val="20"/>
        </w:rPr>
        <w:t>分数</w:t>
      </w:r>
      <w:r>
        <w:rPr>
          <w:rFonts w:ascii="宋体" w:hAnsi="宋体"/>
          <w:sz w:val="24"/>
          <w:szCs w:val="20"/>
        </w:rPr>
        <w:t>低于</w:t>
      </w:r>
      <w:r>
        <w:rPr>
          <w:rFonts w:hint="eastAsia" w:ascii="宋体" w:hAnsi="宋体"/>
          <w:sz w:val="24"/>
          <w:szCs w:val="20"/>
        </w:rPr>
        <w:t>60，</w:t>
      </w:r>
      <w:r>
        <w:rPr>
          <w:rFonts w:ascii="宋体" w:hAnsi="宋体"/>
          <w:sz w:val="24"/>
          <w:szCs w:val="20"/>
        </w:rPr>
        <w:t>甲方有权</w:t>
      </w:r>
      <w:r>
        <w:rPr>
          <w:rFonts w:hint="eastAsia" w:ascii="宋体" w:hAnsi="宋体"/>
          <w:sz w:val="24"/>
          <w:szCs w:val="20"/>
        </w:rPr>
        <w:t>将该人员退回。</w:t>
      </w:r>
      <w:r>
        <w:rPr>
          <w:rFonts w:hint="eastAsia" w:ascii="宋体" w:hAnsi="宋体"/>
          <w:bCs/>
          <w:sz w:val="24"/>
          <w:szCs w:val="20"/>
        </w:rPr>
        <w:t>试用期通过，甲方继续安排派驻人员工作；如试用期未通过，乙方负责继续更换人员或以其他双方认可的方式解决</w:t>
      </w:r>
      <w:r>
        <w:rPr>
          <w:rFonts w:hint="eastAsia" w:ascii="宋体" w:hAnsi="宋体"/>
          <w:sz w:val="24"/>
          <w:szCs w:val="20"/>
        </w:rPr>
        <w:t>；</w:t>
      </w:r>
    </w:p>
    <w:p>
      <w:pPr>
        <w:snapToGrid w:val="0"/>
        <w:spacing w:line="360" w:lineRule="auto"/>
        <w:ind w:left="2" w:firstLine="564" w:firstLineChars="235"/>
        <w:rPr>
          <w:rFonts w:ascii="宋体" w:hAnsi="宋体"/>
          <w:sz w:val="24"/>
          <w:szCs w:val="20"/>
        </w:rPr>
      </w:pPr>
      <w:r>
        <w:rPr>
          <w:rFonts w:hint="eastAsia" w:ascii="宋体" w:hAnsi="宋体"/>
          <w:sz w:val="24"/>
          <w:szCs w:val="20"/>
        </w:rPr>
        <w:t>3.乙方人员试用期通过后，甲方需和乙方签署针对乙方派驻人员的《补充协议》；</w:t>
      </w:r>
    </w:p>
    <w:p>
      <w:pPr>
        <w:snapToGrid w:val="0"/>
        <w:spacing w:line="360" w:lineRule="auto"/>
        <w:ind w:left="2" w:firstLine="564" w:firstLineChars="235"/>
        <w:rPr>
          <w:rFonts w:ascii="宋体" w:hAnsi="宋体"/>
          <w:bCs/>
          <w:sz w:val="24"/>
          <w:szCs w:val="20"/>
        </w:rPr>
      </w:pPr>
      <w:r>
        <w:rPr>
          <w:rFonts w:ascii="宋体" w:hAnsi="宋体"/>
          <w:sz w:val="24"/>
          <w:szCs w:val="20"/>
        </w:rPr>
        <w:t>4.</w:t>
      </w:r>
      <w:r>
        <w:rPr>
          <w:rFonts w:hint="eastAsia" w:ascii="宋体" w:hAnsi="宋体"/>
          <w:sz w:val="24"/>
          <w:szCs w:val="20"/>
        </w:rPr>
        <w:t>甲方按月对乙方人员进行评价，发起《技术服务定期评价表》，如评价分数低于60，甲方有权要求乙方于</w:t>
      </w:r>
      <w:bookmarkStart w:id="2" w:name="OLE_LINK3"/>
      <w:r>
        <w:rPr>
          <w:rFonts w:hint="eastAsia" w:ascii="宋体" w:hAnsi="宋体"/>
          <w:sz w:val="24"/>
          <w:szCs w:val="20"/>
        </w:rPr>
        <w:t>5个</w:t>
      </w:r>
      <w:bookmarkEnd w:id="2"/>
      <w:r>
        <w:rPr>
          <w:rFonts w:hint="eastAsia" w:ascii="宋体" w:hAnsi="宋体"/>
          <w:sz w:val="24"/>
          <w:szCs w:val="20"/>
        </w:rPr>
        <w:t>工作日内更换同等级的其他人员至甲方面试，</w:t>
      </w:r>
      <w:r>
        <w:rPr>
          <w:rFonts w:hint="eastAsia" w:ascii="宋体" w:hAnsi="宋体"/>
          <w:bCs/>
          <w:sz w:val="24"/>
          <w:szCs w:val="20"/>
        </w:rPr>
        <w:t xml:space="preserve">更换人员面试通过，且交接完成后派驻人员离场； </w:t>
      </w:r>
    </w:p>
    <w:p>
      <w:pPr>
        <w:snapToGrid w:val="0"/>
        <w:spacing w:line="360" w:lineRule="auto"/>
        <w:ind w:left="2" w:firstLine="564" w:firstLineChars="235"/>
        <w:rPr>
          <w:rFonts w:ascii="宋体" w:hAnsi="宋体"/>
          <w:sz w:val="24"/>
        </w:rPr>
      </w:pPr>
      <w:r>
        <w:rPr>
          <w:rFonts w:ascii="宋体" w:hAnsi="宋体"/>
          <w:bCs/>
          <w:sz w:val="24"/>
        </w:rPr>
        <w:t>5.乙方更换人员入场后</w:t>
      </w:r>
      <w:r>
        <w:rPr>
          <w:rFonts w:hint="eastAsia"/>
          <w:sz w:val="24"/>
        </w:rPr>
        <w:t>的前</w:t>
      </w:r>
      <w:r>
        <w:rPr>
          <w:rFonts w:hint="eastAsia" w:ascii="宋体" w:hAnsi="宋体"/>
          <w:sz w:val="24"/>
          <w:szCs w:val="20"/>
        </w:rPr>
        <w:t>5个</w:t>
      </w:r>
      <w:r>
        <w:rPr>
          <w:rFonts w:hint="eastAsia"/>
          <w:sz w:val="24"/>
        </w:rPr>
        <w:t>工作日</w:t>
      </w:r>
      <w:r>
        <w:rPr>
          <w:sz w:val="24"/>
        </w:rPr>
        <w:t>为试用期</w:t>
      </w:r>
      <w:r>
        <w:rPr>
          <w:rFonts w:hint="eastAsia"/>
          <w:sz w:val="24"/>
        </w:rPr>
        <w:t>，</w:t>
      </w:r>
      <w:r>
        <w:rPr>
          <w:sz w:val="24"/>
        </w:rPr>
        <w:t>如试用期不合格</w:t>
      </w:r>
      <w:r>
        <w:rPr>
          <w:rFonts w:hint="eastAsia"/>
          <w:sz w:val="24"/>
        </w:rPr>
        <w:t>，</w:t>
      </w:r>
      <w:r>
        <w:rPr>
          <w:sz w:val="24"/>
        </w:rPr>
        <w:t>乙方需再次安排面试</w:t>
      </w:r>
      <w:r>
        <w:rPr>
          <w:rFonts w:hint="eastAsia"/>
          <w:sz w:val="24"/>
        </w:rPr>
        <w:t>，</w:t>
      </w:r>
      <w:r>
        <w:rPr>
          <w:sz w:val="24"/>
        </w:rPr>
        <w:t>直至找到合适人员为止</w:t>
      </w:r>
      <w:r>
        <w:rPr>
          <w:rFonts w:hint="eastAsia"/>
          <w:sz w:val="24"/>
        </w:rPr>
        <w:t>；</w:t>
      </w:r>
    </w:p>
    <w:p>
      <w:pPr>
        <w:snapToGrid w:val="0"/>
        <w:spacing w:line="360" w:lineRule="auto"/>
        <w:ind w:left="2" w:firstLine="564" w:firstLineChars="235"/>
        <w:rPr>
          <w:rFonts w:ascii="宋体" w:hAnsi="宋体"/>
          <w:sz w:val="24"/>
          <w:szCs w:val="20"/>
        </w:rPr>
      </w:pPr>
      <w:r>
        <w:rPr>
          <w:rFonts w:ascii="宋体" w:hAnsi="宋体"/>
          <w:sz w:val="24"/>
          <w:szCs w:val="20"/>
        </w:rPr>
        <w:t>6</w:t>
      </w:r>
      <w:r>
        <w:rPr>
          <w:rFonts w:hint="eastAsia" w:ascii="宋体" w:hAnsi="宋体"/>
          <w:sz w:val="24"/>
          <w:szCs w:val="20"/>
        </w:rPr>
        <w:t>.乙方派驻人员在工作期间，甲方项目经理或相关负责人应按天记录乙方派驻人员的考勤，按月进行统计后编制《考勤记录表》，经乙方确认后作为费用结算的依据；</w:t>
      </w:r>
    </w:p>
    <w:p>
      <w:pPr>
        <w:snapToGrid w:val="0"/>
        <w:spacing w:line="360" w:lineRule="auto"/>
        <w:ind w:left="2" w:firstLine="564" w:firstLineChars="235"/>
        <w:rPr>
          <w:rFonts w:ascii="宋体" w:hAnsi="宋体"/>
          <w:sz w:val="24"/>
          <w:szCs w:val="20"/>
        </w:rPr>
      </w:pPr>
      <w:r>
        <w:rPr>
          <w:rFonts w:ascii="宋体" w:hAnsi="宋体"/>
          <w:sz w:val="24"/>
          <w:szCs w:val="20"/>
        </w:rPr>
        <w:t>7</w:t>
      </w:r>
      <w:r>
        <w:rPr>
          <w:rFonts w:hint="eastAsia" w:ascii="宋体" w:hAnsi="宋体"/>
          <w:sz w:val="24"/>
          <w:szCs w:val="20"/>
        </w:rPr>
        <w:t>.乙方派驻人员离场时，由乙方人员填写《离场确认单》，并由甲方项目经理确认；</w:t>
      </w:r>
    </w:p>
    <w:p>
      <w:pPr>
        <w:snapToGrid w:val="0"/>
        <w:spacing w:line="360" w:lineRule="auto"/>
        <w:ind w:left="2" w:firstLine="564" w:firstLineChars="235"/>
        <w:rPr>
          <w:rFonts w:ascii="宋体" w:hAnsi="宋体"/>
          <w:sz w:val="24"/>
          <w:szCs w:val="20"/>
        </w:rPr>
      </w:pPr>
      <w:r>
        <w:rPr>
          <w:rFonts w:ascii="宋体" w:hAnsi="宋体"/>
          <w:bCs/>
          <w:sz w:val="24"/>
          <w:szCs w:val="20"/>
        </w:rPr>
        <w:t>8</w:t>
      </w:r>
      <w:r>
        <w:rPr>
          <w:rFonts w:hint="eastAsia" w:ascii="宋体" w:hAnsi="宋体"/>
          <w:bCs/>
          <w:sz w:val="24"/>
          <w:szCs w:val="20"/>
        </w:rPr>
        <w:t>.乙方派驻人员在服务期间，应遵守甲方及甲方所服务客户的各项管理制度及《保密协议》，对所参与的工作负有安全保密责任；</w:t>
      </w:r>
    </w:p>
    <w:p>
      <w:pPr>
        <w:snapToGrid w:val="0"/>
        <w:spacing w:line="360" w:lineRule="auto"/>
        <w:ind w:left="2" w:firstLine="564" w:firstLineChars="235"/>
        <w:rPr>
          <w:rFonts w:ascii="宋体" w:hAnsi="宋体"/>
          <w:sz w:val="24"/>
          <w:szCs w:val="20"/>
        </w:rPr>
      </w:pPr>
      <w:r>
        <w:rPr>
          <w:rFonts w:ascii="宋体" w:hAnsi="宋体"/>
          <w:sz w:val="24"/>
          <w:szCs w:val="20"/>
        </w:rPr>
        <w:t>9</w:t>
      </w:r>
      <w:r>
        <w:rPr>
          <w:rFonts w:hint="eastAsia" w:ascii="宋体" w:hAnsi="宋体"/>
          <w:sz w:val="24"/>
          <w:szCs w:val="20"/>
        </w:rPr>
        <w:t>.具体乙方派驻人员管理细则根据凯美瑞德公司《技术服务管理制度》等相关规定执行。</w:t>
      </w:r>
    </w:p>
    <w:p>
      <w:pPr>
        <w:snapToGrid w:val="0"/>
        <w:spacing w:line="360" w:lineRule="auto"/>
        <w:ind w:left="2" w:firstLine="564" w:firstLineChars="235"/>
        <w:rPr>
          <w:rFonts w:ascii="宋体" w:hAnsi="宋体"/>
          <w:sz w:val="24"/>
          <w:szCs w:val="20"/>
        </w:rPr>
      </w:pPr>
      <w:r>
        <w:rPr>
          <w:rFonts w:hint="eastAsia" w:ascii="宋体" w:hAnsi="宋体"/>
          <w:sz w:val="24"/>
          <w:szCs w:val="20"/>
        </w:rPr>
        <w:t>10.乙方</w:t>
      </w:r>
      <w:r>
        <w:rPr>
          <w:rFonts w:ascii="宋体" w:hAnsi="宋体"/>
          <w:sz w:val="24"/>
          <w:szCs w:val="20"/>
        </w:rPr>
        <w:t>派驻人员违反本协议条款</w:t>
      </w:r>
      <w:r>
        <w:rPr>
          <w:rFonts w:hint="eastAsia" w:ascii="宋体" w:hAnsi="宋体"/>
          <w:sz w:val="24"/>
          <w:szCs w:val="20"/>
        </w:rPr>
        <w:t>均</w:t>
      </w:r>
      <w:r>
        <w:rPr>
          <w:rFonts w:ascii="宋体" w:hAnsi="宋体"/>
          <w:sz w:val="24"/>
          <w:szCs w:val="20"/>
        </w:rPr>
        <w:t>视为乙方违约，乙方向甲方承担违约责任。</w:t>
      </w:r>
      <w:r>
        <w:rPr>
          <w:rFonts w:hint="eastAsia" w:ascii="宋体" w:hAnsi="宋体"/>
          <w:sz w:val="24"/>
          <w:szCs w:val="20"/>
        </w:rPr>
        <w:t>因</w:t>
      </w:r>
      <w:r>
        <w:rPr>
          <w:rFonts w:ascii="宋体" w:hAnsi="宋体"/>
          <w:sz w:val="24"/>
          <w:szCs w:val="20"/>
        </w:rPr>
        <w:t>乙方派驻人员故意</w:t>
      </w:r>
      <w:r>
        <w:rPr>
          <w:rFonts w:hint="eastAsia" w:ascii="宋体" w:hAnsi="宋体"/>
          <w:sz w:val="24"/>
          <w:szCs w:val="20"/>
        </w:rPr>
        <w:t>或</w:t>
      </w:r>
      <w:r>
        <w:rPr>
          <w:rFonts w:ascii="宋体" w:hAnsi="宋体"/>
          <w:sz w:val="24"/>
          <w:szCs w:val="20"/>
        </w:rPr>
        <w:t>过失，导致甲方遭受任何</w:t>
      </w:r>
      <w:r>
        <w:rPr>
          <w:rFonts w:hint="eastAsia" w:ascii="宋体" w:hAnsi="宋体"/>
          <w:sz w:val="24"/>
          <w:szCs w:val="20"/>
        </w:rPr>
        <w:t>损失</w:t>
      </w:r>
      <w:r>
        <w:rPr>
          <w:rFonts w:ascii="宋体" w:hAnsi="宋体"/>
          <w:sz w:val="24"/>
          <w:szCs w:val="20"/>
        </w:rPr>
        <w:t>的，乙方应向甲方承担赔偿</w:t>
      </w:r>
      <w:r>
        <w:rPr>
          <w:rFonts w:hint="eastAsia" w:ascii="宋体" w:hAnsi="宋体"/>
          <w:sz w:val="24"/>
          <w:szCs w:val="20"/>
        </w:rPr>
        <w:t>责任</w:t>
      </w:r>
      <w:r>
        <w:rPr>
          <w:rFonts w:ascii="宋体" w:hAnsi="宋体"/>
          <w:sz w:val="24"/>
          <w:szCs w:val="20"/>
        </w:rPr>
        <w:t>。</w:t>
      </w:r>
    </w:p>
    <w:p>
      <w:pPr>
        <w:widowControl/>
        <w:numPr>
          <w:ilvl w:val="0"/>
          <w:numId w:val="1"/>
        </w:numPr>
        <w:spacing w:line="360" w:lineRule="auto"/>
        <w:jc w:val="left"/>
        <w:rPr>
          <w:rFonts w:hAnsi="宋体" w:cs="宋体"/>
          <w:b/>
          <w:sz w:val="24"/>
        </w:rPr>
      </w:pPr>
      <w:r>
        <w:rPr>
          <w:rFonts w:hint="eastAsia" w:hAnsi="宋体" w:cs="宋体"/>
          <w:b/>
          <w:sz w:val="24"/>
        </w:rPr>
        <w:t>费用结算和付款方式</w:t>
      </w:r>
    </w:p>
    <w:p>
      <w:pPr>
        <w:snapToGrid w:val="0"/>
        <w:spacing w:line="360" w:lineRule="auto"/>
        <w:ind w:left="2" w:firstLine="564" w:firstLineChars="235"/>
        <w:rPr>
          <w:rFonts w:ascii="宋体" w:hAnsi="宋体"/>
          <w:sz w:val="24"/>
          <w:szCs w:val="20"/>
        </w:rPr>
      </w:pPr>
      <w:r>
        <w:rPr>
          <w:rFonts w:hint="eastAsia" w:ascii="宋体" w:hAnsi="宋体"/>
          <w:sz w:val="24"/>
          <w:szCs w:val="20"/>
        </w:rPr>
        <w:t>1.甲方根据甲乙双方共同确认的《考勤记录表》和《技术服务结算单》确认该协议的结算费用；</w:t>
      </w:r>
    </w:p>
    <w:p>
      <w:pPr>
        <w:snapToGrid w:val="0"/>
        <w:spacing w:line="360" w:lineRule="auto"/>
        <w:ind w:left="2" w:firstLine="564" w:firstLineChars="235"/>
        <w:rPr>
          <w:rFonts w:ascii="宋体" w:hAnsi="宋体"/>
          <w:sz w:val="24"/>
          <w:szCs w:val="20"/>
        </w:rPr>
      </w:pPr>
      <w:r>
        <w:rPr>
          <w:rFonts w:hint="eastAsia" w:ascii="宋体" w:hAnsi="宋体"/>
          <w:sz w:val="24"/>
          <w:szCs w:val="20"/>
        </w:rPr>
        <w:t>2.合同期内，乙方在每一季度结束后向甲方开具发票，甲方在收到乙方开具的发票后，根据双方确认的《技术服务结算单》按</w:t>
      </w:r>
      <w:r>
        <w:rPr>
          <w:rFonts w:hint="eastAsia" w:ascii="宋体" w:hAnsi="宋体"/>
          <w:sz w:val="24"/>
          <w:szCs w:val="20"/>
          <w:lang w:val="en-US" w:eastAsia="zh-CN"/>
        </w:rPr>
        <w:t>月</w:t>
      </w:r>
      <w:r>
        <w:rPr>
          <w:rFonts w:hint="eastAsia" w:ascii="宋体" w:hAnsi="宋体"/>
          <w:sz w:val="24"/>
          <w:szCs w:val="20"/>
        </w:rPr>
        <w:t>度进行付款，由此产生的一切税费由乙方自行承担；若</w:t>
      </w:r>
      <w:r>
        <w:rPr>
          <w:rFonts w:ascii="宋体" w:hAnsi="宋体"/>
          <w:sz w:val="24"/>
          <w:szCs w:val="20"/>
        </w:rPr>
        <w:t>乙方未能提供发票的，甲方有权拒绝付款。</w:t>
      </w:r>
    </w:p>
    <w:p>
      <w:pPr>
        <w:snapToGrid w:val="0"/>
        <w:spacing w:line="360" w:lineRule="auto"/>
        <w:ind w:left="2" w:firstLine="564" w:firstLineChars="235"/>
        <w:rPr>
          <w:rFonts w:ascii="宋体" w:hAnsi="宋体"/>
          <w:sz w:val="24"/>
          <w:szCs w:val="20"/>
        </w:rPr>
      </w:pPr>
      <w:r>
        <w:rPr>
          <w:rFonts w:hint="eastAsia" w:ascii="宋体" w:hAnsi="宋体"/>
          <w:sz w:val="24"/>
          <w:szCs w:val="20"/>
        </w:rPr>
        <w:t>3.派驻人员入场在不满5个工作日内由于试用期不通过或者个人原因离场，甲方不支付乙方任何费用。</w:t>
      </w:r>
    </w:p>
    <w:p>
      <w:pPr>
        <w:widowControl/>
        <w:numPr>
          <w:ilvl w:val="0"/>
          <w:numId w:val="1"/>
        </w:numPr>
        <w:spacing w:line="360" w:lineRule="auto"/>
        <w:jc w:val="left"/>
        <w:rPr>
          <w:rFonts w:hAnsi="宋体" w:cs="宋体"/>
          <w:b/>
          <w:sz w:val="24"/>
        </w:rPr>
      </w:pPr>
      <w:r>
        <w:rPr>
          <w:rFonts w:hint="eastAsia" w:hAnsi="宋体" w:cs="宋体"/>
          <w:b/>
          <w:sz w:val="24"/>
        </w:rPr>
        <w:t>甲方权利与义务</w:t>
      </w:r>
    </w:p>
    <w:p>
      <w:pPr>
        <w:snapToGrid w:val="0"/>
        <w:spacing w:line="360" w:lineRule="auto"/>
        <w:ind w:left="2" w:firstLine="564" w:firstLineChars="235"/>
        <w:rPr>
          <w:rFonts w:ascii="宋体" w:hAnsi="宋体"/>
          <w:sz w:val="24"/>
          <w:szCs w:val="20"/>
        </w:rPr>
      </w:pPr>
      <w:r>
        <w:rPr>
          <w:rFonts w:hint="eastAsia" w:ascii="宋体" w:hAnsi="宋体"/>
          <w:sz w:val="24"/>
          <w:szCs w:val="20"/>
        </w:rPr>
        <w:t>1.甲方为工作需要有权在内部相关文件上公布乙方中选的价格以及相关的信息，乙方确认此类信息在甲方内部公布无需事先经过乙方审查同意，均不属于对有关保密义务的违反；</w:t>
      </w:r>
    </w:p>
    <w:p>
      <w:pPr>
        <w:snapToGrid w:val="0"/>
        <w:spacing w:line="360" w:lineRule="auto"/>
        <w:ind w:left="2" w:firstLine="564" w:firstLineChars="235"/>
        <w:rPr>
          <w:rFonts w:ascii="宋体" w:hAnsi="宋体"/>
          <w:sz w:val="24"/>
          <w:szCs w:val="20"/>
        </w:rPr>
      </w:pPr>
      <w:r>
        <w:rPr>
          <w:rFonts w:hint="eastAsia" w:ascii="宋体" w:hAnsi="宋体"/>
          <w:sz w:val="24"/>
          <w:szCs w:val="20"/>
        </w:rPr>
        <w:t>2.甲方有权对乙方的履约行为进行监督和检查。如发现乙方违反合同的有关规定或承诺，甲方有权追究乙方的违约责任；</w:t>
      </w:r>
    </w:p>
    <w:p>
      <w:pPr>
        <w:snapToGrid w:val="0"/>
        <w:spacing w:line="360" w:lineRule="auto"/>
        <w:ind w:left="2" w:firstLine="564" w:firstLineChars="235"/>
        <w:rPr>
          <w:rFonts w:ascii="宋体" w:hAnsi="宋体"/>
          <w:sz w:val="24"/>
          <w:szCs w:val="20"/>
        </w:rPr>
      </w:pPr>
      <w:r>
        <w:rPr>
          <w:rFonts w:hint="eastAsia" w:ascii="宋体" w:hAnsi="宋体"/>
          <w:sz w:val="24"/>
          <w:szCs w:val="20"/>
        </w:rPr>
        <w:t>3.甲方有权对乙方派驻人员进行考核，并决定是否接收，若乙方派驻的人员不符合甲方用工需求，则甲方有权要求乙方于5个工作日内更换同等级的其他人员至甲方工作；</w:t>
      </w:r>
    </w:p>
    <w:p>
      <w:pPr>
        <w:snapToGrid w:val="0"/>
        <w:spacing w:line="360" w:lineRule="auto"/>
        <w:ind w:left="2" w:firstLine="564" w:firstLineChars="235"/>
        <w:rPr>
          <w:rFonts w:ascii="宋体" w:hAnsi="宋体"/>
          <w:sz w:val="24"/>
          <w:szCs w:val="20"/>
        </w:rPr>
      </w:pPr>
      <w:r>
        <w:rPr>
          <w:rFonts w:hint="eastAsia" w:ascii="宋体" w:hAnsi="宋体"/>
          <w:sz w:val="24"/>
          <w:szCs w:val="20"/>
        </w:rPr>
        <w:t>4.甲方有权对乙方派驻人员按甲方的管理方式进行日常管理，若乙方人员不遵守甲方的日常管理制度或无法按时按量的完成甲方的工作任务或</w:t>
      </w:r>
      <w:r>
        <w:rPr>
          <w:rFonts w:ascii="宋体" w:hAnsi="宋体"/>
          <w:sz w:val="24"/>
          <w:szCs w:val="20"/>
        </w:rPr>
        <w:t>出现</w:t>
      </w:r>
      <w:r>
        <w:rPr>
          <w:rFonts w:hint="eastAsia" w:ascii="宋体" w:hAnsi="宋体"/>
          <w:sz w:val="24"/>
          <w:szCs w:val="20"/>
        </w:rPr>
        <w:t>其他</w:t>
      </w:r>
      <w:r>
        <w:rPr>
          <w:rFonts w:ascii="宋体" w:hAnsi="宋体"/>
          <w:sz w:val="24"/>
          <w:szCs w:val="20"/>
        </w:rPr>
        <w:t>任何甲方认为人员不适当的情况的</w:t>
      </w:r>
      <w:r>
        <w:rPr>
          <w:rFonts w:hint="eastAsia" w:ascii="宋体" w:hAnsi="宋体"/>
          <w:sz w:val="24"/>
          <w:szCs w:val="20"/>
        </w:rPr>
        <w:t>，甲方有权要求乙方于5个工作日内更换同等级的其他人员到乙方工作；</w:t>
      </w:r>
    </w:p>
    <w:p>
      <w:pPr>
        <w:snapToGrid w:val="0"/>
        <w:spacing w:line="360" w:lineRule="auto"/>
        <w:ind w:left="2" w:firstLine="564" w:firstLineChars="235"/>
        <w:rPr>
          <w:rFonts w:ascii="宋体" w:hAnsi="宋体"/>
          <w:sz w:val="24"/>
          <w:szCs w:val="20"/>
        </w:rPr>
      </w:pPr>
      <w:r>
        <w:rPr>
          <w:rFonts w:hint="eastAsia" w:ascii="宋体" w:hAnsi="宋体"/>
          <w:sz w:val="24"/>
          <w:szCs w:val="20"/>
        </w:rPr>
        <w:t>5.甲方有权在项目实施过程中，对乙方派驻人员进行工作安排以及内部调动；</w:t>
      </w:r>
    </w:p>
    <w:p>
      <w:pPr>
        <w:snapToGrid w:val="0"/>
        <w:spacing w:line="360" w:lineRule="auto"/>
        <w:ind w:left="2" w:firstLine="564" w:firstLineChars="235"/>
        <w:rPr>
          <w:rFonts w:ascii="宋体" w:hAnsi="宋体"/>
          <w:sz w:val="24"/>
          <w:szCs w:val="20"/>
        </w:rPr>
      </w:pPr>
      <w:r>
        <w:rPr>
          <w:rFonts w:hint="eastAsia" w:ascii="宋体" w:hAnsi="宋体"/>
          <w:sz w:val="24"/>
          <w:szCs w:val="20"/>
        </w:rPr>
        <w:t>6.甲方应制定科学合理的工作计划，合理安排乙方派驻人员工作并给予正确的技术指导；</w:t>
      </w:r>
    </w:p>
    <w:p>
      <w:pPr>
        <w:snapToGrid w:val="0"/>
        <w:spacing w:line="360" w:lineRule="auto"/>
        <w:ind w:left="2" w:firstLine="564" w:firstLineChars="235"/>
        <w:rPr>
          <w:rFonts w:ascii="宋体" w:hAnsi="宋体"/>
          <w:sz w:val="24"/>
          <w:szCs w:val="20"/>
        </w:rPr>
      </w:pPr>
      <w:r>
        <w:rPr>
          <w:rFonts w:hint="eastAsia" w:ascii="宋体" w:hAnsi="宋体"/>
          <w:sz w:val="24"/>
          <w:szCs w:val="20"/>
        </w:rPr>
        <w:t xml:space="preserve"> 7.甲方应为乙方派驻人员提供安全和必要的工作资料和办公环境等；</w:t>
      </w:r>
    </w:p>
    <w:p>
      <w:pPr>
        <w:snapToGrid w:val="0"/>
        <w:spacing w:line="360" w:lineRule="auto"/>
        <w:ind w:left="2" w:firstLine="564" w:firstLineChars="235"/>
        <w:rPr>
          <w:rFonts w:ascii="宋体" w:hAnsi="宋体"/>
          <w:sz w:val="24"/>
          <w:szCs w:val="20"/>
        </w:rPr>
      </w:pPr>
      <w:r>
        <w:rPr>
          <w:rFonts w:hint="eastAsia" w:ascii="宋体" w:hAnsi="宋体"/>
          <w:sz w:val="24"/>
          <w:szCs w:val="20"/>
        </w:rPr>
        <w:t xml:space="preserve"> 8.上述人员更换不得超过三次，否则，甲方有权解除本合同并要求乙方承担相应损失，包括但不限于预期利润等。  </w:t>
      </w:r>
      <w:r>
        <w:rPr>
          <w:rFonts w:hint="eastAsia" w:ascii="宋体" w:hAnsi="宋体"/>
          <w:bCs/>
          <w:sz w:val="24"/>
          <w:szCs w:val="20"/>
        </w:rPr>
        <w:t xml:space="preserve"> </w:t>
      </w:r>
      <w:r>
        <w:rPr>
          <w:rFonts w:hint="eastAsia" w:ascii="宋体" w:hAnsi="宋体"/>
          <w:sz w:val="24"/>
          <w:szCs w:val="20"/>
        </w:rPr>
        <w:t xml:space="preserve"> </w:t>
      </w:r>
    </w:p>
    <w:p>
      <w:pPr>
        <w:widowControl/>
        <w:numPr>
          <w:ilvl w:val="0"/>
          <w:numId w:val="1"/>
        </w:numPr>
        <w:spacing w:line="360" w:lineRule="auto"/>
        <w:jc w:val="left"/>
        <w:rPr>
          <w:rFonts w:hAnsi="宋体" w:cs="宋体"/>
          <w:b/>
          <w:sz w:val="24"/>
        </w:rPr>
      </w:pPr>
      <w:r>
        <w:rPr>
          <w:rFonts w:hint="eastAsia" w:hAnsi="宋体" w:cs="宋体"/>
          <w:b/>
          <w:sz w:val="24"/>
        </w:rPr>
        <w:t>乙方权利与义务</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hint="eastAsia" w:ascii="宋体" w:hAnsi="宋体"/>
          <w:bCs/>
          <w:sz w:val="24"/>
          <w:szCs w:val="20"/>
        </w:rPr>
        <w:t>双方合作期间，派驻人员的薪资福利及社会保险等因</w:t>
      </w:r>
      <w:r>
        <w:rPr>
          <w:rFonts w:ascii="宋体" w:hAnsi="宋体"/>
          <w:bCs/>
          <w:sz w:val="24"/>
          <w:szCs w:val="20"/>
        </w:rPr>
        <w:t>劳动关系产生的任何成本费用均</w:t>
      </w:r>
      <w:r>
        <w:rPr>
          <w:rFonts w:hint="eastAsia" w:ascii="宋体" w:hAnsi="宋体"/>
          <w:bCs/>
          <w:sz w:val="24"/>
          <w:szCs w:val="20"/>
        </w:rPr>
        <w:t>由乙方承担；合作</w:t>
      </w:r>
      <w:r>
        <w:rPr>
          <w:rFonts w:ascii="宋体" w:hAnsi="宋体"/>
          <w:bCs/>
          <w:sz w:val="24"/>
          <w:szCs w:val="20"/>
        </w:rPr>
        <w:t>期间乙方派驻人员发生的人身及财产损害等，均由乙方承担全部责任。</w:t>
      </w:r>
      <w:r>
        <w:rPr>
          <w:rFonts w:hint="eastAsia" w:ascii="宋体" w:hAnsi="宋体"/>
          <w:bCs/>
          <w:sz w:val="24"/>
          <w:szCs w:val="20"/>
        </w:rPr>
        <w:t>甲方</w:t>
      </w:r>
      <w:r>
        <w:rPr>
          <w:rFonts w:ascii="宋体" w:hAnsi="宋体"/>
          <w:bCs/>
          <w:sz w:val="24"/>
          <w:szCs w:val="20"/>
        </w:rPr>
        <w:t>为此支付了任何费用或成本的，乙方应向甲方承担赔偿责任。</w:t>
      </w:r>
    </w:p>
    <w:p>
      <w:pPr>
        <w:snapToGrid w:val="0"/>
        <w:spacing w:line="360" w:lineRule="auto"/>
        <w:ind w:left="2" w:firstLine="564" w:firstLineChars="235"/>
        <w:rPr>
          <w:rFonts w:ascii="宋体" w:hAnsi="宋体"/>
          <w:sz w:val="24"/>
          <w:szCs w:val="20"/>
        </w:rPr>
      </w:pPr>
      <w:r>
        <w:rPr>
          <w:rFonts w:hint="eastAsia" w:ascii="宋体" w:hAnsi="宋体"/>
          <w:sz w:val="24"/>
          <w:szCs w:val="20"/>
        </w:rPr>
        <w:t>2.乙方有权了解派驻人员在双方合作期间的工作内容及表现；</w:t>
      </w:r>
    </w:p>
    <w:p>
      <w:pPr>
        <w:snapToGrid w:val="0"/>
        <w:spacing w:line="360" w:lineRule="auto"/>
        <w:ind w:left="2" w:firstLine="564" w:firstLineChars="235"/>
        <w:rPr>
          <w:rFonts w:ascii="宋体" w:hAnsi="宋体"/>
          <w:sz w:val="24"/>
          <w:szCs w:val="20"/>
        </w:rPr>
      </w:pPr>
      <w:r>
        <w:rPr>
          <w:rFonts w:hint="eastAsia" w:ascii="宋体" w:hAnsi="宋体"/>
          <w:sz w:val="24"/>
          <w:szCs w:val="20"/>
        </w:rPr>
        <w:t>3.乙方有权在合作项目出现异常时与甲方协商，达成一致意见后，有权对派驻人员进行调配；</w:t>
      </w:r>
    </w:p>
    <w:p>
      <w:pPr>
        <w:snapToGrid w:val="0"/>
        <w:spacing w:line="360" w:lineRule="auto"/>
        <w:ind w:left="2" w:firstLine="564" w:firstLineChars="235"/>
        <w:rPr>
          <w:rFonts w:ascii="宋体" w:hAnsi="宋体"/>
          <w:sz w:val="24"/>
          <w:szCs w:val="20"/>
        </w:rPr>
      </w:pPr>
      <w:r>
        <w:rPr>
          <w:rFonts w:hint="eastAsia" w:ascii="宋体" w:hAnsi="宋体"/>
          <w:sz w:val="24"/>
          <w:szCs w:val="20"/>
        </w:rPr>
        <w:t>4.乙方派驻的人员不符合甲方用工需求，在更换人员过程中由于交接产生的损失由乙方承担；</w:t>
      </w:r>
    </w:p>
    <w:p>
      <w:pPr>
        <w:snapToGrid w:val="0"/>
        <w:spacing w:line="360" w:lineRule="auto"/>
        <w:ind w:left="2" w:firstLine="564" w:firstLineChars="235"/>
        <w:rPr>
          <w:rFonts w:ascii="宋体" w:hAnsi="宋体"/>
          <w:sz w:val="24"/>
          <w:szCs w:val="20"/>
        </w:rPr>
      </w:pPr>
      <w:r>
        <w:rPr>
          <w:rFonts w:ascii="宋体" w:hAnsi="宋体"/>
          <w:sz w:val="24"/>
          <w:szCs w:val="20"/>
        </w:rPr>
        <w:t>5</w:t>
      </w:r>
      <w:r>
        <w:rPr>
          <w:rFonts w:hint="eastAsia" w:ascii="宋体" w:hAnsi="宋体"/>
          <w:sz w:val="24"/>
          <w:szCs w:val="20"/>
        </w:rPr>
        <w:t>.乙方有责任保证派驻人员的技术水平符合甲方要求；</w:t>
      </w:r>
    </w:p>
    <w:p>
      <w:pPr>
        <w:snapToGrid w:val="0"/>
        <w:spacing w:line="360" w:lineRule="auto"/>
        <w:ind w:left="2" w:firstLine="564" w:firstLineChars="235"/>
        <w:rPr>
          <w:rFonts w:ascii="宋体" w:hAnsi="宋体"/>
          <w:sz w:val="24"/>
          <w:szCs w:val="20"/>
        </w:rPr>
      </w:pPr>
      <w:r>
        <w:rPr>
          <w:rFonts w:ascii="宋体" w:hAnsi="宋体"/>
          <w:sz w:val="24"/>
          <w:szCs w:val="20"/>
        </w:rPr>
        <w:t>6</w:t>
      </w:r>
      <w:r>
        <w:rPr>
          <w:rFonts w:hint="eastAsia" w:ascii="宋体" w:hAnsi="宋体"/>
          <w:sz w:val="24"/>
          <w:szCs w:val="20"/>
        </w:rPr>
        <w:t>.乙方有责任保证派驻人员按甲方要求按时到岗；</w:t>
      </w:r>
    </w:p>
    <w:p>
      <w:pPr>
        <w:snapToGrid w:val="0"/>
        <w:spacing w:line="360" w:lineRule="auto"/>
        <w:ind w:left="2" w:firstLine="564" w:firstLineChars="235"/>
        <w:rPr>
          <w:rFonts w:ascii="宋体" w:hAnsi="宋体"/>
          <w:sz w:val="24"/>
          <w:szCs w:val="20"/>
        </w:rPr>
      </w:pPr>
      <w:r>
        <w:rPr>
          <w:rFonts w:ascii="宋体" w:hAnsi="宋体"/>
          <w:sz w:val="24"/>
          <w:szCs w:val="20"/>
        </w:rPr>
        <w:t>7</w:t>
      </w:r>
      <w:r>
        <w:rPr>
          <w:rFonts w:hint="eastAsia" w:ascii="宋体" w:hAnsi="宋体"/>
          <w:sz w:val="24"/>
          <w:szCs w:val="20"/>
        </w:rPr>
        <w:t>.乙方有责任在派驻人员进场后对其就甲方企业文化、规章制度、项目背景及工作任务进行宣贯；</w:t>
      </w:r>
    </w:p>
    <w:p>
      <w:pPr>
        <w:snapToGrid w:val="0"/>
        <w:spacing w:line="360" w:lineRule="auto"/>
        <w:ind w:left="2" w:firstLine="564" w:firstLineChars="235"/>
        <w:rPr>
          <w:rFonts w:ascii="宋体" w:hAnsi="宋体"/>
          <w:sz w:val="24"/>
          <w:szCs w:val="20"/>
        </w:rPr>
      </w:pPr>
      <w:r>
        <w:rPr>
          <w:rFonts w:ascii="宋体" w:hAnsi="宋体"/>
          <w:sz w:val="24"/>
          <w:szCs w:val="20"/>
        </w:rPr>
        <w:t>8</w:t>
      </w:r>
      <w:r>
        <w:rPr>
          <w:rFonts w:hint="eastAsia" w:ascii="宋体" w:hAnsi="宋体"/>
          <w:sz w:val="24"/>
          <w:szCs w:val="20"/>
        </w:rPr>
        <w:t>.乙方派驻人员应遵守甲方及项目客户方的工作场所安全规定；</w:t>
      </w:r>
    </w:p>
    <w:p>
      <w:pPr>
        <w:snapToGrid w:val="0"/>
        <w:spacing w:line="360" w:lineRule="auto"/>
        <w:ind w:left="2" w:firstLine="564" w:firstLineChars="235"/>
        <w:rPr>
          <w:rFonts w:ascii="宋体" w:hAnsi="宋体"/>
          <w:sz w:val="24"/>
          <w:szCs w:val="20"/>
        </w:rPr>
      </w:pPr>
      <w:r>
        <w:rPr>
          <w:rFonts w:ascii="宋体" w:hAnsi="宋体"/>
          <w:sz w:val="24"/>
          <w:szCs w:val="20"/>
        </w:rPr>
        <w:t>9</w:t>
      </w:r>
      <w:r>
        <w:rPr>
          <w:rFonts w:hint="eastAsia" w:ascii="宋体" w:hAnsi="宋体"/>
          <w:sz w:val="24"/>
          <w:szCs w:val="20"/>
        </w:rPr>
        <w:t>.乙方有责任保证派驻人员在服务期间遵守甲方及其服务客户的各项管理制度；</w:t>
      </w:r>
    </w:p>
    <w:p>
      <w:pPr>
        <w:snapToGrid w:val="0"/>
        <w:spacing w:line="360" w:lineRule="auto"/>
        <w:ind w:left="2" w:firstLine="564" w:firstLineChars="235"/>
        <w:rPr>
          <w:rFonts w:ascii="宋体" w:hAnsi="宋体"/>
          <w:sz w:val="24"/>
          <w:szCs w:val="20"/>
        </w:rPr>
      </w:pPr>
      <w:r>
        <w:rPr>
          <w:rFonts w:ascii="宋体" w:hAnsi="宋体"/>
          <w:sz w:val="24"/>
          <w:szCs w:val="20"/>
        </w:rPr>
        <w:t>10</w:t>
      </w:r>
      <w:r>
        <w:rPr>
          <w:rFonts w:hint="eastAsia" w:ascii="宋体" w:hAnsi="宋体"/>
          <w:sz w:val="24"/>
          <w:szCs w:val="20"/>
        </w:rPr>
        <w:t>.乙方和其派驻人员应按要求签署《保密协议》以及安全承诺书，并承担保密责任；</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1</w:t>
      </w:r>
      <w:r>
        <w:rPr>
          <w:rFonts w:hint="eastAsia" w:ascii="宋体" w:hAnsi="宋体"/>
          <w:sz w:val="24"/>
          <w:szCs w:val="20"/>
        </w:rPr>
        <w:t>.未经甲方书面同意，乙方不得转让本框架协议下的任何权利与义务；</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2</w:t>
      </w:r>
      <w:r>
        <w:rPr>
          <w:rFonts w:hint="eastAsia" w:ascii="宋体" w:hAnsi="宋体"/>
          <w:sz w:val="24"/>
          <w:szCs w:val="20"/>
        </w:rPr>
        <w:t>.未经甲方同意，乙方不得更换或撤回派驻人员，也不得指派其进行与协议和项目合同无关的其它活动；</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3</w:t>
      </w:r>
      <w:r>
        <w:rPr>
          <w:rFonts w:hint="eastAsia" w:ascii="宋体" w:hAnsi="宋体"/>
          <w:sz w:val="24"/>
          <w:szCs w:val="20"/>
        </w:rPr>
        <w:t>.乙方需指定一名联络负责人，与甲方进行工作协调，协助甲方对项目团队进行管理；</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4</w:t>
      </w:r>
      <w:r>
        <w:rPr>
          <w:rFonts w:hint="eastAsia" w:ascii="宋体" w:hAnsi="宋体"/>
          <w:sz w:val="24"/>
          <w:szCs w:val="20"/>
        </w:rPr>
        <w:t>.由于乙方人员工作失职，造成甲方经济损失、名誉损失，应由乙方承担一切责任。</w:t>
      </w:r>
    </w:p>
    <w:p>
      <w:pPr>
        <w:widowControl/>
        <w:numPr>
          <w:ilvl w:val="0"/>
          <w:numId w:val="1"/>
        </w:numPr>
        <w:spacing w:line="360" w:lineRule="auto"/>
        <w:jc w:val="left"/>
        <w:rPr>
          <w:rFonts w:hAnsi="宋体" w:cs="宋体"/>
          <w:b/>
          <w:sz w:val="24"/>
        </w:rPr>
      </w:pPr>
      <w:r>
        <w:rPr>
          <w:rFonts w:hint="eastAsia" w:hAnsi="宋体" w:cs="宋体"/>
          <w:b/>
          <w:sz w:val="24"/>
        </w:rPr>
        <w:t>知识产权</w:t>
      </w:r>
    </w:p>
    <w:p>
      <w:pPr>
        <w:snapToGrid w:val="0"/>
        <w:spacing w:line="360" w:lineRule="auto"/>
        <w:ind w:left="2" w:firstLine="564" w:firstLineChars="235"/>
        <w:rPr>
          <w:rFonts w:ascii="宋体" w:hAnsi="宋体"/>
          <w:sz w:val="24"/>
          <w:szCs w:val="20"/>
        </w:rPr>
      </w:pPr>
      <w:r>
        <w:rPr>
          <w:rFonts w:hint="eastAsia" w:ascii="宋体" w:hAnsi="宋体"/>
          <w:sz w:val="24"/>
          <w:szCs w:val="20"/>
        </w:rPr>
        <w:t>1.本框架协议和项目合同履行过程中基于参加甲方项目而新开发的任何成果，其知识产权全部归甲方所有。未经甲方同意，乙方不得公开发表、使用或向任何第三方提供上述工作成果；乙方</w:t>
      </w:r>
      <w:r>
        <w:rPr>
          <w:rFonts w:ascii="宋体" w:hAnsi="宋体"/>
          <w:sz w:val="24"/>
          <w:szCs w:val="20"/>
        </w:rPr>
        <w:t>保证其</w:t>
      </w:r>
      <w:r>
        <w:rPr>
          <w:rFonts w:hint="eastAsia" w:ascii="宋体" w:hAnsi="宋体"/>
          <w:sz w:val="24"/>
          <w:szCs w:val="20"/>
        </w:rPr>
        <w:t>派驻人员受</w:t>
      </w:r>
      <w:r>
        <w:rPr>
          <w:rFonts w:ascii="宋体" w:hAnsi="宋体"/>
          <w:sz w:val="24"/>
          <w:szCs w:val="20"/>
        </w:rPr>
        <w:t>本条款约束。</w:t>
      </w:r>
    </w:p>
    <w:p>
      <w:pPr>
        <w:snapToGrid w:val="0"/>
        <w:spacing w:line="360" w:lineRule="auto"/>
        <w:ind w:left="2" w:firstLine="564" w:firstLineChars="235"/>
        <w:rPr>
          <w:rFonts w:ascii="宋体" w:hAnsi="宋体"/>
          <w:sz w:val="24"/>
          <w:szCs w:val="20"/>
        </w:rPr>
      </w:pPr>
      <w:r>
        <w:rPr>
          <w:rFonts w:hint="eastAsia" w:ascii="宋体" w:hAnsi="宋体"/>
          <w:sz w:val="24"/>
          <w:szCs w:val="20"/>
        </w:rPr>
        <w:t>2.乙方提交的工作成果不应存在任何权利瑕疵，乙方应保证甲方免于遭受因第三方提起侵权索赔所产生的任何损失。任何第三方向甲方提起侵权索赔，乙方应负责与之进行交涉，并承担由此引起的一切责任。</w:t>
      </w:r>
    </w:p>
    <w:p>
      <w:pPr>
        <w:widowControl/>
        <w:numPr>
          <w:ilvl w:val="0"/>
          <w:numId w:val="1"/>
        </w:numPr>
        <w:spacing w:line="360" w:lineRule="auto"/>
        <w:jc w:val="left"/>
        <w:rPr>
          <w:rFonts w:hAnsi="宋体" w:cs="宋体"/>
          <w:b/>
          <w:sz w:val="24"/>
        </w:rPr>
      </w:pPr>
      <w:r>
        <w:rPr>
          <w:rFonts w:hint="eastAsia" w:hAnsi="宋体" w:cs="宋体"/>
          <w:b/>
          <w:sz w:val="24"/>
        </w:rPr>
        <w:t>违约责任</w:t>
      </w:r>
    </w:p>
    <w:p>
      <w:pPr>
        <w:numPr>
          <w:ilvl w:val="0"/>
          <w:numId w:val="4"/>
        </w:numPr>
        <w:snapToGrid w:val="0"/>
        <w:spacing w:line="360" w:lineRule="auto"/>
        <w:ind w:left="2" w:firstLine="564" w:firstLineChars="235"/>
        <w:rPr>
          <w:rFonts w:ascii="宋体" w:hAnsi="宋体"/>
          <w:sz w:val="24"/>
          <w:szCs w:val="20"/>
        </w:rPr>
      </w:pPr>
      <w:r>
        <w:rPr>
          <w:rFonts w:hint="eastAsia" w:ascii="宋体" w:hAnsi="宋体"/>
          <w:sz w:val="24"/>
          <w:szCs w:val="20"/>
        </w:rPr>
        <w:t>若乙方未按约定期间安排人员面试，甲方有权要求其承担违约金，迟延超过5个工作日，甲方有权解除合同并要求乙方承担相应赔偿责任；</w:t>
      </w:r>
    </w:p>
    <w:p>
      <w:pPr>
        <w:numPr>
          <w:ilvl w:val="0"/>
          <w:numId w:val="4"/>
        </w:numPr>
        <w:snapToGrid w:val="0"/>
        <w:spacing w:line="360" w:lineRule="auto"/>
        <w:ind w:left="2" w:firstLine="564" w:firstLineChars="235"/>
        <w:rPr>
          <w:rFonts w:ascii="宋体" w:hAnsi="宋体"/>
          <w:sz w:val="24"/>
          <w:szCs w:val="20"/>
        </w:rPr>
      </w:pPr>
      <w:r>
        <w:rPr>
          <w:rFonts w:hint="eastAsia" w:ascii="宋体" w:hAnsi="宋体"/>
          <w:sz w:val="24"/>
          <w:szCs w:val="20"/>
        </w:rPr>
        <w:t>若乙方安排的人员无法满足甲方的用人需求，甲方有权解除本合同并要求乙方承担相应的损失；</w:t>
      </w:r>
    </w:p>
    <w:p>
      <w:pPr>
        <w:snapToGrid w:val="0"/>
        <w:spacing w:line="360" w:lineRule="auto"/>
        <w:ind w:left="2" w:firstLine="564" w:firstLineChars="235"/>
        <w:rPr>
          <w:rFonts w:ascii="宋体" w:hAnsi="宋体"/>
          <w:sz w:val="24"/>
          <w:szCs w:val="20"/>
        </w:rPr>
      </w:pPr>
      <w:r>
        <w:rPr>
          <w:rFonts w:hint="eastAsia" w:ascii="宋体" w:hAnsi="宋体"/>
          <w:sz w:val="24"/>
          <w:szCs w:val="20"/>
        </w:rPr>
        <w:t>3.乙方未经甲方书面同意擅自分包或转包本协议下的服务，甲方有权解除本合同并拒绝支付服务费用；</w:t>
      </w:r>
    </w:p>
    <w:p>
      <w:pPr>
        <w:snapToGrid w:val="0"/>
        <w:spacing w:line="360" w:lineRule="auto"/>
        <w:ind w:left="2" w:firstLine="564" w:firstLineChars="235"/>
        <w:rPr>
          <w:rFonts w:ascii="宋体" w:hAnsi="宋体"/>
          <w:sz w:val="24"/>
          <w:szCs w:val="20"/>
        </w:rPr>
      </w:pPr>
      <w:r>
        <w:rPr>
          <w:rFonts w:hint="eastAsia" w:ascii="宋体" w:hAnsi="宋体"/>
          <w:sz w:val="24"/>
          <w:szCs w:val="20"/>
        </w:rPr>
        <w:t>4.因乙方原因造成甲方设备损坏的，乙方应进行修理、更换，相应费用由乙方承担并赔偿甲方因此遭受的损失；</w:t>
      </w:r>
    </w:p>
    <w:p>
      <w:pPr>
        <w:snapToGrid w:val="0"/>
        <w:spacing w:line="360" w:lineRule="auto"/>
        <w:ind w:left="2" w:firstLine="564" w:firstLineChars="235"/>
        <w:rPr>
          <w:rFonts w:ascii="宋体" w:hAnsi="宋体"/>
          <w:sz w:val="24"/>
          <w:szCs w:val="20"/>
        </w:rPr>
      </w:pPr>
      <w:r>
        <w:rPr>
          <w:rFonts w:hint="eastAsia" w:ascii="宋体" w:hAnsi="宋体"/>
          <w:sz w:val="24"/>
          <w:szCs w:val="20"/>
        </w:rPr>
        <w:t>5．在本合同所约定的工作范围内，因乙方原因导致的甲方遭受的其他损失，由乙方承担经济责任；</w:t>
      </w:r>
    </w:p>
    <w:p>
      <w:pPr>
        <w:snapToGrid w:val="0"/>
        <w:spacing w:line="360" w:lineRule="auto"/>
        <w:ind w:left="2" w:firstLine="564" w:firstLineChars="235"/>
        <w:rPr>
          <w:rFonts w:ascii="宋体" w:hAnsi="宋体"/>
          <w:sz w:val="24"/>
          <w:szCs w:val="20"/>
        </w:rPr>
      </w:pPr>
      <w:r>
        <w:rPr>
          <w:rFonts w:hint="eastAsia" w:ascii="宋体" w:hAnsi="宋体"/>
          <w:sz w:val="24"/>
          <w:szCs w:val="20"/>
        </w:rPr>
        <w:t>6.按上述约定支付违约金并不减免乙方继续履行本协议的义务；</w:t>
      </w:r>
    </w:p>
    <w:p>
      <w:pPr>
        <w:snapToGrid w:val="0"/>
        <w:spacing w:line="360" w:lineRule="auto"/>
        <w:ind w:left="2" w:firstLine="564" w:firstLineChars="235"/>
        <w:rPr>
          <w:rFonts w:ascii="宋体" w:hAnsi="宋体"/>
          <w:sz w:val="24"/>
          <w:szCs w:val="20"/>
        </w:rPr>
      </w:pPr>
      <w:r>
        <w:rPr>
          <w:rFonts w:hint="eastAsia" w:ascii="宋体" w:hAnsi="宋体"/>
          <w:sz w:val="24"/>
          <w:szCs w:val="20"/>
        </w:rPr>
        <w:t>7.本合同所约定的知识产权，保密协议长期有效，不因本合同终止而终止。</w:t>
      </w:r>
    </w:p>
    <w:p>
      <w:pPr>
        <w:snapToGrid w:val="0"/>
        <w:spacing w:line="360" w:lineRule="auto"/>
        <w:ind w:left="2" w:firstLine="564" w:firstLineChars="235"/>
        <w:rPr>
          <w:rFonts w:ascii="宋体" w:hAnsi="宋体"/>
          <w:sz w:val="24"/>
          <w:szCs w:val="20"/>
        </w:rPr>
      </w:pPr>
      <w:r>
        <w:rPr>
          <w:rFonts w:hint="eastAsia" w:ascii="宋体" w:hAnsi="宋体"/>
          <w:sz w:val="24"/>
          <w:szCs w:val="20"/>
        </w:rPr>
        <w:t>8.乙方</w:t>
      </w:r>
      <w:r>
        <w:rPr>
          <w:rFonts w:ascii="宋体" w:hAnsi="宋体"/>
          <w:sz w:val="24"/>
          <w:szCs w:val="20"/>
        </w:rPr>
        <w:t>保证其具有向乙方提供人员服务的资质和能力，否则</w:t>
      </w:r>
      <w:r>
        <w:rPr>
          <w:rFonts w:hint="eastAsia" w:ascii="宋体" w:hAnsi="宋体"/>
          <w:sz w:val="24"/>
          <w:szCs w:val="20"/>
        </w:rPr>
        <w:t>甲方有权解除合同并要求乙方承担相应赔偿责任。</w:t>
      </w:r>
    </w:p>
    <w:p>
      <w:pPr>
        <w:widowControl/>
        <w:numPr>
          <w:ilvl w:val="0"/>
          <w:numId w:val="1"/>
        </w:numPr>
        <w:spacing w:line="360" w:lineRule="auto"/>
        <w:jc w:val="left"/>
        <w:rPr>
          <w:rFonts w:hAnsi="宋体" w:cs="宋体"/>
          <w:b/>
          <w:sz w:val="24"/>
        </w:rPr>
      </w:pPr>
      <w:r>
        <w:rPr>
          <w:rFonts w:hint="eastAsia" w:hAnsi="宋体" w:cs="宋体"/>
          <w:b/>
          <w:sz w:val="24"/>
        </w:rPr>
        <w:t>不可抗力</w:t>
      </w:r>
    </w:p>
    <w:p>
      <w:pPr>
        <w:snapToGrid w:val="0"/>
        <w:spacing w:line="360" w:lineRule="auto"/>
        <w:ind w:left="2" w:firstLine="564" w:firstLineChars="235"/>
        <w:rPr>
          <w:rFonts w:ascii="宋体" w:hAnsi="宋体"/>
          <w:sz w:val="24"/>
          <w:szCs w:val="20"/>
        </w:rPr>
      </w:pPr>
      <w:r>
        <w:rPr>
          <w:rFonts w:hint="eastAsia" w:ascii="宋体" w:hAnsi="宋体"/>
          <w:sz w:val="24"/>
          <w:szCs w:val="20"/>
        </w:rPr>
        <w:t>1．本协议中不可抗力是指不能预见、不能避免且不能克服的客观情况，包括但不限于自然灾害、战争、武装冲突、社会动乱、暴乱或按照本条的定义构成不可抗力的其他事件；</w:t>
      </w:r>
    </w:p>
    <w:p>
      <w:pPr>
        <w:snapToGrid w:val="0"/>
        <w:spacing w:line="360" w:lineRule="auto"/>
        <w:ind w:left="2" w:firstLine="564" w:firstLineChars="235"/>
        <w:rPr>
          <w:rFonts w:ascii="宋体" w:hAnsi="宋体"/>
          <w:sz w:val="24"/>
          <w:szCs w:val="20"/>
        </w:rPr>
      </w:pPr>
      <w:r>
        <w:rPr>
          <w:rFonts w:hint="eastAsia" w:ascii="宋体" w:hAnsi="宋体"/>
          <w:sz w:val="24"/>
          <w:szCs w:val="20"/>
        </w:rPr>
        <w:t>2.任何一方由于不可抗力而影响合同义务履行时，可根据不可抗力的影响程度和范围延迟或免除履行部分或全部协议义务。但是受不可抗力影响的一方应尽量减小不可抗力引起的不利影响，并在不可抗力影响消除后，立即通知对方。任何一方不得因不可抗力造成的影响而要求调整协议价格；</w:t>
      </w:r>
    </w:p>
    <w:p>
      <w:pPr>
        <w:snapToGrid w:val="0"/>
        <w:spacing w:line="360" w:lineRule="auto"/>
        <w:ind w:left="2" w:firstLine="564" w:firstLineChars="235"/>
        <w:rPr>
          <w:rFonts w:ascii="宋体" w:hAnsi="宋体"/>
          <w:sz w:val="24"/>
          <w:szCs w:val="20"/>
        </w:rPr>
      </w:pPr>
      <w:r>
        <w:rPr>
          <w:rFonts w:hint="eastAsia" w:ascii="宋体" w:hAnsi="宋体"/>
          <w:sz w:val="24"/>
          <w:szCs w:val="20"/>
        </w:rPr>
        <w:t>3.受到不可抗力影响的一方应在不可抗力事件发生后2周内，取得有关部门关于发生不可抗力事件的证明文件，并以传真等书面形式提交另一方确认。否则，无权以不可抗力为由要求减轻或免除协议责任；</w:t>
      </w:r>
    </w:p>
    <w:p>
      <w:pPr>
        <w:widowControl/>
        <w:numPr>
          <w:ilvl w:val="0"/>
          <w:numId w:val="1"/>
        </w:numPr>
        <w:spacing w:line="360" w:lineRule="auto"/>
        <w:jc w:val="left"/>
        <w:rPr>
          <w:rFonts w:hAnsi="宋体" w:cs="宋体"/>
          <w:b/>
          <w:sz w:val="24"/>
        </w:rPr>
      </w:pPr>
      <w:r>
        <w:rPr>
          <w:rFonts w:hint="eastAsia" w:ascii="宋体" w:hAnsi="宋体"/>
          <w:sz w:val="24"/>
          <w:szCs w:val="20"/>
        </w:rPr>
        <w:t xml:space="preserve"> </w:t>
      </w:r>
      <w:r>
        <w:rPr>
          <w:rFonts w:hint="eastAsia" w:hAnsi="宋体" w:cs="宋体"/>
          <w:b/>
          <w:sz w:val="24"/>
        </w:rPr>
        <w:t>协议的修改、变更和解除</w:t>
      </w:r>
    </w:p>
    <w:p>
      <w:pPr>
        <w:snapToGrid w:val="0"/>
        <w:spacing w:line="360" w:lineRule="auto"/>
        <w:ind w:left="2" w:firstLine="564" w:firstLineChars="235"/>
        <w:rPr>
          <w:rFonts w:ascii="宋体" w:hAnsi="宋体"/>
          <w:sz w:val="24"/>
          <w:szCs w:val="20"/>
        </w:rPr>
      </w:pPr>
      <w:r>
        <w:rPr>
          <w:rFonts w:hint="eastAsia" w:ascii="宋体" w:hAnsi="宋体"/>
          <w:sz w:val="24"/>
          <w:szCs w:val="20"/>
        </w:rPr>
        <w:t>1.本协议一经生效，任何一方不得擅自对本协议的内容（包括附件）作任何单方修改。但任何一方均可以对本协议内容以书面形式提出变更、修改、取消或补充的建议，该建议经双方书面同意并经双方法定代表人或授权代表签字且加盖双方公章或合同专用章后生效；</w:t>
      </w:r>
    </w:p>
    <w:p>
      <w:pPr>
        <w:widowControl/>
        <w:numPr>
          <w:ilvl w:val="0"/>
          <w:numId w:val="1"/>
        </w:numPr>
        <w:spacing w:line="360" w:lineRule="auto"/>
        <w:jc w:val="left"/>
        <w:rPr>
          <w:rFonts w:hAnsi="宋体" w:cs="宋体"/>
          <w:b/>
          <w:sz w:val="24"/>
        </w:rPr>
      </w:pPr>
      <w:r>
        <w:rPr>
          <w:rFonts w:hint="eastAsia" w:ascii="宋体" w:hAnsi="宋体"/>
          <w:sz w:val="24"/>
          <w:szCs w:val="20"/>
        </w:rPr>
        <w:t xml:space="preserve"> </w:t>
      </w:r>
      <w:r>
        <w:rPr>
          <w:rFonts w:hint="eastAsia" w:hAnsi="宋体" w:cs="宋体"/>
          <w:b/>
          <w:sz w:val="24"/>
        </w:rPr>
        <w:t>争议解决与适用法律</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争议解决</w:t>
      </w:r>
    </w:p>
    <w:p>
      <w:pPr>
        <w:snapToGrid w:val="0"/>
        <w:spacing w:line="360" w:lineRule="auto"/>
        <w:ind w:left="2" w:firstLine="564" w:firstLineChars="235"/>
        <w:rPr>
          <w:rFonts w:ascii="宋体" w:hAnsi="宋体"/>
          <w:sz w:val="24"/>
          <w:szCs w:val="20"/>
        </w:rPr>
      </w:pPr>
      <w:r>
        <w:rPr>
          <w:rFonts w:hint="eastAsia" w:ascii="宋体" w:hAnsi="宋体"/>
          <w:sz w:val="24"/>
          <w:szCs w:val="20"/>
        </w:rPr>
        <w:t>双方发生争议时，应本着诚实信用原则，通过友好协商解决。若争议经协商仍无法解决的，应向甲方所在地人民法院提起诉讼；诉讼费</w:t>
      </w:r>
      <w:r>
        <w:rPr>
          <w:rFonts w:ascii="宋体" w:hAnsi="宋体"/>
          <w:sz w:val="24"/>
          <w:szCs w:val="20"/>
        </w:rPr>
        <w:t>和律师费由败诉方承担。</w:t>
      </w:r>
    </w:p>
    <w:p>
      <w:pPr>
        <w:snapToGrid w:val="0"/>
        <w:spacing w:line="360" w:lineRule="auto"/>
        <w:ind w:left="2" w:firstLine="564" w:firstLineChars="235"/>
        <w:rPr>
          <w:rFonts w:ascii="宋体" w:hAnsi="宋体"/>
          <w:sz w:val="24"/>
          <w:szCs w:val="20"/>
        </w:rPr>
      </w:pPr>
      <w:r>
        <w:rPr>
          <w:rFonts w:hint="eastAsia" w:ascii="宋体" w:hAnsi="宋体"/>
          <w:sz w:val="24"/>
          <w:szCs w:val="20"/>
        </w:rPr>
        <w:t>2.在争议解决期间，协议中未涉及争议部分的条款仍须履行；</w:t>
      </w:r>
    </w:p>
    <w:p>
      <w:pPr>
        <w:snapToGrid w:val="0"/>
        <w:spacing w:line="360" w:lineRule="auto"/>
        <w:ind w:left="2" w:firstLine="564" w:firstLineChars="235"/>
        <w:rPr>
          <w:rFonts w:ascii="宋体" w:hAnsi="宋体"/>
          <w:sz w:val="24"/>
          <w:szCs w:val="20"/>
        </w:rPr>
      </w:pPr>
      <w:r>
        <w:rPr>
          <w:rFonts w:hint="eastAsia" w:ascii="宋体" w:hAnsi="宋体"/>
          <w:sz w:val="24"/>
          <w:szCs w:val="20"/>
        </w:rPr>
        <w:t>3.本协议的订立、执行和解释及争议的解决均应适用中国法律。</w:t>
      </w:r>
    </w:p>
    <w:p>
      <w:pPr>
        <w:widowControl/>
        <w:numPr>
          <w:ilvl w:val="0"/>
          <w:numId w:val="1"/>
        </w:numPr>
        <w:spacing w:line="360" w:lineRule="auto"/>
        <w:jc w:val="left"/>
        <w:rPr>
          <w:rFonts w:hAnsi="宋体" w:cs="宋体"/>
          <w:b/>
          <w:sz w:val="24"/>
        </w:rPr>
      </w:pPr>
      <w:r>
        <w:rPr>
          <w:rFonts w:hint="eastAsia" w:hAnsi="宋体" w:cs="宋体"/>
          <w:b/>
          <w:sz w:val="24"/>
        </w:rPr>
        <w:t>协议生效</w:t>
      </w:r>
    </w:p>
    <w:p>
      <w:pPr>
        <w:snapToGrid w:val="0"/>
        <w:spacing w:line="360" w:lineRule="auto"/>
        <w:ind w:left="2" w:firstLine="564" w:firstLineChars="235"/>
        <w:rPr>
          <w:rFonts w:ascii="宋体" w:hAnsi="宋体"/>
          <w:sz w:val="24"/>
          <w:szCs w:val="20"/>
        </w:rPr>
      </w:pPr>
      <w:r>
        <w:rPr>
          <w:rFonts w:hint="eastAsia" w:ascii="宋体" w:hAnsi="宋体"/>
          <w:sz w:val="24"/>
          <w:szCs w:val="20"/>
        </w:rPr>
        <w:t>1.本协议在以下条件全部满足之日生效：</w:t>
      </w:r>
    </w:p>
    <w:p>
      <w:pPr>
        <w:snapToGrid w:val="0"/>
        <w:spacing w:line="360" w:lineRule="auto"/>
        <w:ind w:left="2" w:firstLine="564" w:firstLineChars="235"/>
        <w:rPr>
          <w:rFonts w:ascii="宋体" w:hAnsi="宋体"/>
          <w:sz w:val="24"/>
          <w:szCs w:val="20"/>
        </w:rPr>
      </w:pPr>
      <w:r>
        <w:rPr>
          <w:rFonts w:ascii="宋体" w:hAnsi="宋体"/>
          <w:sz w:val="24"/>
          <w:szCs w:val="20"/>
        </w:rPr>
        <w:t>协议书经双方法定代表人（负责人）或其授权</w:t>
      </w:r>
      <w:r>
        <w:rPr>
          <w:rFonts w:hint="eastAsia" w:ascii="宋体" w:hAnsi="宋体"/>
          <w:sz w:val="24"/>
          <w:szCs w:val="20"/>
        </w:rPr>
        <w:t>代表签字并加盖双方公章或合同专用章起生效。</w:t>
      </w:r>
    </w:p>
    <w:p>
      <w:pPr>
        <w:snapToGrid w:val="0"/>
        <w:spacing w:line="360" w:lineRule="auto"/>
        <w:ind w:left="2" w:firstLine="564" w:firstLineChars="235"/>
        <w:rPr>
          <w:rFonts w:ascii="宋体" w:hAnsi="宋体"/>
          <w:sz w:val="24"/>
          <w:szCs w:val="20"/>
        </w:rPr>
      </w:pPr>
      <w:r>
        <w:rPr>
          <w:rFonts w:hint="eastAsia" w:ascii="宋体" w:hAnsi="宋体"/>
          <w:sz w:val="24"/>
          <w:szCs w:val="20"/>
        </w:rPr>
        <w:t>2.</w:t>
      </w:r>
      <w:bookmarkStart w:id="3" w:name="_Toc252875169"/>
      <w:bookmarkStart w:id="4" w:name="_Toc248290397"/>
      <w:r>
        <w:rPr>
          <w:rFonts w:hint="eastAsia" w:ascii="宋体" w:hAnsi="宋体"/>
          <w:sz w:val="24"/>
          <w:szCs w:val="20"/>
        </w:rPr>
        <w:t>本协议一式</w:t>
      </w:r>
      <w:r>
        <w:rPr>
          <w:rFonts w:hint="eastAsia" w:ascii="宋体" w:hAnsi="宋体"/>
          <w:sz w:val="24"/>
          <w:szCs w:val="20"/>
          <w:u w:val="single"/>
        </w:rPr>
        <w:t>肆</w:t>
      </w:r>
      <w:r>
        <w:rPr>
          <w:rFonts w:hint="eastAsia" w:ascii="宋体" w:hAnsi="宋体"/>
          <w:sz w:val="24"/>
          <w:szCs w:val="20"/>
        </w:rPr>
        <w:t>份，甲方持</w:t>
      </w:r>
      <w:r>
        <w:rPr>
          <w:rFonts w:hint="eastAsia" w:ascii="宋体" w:hAnsi="宋体"/>
          <w:sz w:val="24"/>
          <w:szCs w:val="20"/>
          <w:u w:val="single"/>
        </w:rPr>
        <w:t>贰</w:t>
      </w:r>
      <w:r>
        <w:rPr>
          <w:rFonts w:hint="eastAsia" w:ascii="宋体" w:hAnsi="宋体"/>
          <w:sz w:val="24"/>
          <w:szCs w:val="20"/>
        </w:rPr>
        <w:t>份，乙方持</w:t>
      </w:r>
      <w:r>
        <w:rPr>
          <w:rFonts w:hint="eastAsia" w:ascii="宋体" w:hAnsi="宋体"/>
          <w:sz w:val="24"/>
          <w:szCs w:val="20"/>
          <w:u w:val="single"/>
        </w:rPr>
        <w:t>贰</w:t>
      </w:r>
      <w:r>
        <w:rPr>
          <w:rFonts w:hint="eastAsia" w:ascii="宋体" w:hAnsi="宋体"/>
          <w:sz w:val="24"/>
          <w:szCs w:val="20"/>
        </w:rPr>
        <w:t>份，每份具有同等法律效力。</w:t>
      </w:r>
      <w:bookmarkEnd w:id="3"/>
      <w:bookmarkEnd w:id="4"/>
    </w:p>
    <w:p>
      <w:pPr>
        <w:rPr>
          <w:rFonts w:ascii="宋体" w:hAnsi="宋体"/>
          <w:kern w:val="0"/>
          <w:sz w:val="24"/>
        </w:rPr>
      </w:pPr>
      <w:bookmarkStart w:id="5" w:name="_Toc331669262"/>
    </w:p>
    <w:p>
      <w:pPr>
        <w:rPr>
          <w:rFonts w:ascii="宋体" w:hAnsi="宋体"/>
          <w:kern w:val="0"/>
          <w:sz w:val="24"/>
        </w:rPr>
      </w:pPr>
      <w:r>
        <w:rPr>
          <w:rFonts w:hint="eastAsia" w:ascii="宋体" w:hAnsi="宋体"/>
          <w:kern w:val="0"/>
          <w:sz w:val="24"/>
        </w:rPr>
        <w:t>附件1：技术服务人员</w:t>
      </w:r>
      <w:r>
        <w:rPr>
          <w:rFonts w:hint="eastAsia" w:ascii="宋体" w:hAnsi="Calibri" w:cs="宋体"/>
          <w:kern w:val="0"/>
          <w:sz w:val="24"/>
        </w:rPr>
        <w:t>招聘需求表</w:t>
      </w:r>
    </w:p>
    <w:p>
      <w:pPr>
        <w:rPr>
          <w:rFonts w:ascii="宋体" w:hAnsi="宋体"/>
          <w:kern w:val="0"/>
          <w:sz w:val="24"/>
        </w:rPr>
      </w:pPr>
      <w:r>
        <w:rPr>
          <w:rFonts w:hint="eastAsia" w:ascii="宋体" w:hAnsi="宋体"/>
          <w:kern w:val="0"/>
          <w:sz w:val="24"/>
        </w:rPr>
        <w:t>附件2：</w:t>
      </w:r>
      <w:r>
        <w:rPr>
          <w:rFonts w:hint="eastAsia" w:ascii="宋体" w:hAnsi="Calibri" w:cs="宋体"/>
          <w:kern w:val="0"/>
          <w:sz w:val="24"/>
        </w:rPr>
        <w:t>技术服务人员试用期评价表</w:t>
      </w:r>
    </w:p>
    <w:p>
      <w:pPr>
        <w:rPr>
          <w:rFonts w:ascii="宋体" w:hAnsi="宋体"/>
          <w:kern w:val="0"/>
          <w:sz w:val="24"/>
        </w:rPr>
      </w:pPr>
      <w:r>
        <w:rPr>
          <w:rFonts w:hint="eastAsia" w:ascii="宋体" w:hAnsi="宋体"/>
          <w:kern w:val="0"/>
          <w:sz w:val="24"/>
        </w:rPr>
        <w:t>附件3：</w:t>
      </w:r>
      <w:r>
        <w:rPr>
          <w:rFonts w:hint="eastAsia" w:ascii="宋体" w:hAnsi="Calibri" w:cs="宋体"/>
          <w:kern w:val="0"/>
          <w:sz w:val="24"/>
        </w:rPr>
        <w:t>补充协议</w:t>
      </w:r>
    </w:p>
    <w:p>
      <w:pPr>
        <w:rPr>
          <w:rFonts w:ascii="宋体" w:hAnsi="宋体"/>
          <w:kern w:val="0"/>
          <w:sz w:val="24"/>
        </w:rPr>
      </w:pPr>
      <w:r>
        <w:rPr>
          <w:rFonts w:hint="eastAsia" w:ascii="宋体" w:hAnsi="宋体"/>
          <w:kern w:val="0"/>
          <w:sz w:val="24"/>
        </w:rPr>
        <w:t>附件4：技术服务人员</w:t>
      </w:r>
      <w:r>
        <w:rPr>
          <w:rFonts w:hint="eastAsia" w:ascii="宋体" w:hAnsi="Calibri" w:cs="宋体"/>
          <w:kern w:val="0"/>
          <w:sz w:val="24"/>
        </w:rPr>
        <w:t>定期评价表</w:t>
      </w:r>
    </w:p>
    <w:p>
      <w:pPr>
        <w:rPr>
          <w:rFonts w:ascii="宋体" w:hAnsi="Calibri" w:cs="宋体"/>
          <w:kern w:val="0"/>
          <w:sz w:val="24"/>
        </w:rPr>
      </w:pPr>
      <w:r>
        <w:rPr>
          <w:rFonts w:hint="eastAsia" w:ascii="宋体" w:hAnsi="宋体"/>
          <w:kern w:val="0"/>
          <w:sz w:val="24"/>
        </w:rPr>
        <w:t>附件5：</w:t>
      </w:r>
      <w:r>
        <w:rPr>
          <w:rFonts w:hint="eastAsia" w:ascii="宋体" w:hAnsi="Calibri" w:cs="宋体"/>
          <w:kern w:val="0"/>
          <w:sz w:val="24"/>
        </w:rPr>
        <w:t>考勤记录表</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6：技术服务结算单</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7：离场确认单</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8：技术服务人员管理制度</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9： 保密协议</w:t>
      </w:r>
    </w:p>
    <w:p>
      <w:pPr>
        <w:rPr>
          <w:rFonts w:ascii="宋体" w:hAnsi="Calibri" w:cs="宋体"/>
          <w:kern w:val="0"/>
          <w:sz w:val="24"/>
        </w:rPr>
      </w:pPr>
      <w:r>
        <w:rPr>
          <w:rFonts w:hint="eastAsia" w:ascii="宋体" w:hAnsi="Calibri" w:cs="宋体"/>
          <w:kern w:val="0"/>
          <w:sz w:val="24"/>
        </w:rPr>
        <w:t>附件</w:t>
      </w:r>
      <w:r>
        <w:rPr>
          <w:rFonts w:ascii="宋体" w:hAnsi="Calibri" w:cs="宋体"/>
          <w:kern w:val="0"/>
          <w:sz w:val="24"/>
        </w:rPr>
        <w:t>10</w:t>
      </w:r>
      <w:r>
        <w:rPr>
          <w:rFonts w:hint="eastAsia" w:ascii="宋体" w:hAnsi="Calibri" w:cs="宋体"/>
          <w:kern w:val="0"/>
          <w:sz w:val="24"/>
        </w:rPr>
        <w:t>：乙方的营业执照复印件</w:t>
      </w:r>
    </w:p>
    <w:p>
      <w:pPr>
        <w:rPr>
          <w:rFonts w:ascii="宋体" w:hAnsi="Calibri" w:cs="宋体"/>
          <w:kern w:val="0"/>
          <w:sz w:val="24"/>
        </w:rPr>
      </w:pPr>
    </w:p>
    <w:p>
      <w:pPr>
        <w:rPr>
          <w:rFonts w:ascii="宋体" w:hAnsi="Calibri" w:cs="宋体"/>
          <w:kern w:val="0"/>
          <w:sz w:val="24"/>
        </w:rPr>
      </w:pPr>
    </w:p>
    <w:p>
      <w:pPr>
        <w:rPr>
          <w:rFonts w:hint="eastAsia" w:ascii="宋体" w:hAnsi="Calibri" w:cs="宋体"/>
          <w:kern w:val="0"/>
          <w:sz w:val="24"/>
        </w:rPr>
        <w:sectPr>
          <w:footerReference r:id="rId6" w:type="first"/>
          <w:footerReference r:id="rId5" w:type="default"/>
          <w:pgSz w:w="11906" w:h="16838"/>
          <w:pgMar w:top="1440" w:right="1797" w:bottom="1440" w:left="1797" w:header="851" w:footer="992" w:gutter="0"/>
          <w:pgNumType w:fmt="decimal" w:start="1"/>
          <w:cols w:space="720" w:num="1"/>
          <w:docGrid w:linePitch="312" w:charSpace="0"/>
        </w:sectPr>
      </w:pPr>
    </w:p>
    <w:p>
      <w:pPr>
        <w:rPr>
          <w:rFonts w:hint="eastAsia" w:ascii="宋体" w:hAnsi="Calibri" w:cs="宋体"/>
          <w:kern w:val="0"/>
          <w:sz w:val="24"/>
        </w:rPr>
      </w:pPr>
      <w:r>
        <w:rPr>
          <w:rFonts w:hint="eastAsia" w:ascii="宋体" w:hAnsi="Calibri" w:cs="宋体"/>
          <w:kern w:val="0"/>
          <w:sz w:val="24"/>
        </w:rPr>
        <w:t>甲方（盖章）：凯美瑞德（苏州）信息科技股份有限公司</w:t>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p>
    <w:p>
      <w:pPr>
        <w:rPr>
          <w:rFonts w:hint="eastAsia" w:ascii="宋体" w:hAnsi="Calibri" w:cs="宋体"/>
          <w:kern w:val="0"/>
          <w:sz w:val="24"/>
        </w:rPr>
      </w:pPr>
      <w:r>
        <w:rPr>
          <w:rFonts w:hint="eastAsia" w:ascii="宋体" w:hAnsi="Calibri" w:cs="宋体"/>
          <w:kern w:val="0"/>
          <w:sz w:val="24"/>
        </w:rPr>
        <w:t xml:space="preserve">地址：苏州工业园区八达街118号新闻大厦901室                                </w:t>
      </w:r>
    </w:p>
    <w:p>
      <w:pPr>
        <w:rPr>
          <w:rFonts w:hint="eastAsia" w:ascii="宋体" w:hAnsi="Calibri" w:cs="宋体"/>
          <w:kern w:val="0"/>
          <w:sz w:val="24"/>
        </w:rPr>
      </w:pPr>
      <w:r>
        <w:rPr>
          <w:rFonts w:hint="eastAsia" w:ascii="宋体" w:hAnsi="Calibri" w:cs="宋体"/>
          <w:kern w:val="0"/>
          <w:sz w:val="24"/>
        </w:rPr>
        <w:t xml:space="preserve">邮编：215000                               </w:t>
      </w:r>
    </w:p>
    <w:p>
      <w:pPr>
        <w:rPr>
          <w:rFonts w:hint="eastAsia" w:ascii="宋体" w:hAnsi="Calibri" w:cs="宋体"/>
          <w:kern w:val="0"/>
          <w:sz w:val="24"/>
        </w:rPr>
      </w:pPr>
      <w:r>
        <w:rPr>
          <w:rFonts w:hint="eastAsia" w:ascii="宋体" w:hAnsi="Calibri" w:cs="宋体"/>
          <w:kern w:val="0"/>
          <w:sz w:val="24"/>
        </w:rPr>
        <w:t xml:space="preserve">联系人：张晓梅                                                          </w:t>
      </w:r>
    </w:p>
    <w:p>
      <w:pPr>
        <w:rPr>
          <w:rFonts w:hint="eastAsia" w:ascii="宋体" w:hAnsi="Calibri" w:cs="宋体"/>
          <w:kern w:val="0"/>
          <w:sz w:val="24"/>
        </w:rPr>
      </w:pPr>
      <w:r>
        <w:rPr>
          <w:rFonts w:hint="eastAsia" w:ascii="宋体" w:hAnsi="Calibri" w:cs="宋体"/>
          <w:kern w:val="0"/>
          <w:sz w:val="24"/>
        </w:rPr>
        <w:t>电话： 13847827687</w:t>
      </w:r>
    </w:p>
    <w:p>
      <w:pPr>
        <w:rPr>
          <w:rFonts w:hint="eastAsia" w:ascii="宋体" w:hAnsi="Calibri" w:cs="宋体"/>
          <w:kern w:val="0"/>
          <w:sz w:val="24"/>
        </w:rPr>
      </w:pPr>
      <w:r>
        <w:rPr>
          <w:rFonts w:hint="eastAsia" w:ascii="宋体" w:hAnsi="Calibri" w:cs="宋体"/>
          <w:kern w:val="0"/>
          <w:sz w:val="24"/>
        </w:rPr>
        <w:t xml:space="preserve">甲方代表签字：                         </w:t>
      </w:r>
    </w:p>
    <w:p>
      <w:pPr>
        <w:rPr>
          <w:rFonts w:hint="eastAsia" w:ascii="宋体" w:hAnsi="Calibri" w:cs="宋体"/>
          <w:kern w:val="0"/>
          <w:sz w:val="24"/>
        </w:rPr>
      </w:pPr>
      <w:r>
        <w:rPr>
          <w:rFonts w:hint="eastAsia" w:ascii="宋体" w:hAnsi="Calibri" w:cs="宋体"/>
          <w:kern w:val="0"/>
          <w:sz w:val="24"/>
        </w:rPr>
        <w:t xml:space="preserve">（法定代表人或其授权代表） </w:t>
      </w:r>
    </w:p>
    <w:p>
      <w:pPr>
        <w:rPr>
          <w:rFonts w:hint="eastAsia" w:ascii="宋体" w:hAnsi="Calibri" w:cs="宋体"/>
          <w:kern w:val="0"/>
          <w:sz w:val="24"/>
        </w:rPr>
      </w:pPr>
      <w:r>
        <w:rPr>
          <w:rFonts w:hint="eastAsia" w:ascii="宋体" w:hAnsi="Calibri" w:cs="宋体"/>
          <w:kern w:val="0"/>
          <w:sz w:val="24"/>
        </w:rPr>
        <w:t xml:space="preserve">签字日期： 2021年6月1日          </w:t>
      </w:r>
    </w:p>
    <w:p>
      <w:pPr>
        <w:rPr>
          <w:rFonts w:hint="eastAsia" w:ascii="宋体" w:hAnsi="Calibri" w:cs="宋体"/>
          <w:kern w:val="0"/>
          <w:sz w:val="24"/>
        </w:rPr>
      </w:pPr>
      <w:r>
        <w:rPr>
          <w:rFonts w:hint="eastAsia" w:ascii="宋体" w:hAnsi="Calibri" w:cs="宋体"/>
          <w:kern w:val="0"/>
          <w:sz w:val="24"/>
        </w:rPr>
        <w:t xml:space="preserve"> </w:t>
      </w:r>
    </w:p>
    <w:p>
      <w:pPr>
        <w:rPr>
          <w:rFonts w:hint="eastAsia" w:ascii="宋体" w:hAnsi="Calibri" w:cs="宋体"/>
          <w:kern w:val="0"/>
          <w:sz w:val="24"/>
        </w:rPr>
      </w:pPr>
      <w:r>
        <w:rPr>
          <w:rFonts w:hint="eastAsia" w:ascii="宋体" w:hAnsi="Calibri" w:cs="宋体"/>
          <w:kern w:val="0"/>
          <w:sz w:val="24"/>
        </w:rPr>
        <w:t xml:space="preserve"> 乙方（盖章）：</w:t>
      </w: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r>
        <w:rPr>
          <w:rFonts w:hint="eastAsia" w:ascii="宋体" w:hAnsi="Calibri" w:cs="宋体"/>
          <w:kern w:val="0"/>
          <w:sz w:val="24"/>
        </w:rPr>
        <w:t>地址：</w:t>
      </w:r>
    </w:p>
    <w:p>
      <w:pPr>
        <w:rPr>
          <w:rFonts w:hint="eastAsia" w:ascii="宋体" w:hAnsi="Calibri" w:cs="宋体"/>
          <w:kern w:val="0"/>
          <w:sz w:val="24"/>
        </w:rPr>
      </w:pPr>
      <w:r>
        <w:rPr>
          <w:rFonts w:hint="eastAsia" w:ascii="宋体" w:hAnsi="Calibri" w:cs="宋体"/>
          <w:kern w:val="0"/>
          <w:sz w:val="24"/>
        </w:rPr>
        <w:t xml:space="preserve">                                 </w:t>
      </w:r>
    </w:p>
    <w:p>
      <w:pPr>
        <w:rPr>
          <w:rFonts w:hint="eastAsia" w:ascii="宋体" w:hAnsi="Calibri" w:cs="宋体"/>
          <w:kern w:val="0"/>
          <w:sz w:val="24"/>
        </w:rPr>
      </w:pPr>
      <w:r>
        <w:rPr>
          <w:rFonts w:hint="eastAsia" w:ascii="宋体" w:hAnsi="Calibri" w:cs="宋体"/>
          <w:kern w:val="0"/>
          <w:sz w:val="24"/>
        </w:rPr>
        <w:t xml:space="preserve">邮编：                               </w:t>
      </w:r>
    </w:p>
    <w:p>
      <w:pPr>
        <w:rPr>
          <w:rFonts w:hint="eastAsia" w:ascii="宋体" w:hAnsi="Calibri" w:cs="宋体"/>
          <w:kern w:val="0"/>
          <w:sz w:val="24"/>
        </w:rPr>
      </w:pPr>
      <w:r>
        <w:rPr>
          <w:rFonts w:hint="eastAsia" w:ascii="宋体" w:hAnsi="Calibri" w:cs="宋体"/>
          <w:kern w:val="0"/>
          <w:sz w:val="24"/>
        </w:rPr>
        <w:t xml:space="preserve">联系人：                                           </w:t>
      </w:r>
    </w:p>
    <w:p>
      <w:pPr>
        <w:rPr>
          <w:rFonts w:hint="eastAsia" w:ascii="宋体" w:hAnsi="Calibri" w:cs="宋体"/>
          <w:kern w:val="0"/>
          <w:sz w:val="24"/>
        </w:rPr>
      </w:pPr>
      <w:r>
        <w:rPr>
          <w:rFonts w:hint="eastAsia" w:ascii="宋体" w:hAnsi="Calibri" w:cs="宋体"/>
          <w:kern w:val="0"/>
          <w:sz w:val="24"/>
        </w:rPr>
        <w:t xml:space="preserve">电话： </w:t>
      </w:r>
    </w:p>
    <w:p>
      <w:pPr>
        <w:rPr>
          <w:rFonts w:hint="eastAsia" w:ascii="宋体" w:hAnsi="Calibri" w:cs="宋体"/>
          <w:kern w:val="0"/>
          <w:sz w:val="24"/>
        </w:rPr>
      </w:pPr>
      <w:r>
        <w:rPr>
          <w:rFonts w:hint="eastAsia" w:ascii="宋体" w:hAnsi="Calibri" w:cs="宋体"/>
          <w:kern w:val="0"/>
          <w:sz w:val="24"/>
        </w:rPr>
        <w:t xml:space="preserve">甲方代表签字：                         </w:t>
      </w:r>
    </w:p>
    <w:p>
      <w:pPr>
        <w:rPr>
          <w:rFonts w:hint="eastAsia" w:ascii="宋体" w:hAnsi="Calibri" w:cs="宋体"/>
          <w:kern w:val="0"/>
          <w:sz w:val="24"/>
        </w:rPr>
      </w:pPr>
      <w:r>
        <w:rPr>
          <w:rFonts w:hint="eastAsia" w:ascii="宋体" w:hAnsi="Calibri" w:cs="宋体"/>
          <w:kern w:val="0"/>
          <w:sz w:val="24"/>
        </w:rPr>
        <w:t xml:space="preserve">（法定代表人或其授权代表）     </w:t>
      </w:r>
    </w:p>
    <w:p>
      <w:pPr>
        <w:rPr>
          <w:rFonts w:hint="eastAsia" w:ascii="宋体" w:hAnsi="Calibri" w:cs="宋体"/>
          <w:kern w:val="0"/>
          <w:sz w:val="24"/>
        </w:rPr>
      </w:pPr>
      <w:r>
        <w:rPr>
          <w:rFonts w:hint="eastAsia" w:ascii="宋体" w:hAnsi="Calibri" w:cs="宋体"/>
          <w:kern w:val="0"/>
          <w:sz w:val="24"/>
        </w:rPr>
        <w:t>签字日期：2021年6月1日</w:t>
      </w:r>
    </w:p>
    <w:p>
      <w:pPr>
        <w:rPr>
          <w:rFonts w:hint="eastAsia" w:ascii="宋体" w:hAnsi="Calibri" w:cs="宋体"/>
          <w:kern w:val="0"/>
          <w:sz w:val="24"/>
        </w:rPr>
      </w:pPr>
    </w:p>
    <w:p>
      <w:pPr>
        <w:rPr>
          <w:rFonts w:ascii="宋体" w:hAnsi="Calibri" w:cs="宋体"/>
          <w:kern w:val="0"/>
          <w:sz w:val="24"/>
        </w:rPr>
        <w:sectPr>
          <w:type w:val="continuous"/>
          <w:pgSz w:w="11906" w:h="16838"/>
          <w:pgMar w:top="1440" w:right="1797" w:bottom="1440" w:left="1797" w:header="851" w:footer="992" w:gutter="0"/>
          <w:pgNumType w:fmt="decimal"/>
          <w:cols w:equalWidth="0" w:num="2">
            <w:col w:w="3943" w:space="425"/>
            <w:col w:w="3943"/>
          </w:cols>
          <w:titlePg/>
          <w:docGrid w:linePitch="312" w:charSpace="0"/>
        </w:sectPr>
      </w:pPr>
    </w:p>
    <w:p>
      <w:pPr>
        <w:widowControl/>
        <w:spacing w:line="360" w:lineRule="auto"/>
        <w:rPr>
          <w:rFonts w:hint="eastAsia"/>
          <w:sz w:val="24"/>
        </w:rPr>
        <w:sectPr>
          <w:type w:val="continuous"/>
          <w:pgSz w:w="11906" w:h="16838"/>
          <w:pgMar w:top="1440" w:right="1797" w:bottom="1440" w:left="1797" w:header="851" w:footer="992" w:gutter="0"/>
          <w:pgNumType w:fmt="decimal"/>
          <w:cols w:space="720" w:num="1"/>
          <w:titlePg/>
          <w:docGrid w:linePitch="312" w:charSpace="0"/>
        </w:sectPr>
      </w:pPr>
      <w:bookmarkEnd w:id="5"/>
    </w:p>
    <w:p>
      <w:pPr>
        <w:widowControl/>
        <w:spacing w:line="360" w:lineRule="auto"/>
        <w:rPr>
          <w:sz w:val="24"/>
        </w:rPr>
      </w:pPr>
      <w:r>
        <w:rPr>
          <w:rFonts w:hint="eastAsia"/>
          <w:sz w:val="24"/>
        </w:rPr>
        <w:t>附件一：</w:t>
      </w:r>
    </w:p>
    <w:p>
      <w:pPr>
        <w:widowControl/>
        <w:spacing w:line="360" w:lineRule="auto"/>
        <w:jc w:val="center"/>
        <w:rPr>
          <w:b/>
          <w:sz w:val="24"/>
        </w:rPr>
      </w:pPr>
      <w:r>
        <w:rPr>
          <w:rFonts w:hint="eastAsia"/>
          <w:b/>
          <w:sz w:val="24"/>
        </w:rPr>
        <w:t>技术服务人员</w:t>
      </w:r>
      <w:r>
        <w:rPr>
          <w:b/>
          <w:sz w:val="24"/>
        </w:rPr>
        <w:t>招聘需求表</w:t>
      </w:r>
    </w:p>
    <w:p>
      <w:pPr>
        <w:widowControl/>
        <w:spacing w:line="360" w:lineRule="auto"/>
        <w:ind w:firstLine="424" w:firstLineChars="177"/>
        <w:rPr>
          <w:sz w:val="24"/>
        </w:rPr>
      </w:pPr>
    </w:p>
    <w:tbl>
      <w:tblPr>
        <w:tblStyle w:val="19"/>
        <w:tblW w:w="13948" w:type="dxa"/>
        <w:tblInd w:w="0" w:type="dxa"/>
        <w:tblLayout w:type="fixed"/>
        <w:tblCellMar>
          <w:top w:w="0" w:type="dxa"/>
          <w:left w:w="108" w:type="dxa"/>
          <w:bottom w:w="0" w:type="dxa"/>
          <w:right w:w="108" w:type="dxa"/>
        </w:tblCellMar>
      </w:tblPr>
      <w:tblGrid>
        <w:gridCol w:w="495"/>
        <w:gridCol w:w="834"/>
        <w:gridCol w:w="541"/>
        <w:gridCol w:w="494"/>
        <w:gridCol w:w="834"/>
        <w:gridCol w:w="879"/>
        <w:gridCol w:w="817"/>
        <w:gridCol w:w="1096"/>
        <w:gridCol w:w="1096"/>
        <w:gridCol w:w="1035"/>
        <w:gridCol w:w="1975"/>
        <w:gridCol w:w="1665"/>
        <w:gridCol w:w="834"/>
        <w:gridCol w:w="1353"/>
      </w:tblGrid>
      <w:tr>
        <w:trPr>
          <w:trHeight w:val="510" w:hRule="atLeast"/>
        </w:trPr>
        <w:tc>
          <w:tcPr>
            <w:tcW w:w="1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申请公司</w:t>
            </w:r>
          </w:p>
        </w:tc>
        <w:tc>
          <w:tcPr>
            <w:tcW w:w="18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申请人</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联系电话</w:t>
            </w:r>
          </w:p>
        </w:tc>
        <w:tc>
          <w:tcPr>
            <w:tcW w:w="21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1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申请日期</w:t>
            </w:r>
          </w:p>
        </w:tc>
        <w:tc>
          <w:tcPr>
            <w:tcW w:w="166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是否紧急</w:t>
            </w:r>
          </w:p>
        </w:tc>
        <w:tc>
          <w:tcPr>
            <w:tcW w:w="13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r>
      <w:tr>
        <w:trPr>
          <w:trHeight w:val="76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序号</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岗位</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级别</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人数</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技术服务时间区间</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期望到岗时间</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工作地点</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专业要求</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学历要求</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本岗位工作年限要求</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项目情况</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岗位要求</w:t>
            </w:r>
          </w:p>
        </w:tc>
      </w:tr>
      <w:tr>
        <w:trPr>
          <w:trHeight w:val="510"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left"/>
              <w:rPr>
                <w:rFonts w:ascii="华文细黑" w:hAnsi="华文细黑" w:eastAsia="华文细黑" w:cs="宋体"/>
                <w:kern w:val="0"/>
                <w:sz w:val="18"/>
                <w:szCs w:val="18"/>
              </w:rPr>
            </w:pPr>
            <w:r>
              <w:rPr>
                <w:rFonts w:hint="eastAsia" w:ascii="华文细黑" w:hAnsi="华文细黑" w:eastAsia="华文细黑" w:cs="宋体"/>
                <w:kern w:val="0"/>
                <w:sz w:val="18"/>
                <w:szCs w:val="18"/>
              </w:rPr>
              <w:t>1、项目人数、周期</w:t>
            </w:r>
            <w:r>
              <w:rPr>
                <w:rFonts w:hint="eastAsia" w:ascii="华文细黑" w:hAnsi="华文细黑" w:eastAsia="华文细黑" w:cs="宋体"/>
                <w:kern w:val="0"/>
                <w:sz w:val="18"/>
                <w:szCs w:val="18"/>
              </w:rPr>
              <w:br w:type="textWrapping"/>
            </w:r>
            <w:r>
              <w:rPr>
                <w:rFonts w:hint="eastAsia" w:ascii="华文细黑" w:hAnsi="华文细黑" w:eastAsia="华文细黑" w:cs="宋体"/>
                <w:kern w:val="0"/>
                <w:sz w:val="18"/>
                <w:szCs w:val="18"/>
              </w:rPr>
              <w:t>2、简介</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2</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3</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4</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5</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bookmarkStart w:id="6" w:name="_Toc331669266"/>
      <w:r>
        <w:rPr>
          <w:rFonts w:hint="eastAsia"/>
          <w:sz w:val="24"/>
        </w:rPr>
        <w:t>附件二：</w:t>
      </w:r>
      <w:bookmarkEnd w:id="6"/>
    </w:p>
    <w:p>
      <w:pPr>
        <w:widowControl/>
        <w:spacing w:line="360" w:lineRule="auto"/>
        <w:jc w:val="center"/>
        <w:rPr>
          <w:b/>
          <w:sz w:val="24"/>
        </w:rPr>
      </w:pPr>
      <w:r>
        <w:rPr>
          <w:rFonts w:hint="eastAsia" w:ascii="宋体" w:hAnsi="Calibri" w:cs="宋体"/>
          <w:b/>
          <w:kern w:val="0"/>
          <w:sz w:val="24"/>
        </w:rPr>
        <w:t>技术服务人员试用期评价表</w:t>
      </w:r>
    </w:p>
    <w:p>
      <w:pPr>
        <w:widowControl/>
        <w:spacing w:line="360" w:lineRule="auto"/>
        <w:rPr>
          <w:sz w:val="24"/>
        </w:rPr>
      </w:pPr>
    </w:p>
    <w:tbl>
      <w:tblPr>
        <w:tblStyle w:val="19"/>
        <w:tblW w:w="13392" w:type="dxa"/>
        <w:tblInd w:w="0" w:type="dxa"/>
        <w:tblLayout w:type="fixed"/>
        <w:tblCellMar>
          <w:top w:w="0" w:type="dxa"/>
          <w:left w:w="108" w:type="dxa"/>
          <w:bottom w:w="0" w:type="dxa"/>
          <w:right w:w="108" w:type="dxa"/>
        </w:tblCellMar>
      </w:tblPr>
      <w:tblGrid>
        <w:gridCol w:w="1976"/>
        <w:gridCol w:w="1421"/>
        <w:gridCol w:w="2410"/>
        <w:gridCol w:w="1985"/>
        <w:gridCol w:w="1417"/>
        <w:gridCol w:w="1418"/>
        <w:gridCol w:w="1134"/>
        <w:gridCol w:w="1631"/>
      </w:tblGrid>
      <w:tr>
        <w:trPr>
          <w:trHeight w:val="495" w:hRule="atLeast"/>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姓名</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所属部门/项目</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入职日期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评价人</w:t>
            </w: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495" w:hRule="atLeast"/>
        </w:trPr>
        <w:tc>
          <w:tcPr>
            <w:tcW w:w="197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w:t>
            </w:r>
          </w:p>
        </w:tc>
        <w:tc>
          <w:tcPr>
            <w:tcW w:w="581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ascii="华文细黑" w:hAnsi="华文细黑" w:eastAsia="华文细黑" w:cs="宋体"/>
                <w:kern w:val="0"/>
                <w:sz w:val="22"/>
                <w:szCs w:val="22"/>
              </w:rPr>
              <w:t>评价日期</w:t>
            </w:r>
          </w:p>
        </w:tc>
        <w:tc>
          <w:tcPr>
            <w:tcW w:w="418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p>
        </w:tc>
      </w:tr>
      <w:tr>
        <w:trPr>
          <w:trHeight w:val="315" w:hRule="atLeast"/>
        </w:trPr>
        <w:tc>
          <w:tcPr>
            <w:tcW w:w="13392"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评价内容</w:t>
            </w:r>
          </w:p>
        </w:tc>
      </w:tr>
      <w:tr>
        <w:trPr>
          <w:trHeight w:val="315" w:hRule="atLeast"/>
        </w:trPr>
        <w:tc>
          <w:tcPr>
            <w:tcW w:w="19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序号</w:t>
            </w:r>
          </w:p>
        </w:tc>
        <w:tc>
          <w:tcPr>
            <w:tcW w:w="383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评价内容</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分值</w:t>
            </w:r>
          </w:p>
        </w:tc>
        <w:tc>
          <w:tcPr>
            <w:tcW w:w="39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评价标准</w:t>
            </w:r>
          </w:p>
        </w:tc>
        <w:tc>
          <w:tcPr>
            <w:tcW w:w="16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得分</w:t>
            </w:r>
          </w:p>
        </w:tc>
      </w:tr>
      <w:tr>
        <w:trPr>
          <w:trHeight w:val="630" w:hRule="atLeast"/>
        </w:trPr>
        <w:tc>
          <w:tcPr>
            <w:tcW w:w="1976"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383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华文细黑" w:hAnsi="华文细黑" w:eastAsia="华文细黑" w:cs="宋体"/>
                <w:kern w:val="0"/>
                <w:sz w:val="22"/>
                <w:szCs w:val="22"/>
              </w:rPr>
            </w:pPr>
          </w:p>
        </w:tc>
        <w:tc>
          <w:tcPr>
            <w:tcW w:w="1985"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需提高</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基本达到要求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表现优秀</w:t>
            </w:r>
          </w:p>
        </w:tc>
        <w:tc>
          <w:tcPr>
            <w:tcW w:w="1631"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r>
      <w:tr>
        <w:trPr>
          <w:trHeight w:val="76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积极推进工作，遇到困难及时反馈问题，努力寻求资源解决问题</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7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2</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关注团队整体目标，与团队成员共同完成工作目标</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3</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对自身岗位职责目标负责，对自己的工作行为表示负责的态度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4</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遵守公司规章制度及上级指示，忠于自己的岗位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0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5</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掌握试用期内所在岗位应具备的知识、技能，达到认定的基准</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4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在规定时间完成任务，遇到问题迅速反应</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7</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善于总结、学习，正确理解工作目标，不出现相同错误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70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能够清晰的表达个人观点、工作内容，交流无障碍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总分</w:t>
            </w:r>
          </w:p>
        </w:tc>
        <w:tc>
          <w:tcPr>
            <w:tcW w:w="978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&lt;总分小于60，可申请更换人员&gt;</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6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其他评价</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是否建议更换人员</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&lt;是/说明理由&gt;</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rFonts w:hint="eastAsia"/>
          <w:sz w:val="24"/>
        </w:rPr>
      </w:pPr>
      <w:r>
        <w:rPr>
          <w:rFonts w:hint="eastAsia"/>
          <w:sz w:val="24"/>
        </w:rPr>
        <w:br w:type="page"/>
      </w:r>
    </w:p>
    <w:p>
      <w:pPr>
        <w:widowControl/>
        <w:spacing w:line="360" w:lineRule="auto"/>
        <w:rPr>
          <w:sz w:val="24"/>
        </w:rPr>
      </w:pPr>
      <w:r>
        <w:rPr>
          <w:rFonts w:hint="eastAsia"/>
          <w:sz w:val="24"/>
        </w:rPr>
        <w:t>附件三：</w:t>
      </w:r>
    </w:p>
    <w:p>
      <w:pPr>
        <w:widowControl/>
        <w:spacing w:line="360" w:lineRule="auto"/>
        <w:jc w:val="center"/>
        <w:rPr>
          <w:b/>
          <w:sz w:val="24"/>
        </w:rPr>
      </w:pPr>
      <w:r>
        <w:rPr>
          <w:rFonts w:hint="eastAsia"/>
          <w:b/>
          <w:sz w:val="24"/>
        </w:rPr>
        <w:t>关于凯美瑞德（苏州）信息科技股份有限公司</w:t>
      </w:r>
    </w:p>
    <w:p>
      <w:pPr>
        <w:widowControl/>
        <w:spacing w:line="360" w:lineRule="auto"/>
        <w:jc w:val="center"/>
        <w:rPr>
          <w:b/>
          <w:sz w:val="24"/>
        </w:rPr>
      </w:pPr>
      <w:r>
        <w:rPr>
          <w:rFonts w:hint="eastAsia"/>
          <w:b/>
          <w:sz w:val="24"/>
        </w:rPr>
        <w:t>技术合作服务协议的</w:t>
      </w:r>
      <w:r>
        <w:rPr>
          <w:b/>
          <w:sz w:val="24"/>
        </w:rPr>
        <w:t>补充协议</w:t>
      </w:r>
    </w:p>
    <w:p>
      <w:pPr>
        <w:widowControl/>
        <w:spacing w:line="360" w:lineRule="auto"/>
        <w:rPr>
          <w:sz w:val="24"/>
        </w:rPr>
      </w:pPr>
      <w:r>
        <w:rPr>
          <w:sz w:val="24"/>
        </w:rPr>
        <w:t>根据</w:t>
      </w:r>
      <w:r>
        <w:rPr>
          <w:rFonts w:hint="eastAsia"/>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日凯美瑞德（苏州）信息科技股份有限公司与</w:t>
      </w:r>
      <w:r>
        <w:rPr>
          <w:sz w:val="24"/>
          <w:u w:val="single"/>
        </w:rPr>
        <w:t xml:space="preserve">                                     </w:t>
      </w:r>
      <w:r>
        <w:rPr>
          <w:rFonts w:hint="eastAsia"/>
          <w:sz w:val="24"/>
        </w:rPr>
        <w:t>公司签订的协议编号为</w:t>
      </w:r>
      <w:r>
        <w:rPr>
          <w:sz w:val="24"/>
          <w:u w:val="single"/>
        </w:rPr>
        <w:t xml:space="preserve">                                 </w:t>
      </w:r>
      <w:r>
        <w:rPr>
          <w:rFonts w:hint="eastAsia"/>
          <w:sz w:val="24"/>
        </w:rPr>
        <w:t>的主协议约定，现乙方派驻人员</w:t>
      </w:r>
      <w:r>
        <w:rPr>
          <w:sz w:val="24"/>
          <w:u w:val="single"/>
        </w:rPr>
        <w:t xml:space="preserve">          </w:t>
      </w:r>
      <w:r>
        <w:rPr>
          <w:rFonts w:hint="eastAsia"/>
          <w:sz w:val="24"/>
        </w:rPr>
        <w:t>至甲方驻场，现甲乙双方经过协商一致，达成以下合作协议：</w:t>
      </w:r>
    </w:p>
    <w:tbl>
      <w:tblPr>
        <w:tblStyle w:val="20"/>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678"/>
        <w:gridCol w:w="33"/>
        <w:gridCol w:w="3487"/>
        <w:gridCol w:w="24"/>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widowControl/>
              <w:spacing w:line="360" w:lineRule="auto"/>
              <w:rPr>
                <w:sz w:val="24"/>
              </w:rPr>
            </w:pPr>
            <w:r>
              <w:rPr>
                <w:rFonts w:hint="eastAsia"/>
                <w:sz w:val="24"/>
              </w:rPr>
              <w:t>姓名</w:t>
            </w:r>
          </w:p>
        </w:tc>
        <w:tc>
          <w:tcPr>
            <w:tcW w:w="4678" w:type="dxa"/>
          </w:tcPr>
          <w:p>
            <w:pPr>
              <w:widowControl/>
              <w:spacing w:line="360" w:lineRule="auto"/>
              <w:rPr>
                <w:sz w:val="24"/>
              </w:rPr>
            </w:pPr>
          </w:p>
        </w:tc>
        <w:tc>
          <w:tcPr>
            <w:tcW w:w="3544" w:type="dxa"/>
            <w:gridSpan w:val="3"/>
          </w:tcPr>
          <w:p>
            <w:pPr>
              <w:widowControl/>
              <w:spacing w:line="360" w:lineRule="auto"/>
              <w:rPr>
                <w:sz w:val="24"/>
              </w:rPr>
            </w:pPr>
            <w:r>
              <w:rPr>
                <w:sz w:val="24"/>
              </w:rPr>
              <w:t>工作城市</w:t>
            </w:r>
          </w:p>
        </w:tc>
        <w:tc>
          <w:tcPr>
            <w:tcW w:w="3463" w:type="dxa"/>
          </w:tcPr>
          <w:p>
            <w:pPr>
              <w:widowControl/>
              <w:spacing w:line="360" w:lineRule="auto"/>
              <w:rPr>
                <w:sz w:val="24"/>
              </w:rPr>
            </w:pPr>
          </w:p>
        </w:tc>
      </w:tr>
      <w:tr>
        <w:trPr>
          <w:jc w:val="center"/>
        </w:trPr>
        <w:tc>
          <w:tcPr>
            <w:tcW w:w="2263" w:type="dxa"/>
          </w:tcPr>
          <w:p>
            <w:pPr>
              <w:widowControl/>
              <w:spacing w:line="360" w:lineRule="auto"/>
              <w:rPr>
                <w:sz w:val="24"/>
              </w:rPr>
            </w:pPr>
            <w:r>
              <w:rPr>
                <w:rFonts w:hint="eastAsia"/>
                <w:sz w:val="24"/>
              </w:rPr>
              <w:t>职位</w:t>
            </w:r>
          </w:p>
        </w:tc>
        <w:tc>
          <w:tcPr>
            <w:tcW w:w="4711" w:type="dxa"/>
            <w:gridSpan w:val="2"/>
          </w:tcPr>
          <w:p>
            <w:pPr>
              <w:widowControl/>
              <w:spacing w:line="360" w:lineRule="auto"/>
              <w:rPr>
                <w:sz w:val="24"/>
              </w:rPr>
            </w:pPr>
          </w:p>
        </w:tc>
        <w:tc>
          <w:tcPr>
            <w:tcW w:w="3487" w:type="dxa"/>
          </w:tcPr>
          <w:p>
            <w:pPr>
              <w:widowControl/>
              <w:spacing w:line="360" w:lineRule="auto"/>
              <w:rPr>
                <w:sz w:val="24"/>
              </w:rPr>
            </w:pPr>
            <w:r>
              <w:rPr>
                <w:rFonts w:hint="eastAsia"/>
                <w:sz w:val="24"/>
              </w:rPr>
              <w:t>入场日期</w:t>
            </w:r>
          </w:p>
        </w:tc>
        <w:tc>
          <w:tcPr>
            <w:tcW w:w="3487" w:type="dxa"/>
            <w:gridSpan w:val="2"/>
          </w:tcPr>
          <w:p>
            <w:pPr>
              <w:widowControl/>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widowControl/>
              <w:spacing w:line="360" w:lineRule="auto"/>
              <w:rPr>
                <w:sz w:val="24"/>
              </w:rPr>
            </w:pPr>
            <w:r>
              <w:rPr>
                <w:rFonts w:hint="eastAsia"/>
                <w:sz w:val="24"/>
              </w:rPr>
              <w:t>结算方式</w:t>
            </w:r>
          </w:p>
        </w:tc>
        <w:tc>
          <w:tcPr>
            <w:tcW w:w="4711" w:type="dxa"/>
            <w:gridSpan w:val="2"/>
          </w:tcPr>
          <w:p>
            <w:pPr>
              <w:widowControl/>
              <w:spacing w:line="360" w:lineRule="auto"/>
              <w:rPr>
                <w:sz w:val="24"/>
              </w:rPr>
            </w:pPr>
            <w:r>
              <w:rPr>
                <w:rFonts w:hint="eastAsia"/>
                <w:sz w:val="24"/>
                <w:lang w:val="en-US" w:eastAsia="zh-CN"/>
              </w:rPr>
              <w:t>月</w:t>
            </w:r>
            <w:r>
              <w:rPr>
                <w:rFonts w:hint="eastAsia"/>
                <w:sz w:val="24"/>
              </w:rPr>
              <w:t>付</w:t>
            </w:r>
          </w:p>
        </w:tc>
        <w:tc>
          <w:tcPr>
            <w:tcW w:w="3487" w:type="dxa"/>
          </w:tcPr>
          <w:p>
            <w:pPr>
              <w:widowControl/>
              <w:spacing w:line="360" w:lineRule="auto"/>
              <w:rPr>
                <w:sz w:val="24"/>
              </w:rPr>
            </w:pPr>
            <w:r>
              <w:rPr>
                <w:rFonts w:hint="eastAsia"/>
                <w:sz w:val="24"/>
              </w:rPr>
              <w:t>人月费用单价</w:t>
            </w:r>
          </w:p>
        </w:tc>
        <w:tc>
          <w:tcPr>
            <w:tcW w:w="3487" w:type="dxa"/>
            <w:gridSpan w:val="2"/>
          </w:tcPr>
          <w:p>
            <w:pPr>
              <w:widowControl/>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widowControl/>
              <w:spacing w:line="360" w:lineRule="auto"/>
              <w:rPr>
                <w:sz w:val="24"/>
              </w:rPr>
            </w:pPr>
            <w:r>
              <w:rPr>
                <w:rFonts w:hint="eastAsia"/>
                <w:sz w:val="24"/>
              </w:rPr>
              <w:t>其他说明</w:t>
            </w:r>
          </w:p>
        </w:tc>
        <w:tc>
          <w:tcPr>
            <w:tcW w:w="11685" w:type="dxa"/>
            <w:gridSpan w:val="5"/>
          </w:tcPr>
          <w:p>
            <w:pPr>
              <w:widowControl/>
              <w:spacing w:line="360" w:lineRule="auto"/>
              <w:rPr>
                <w:sz w:val="24"/>
              </w:rPr>
            </w:pPr>
            <w:r>
              <w:rPr>
                <w:rFonts w:hint="eastAsia"/>
                <w:sz w:val="24"/>
              </w:rPr>
              <w:t>其他条件按主协议履行。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jc w:val="center"/>
        </w:trPr>
        <w:tc>
          <w:tcPr>
            <w:tcW w:w="2263" w:type="dxa"/>
            <w:vAlign w:val="center"/>
          </w:tcPr>
          <w:p>
            <w:pPr>
              <w:widowControl/>
              <w:spacing w:line="360" w:lineRule="auto"/>
              <w:rPr>
                <w:sz w:val="24"/>
              </w:rPr>
            </w:pPr>
            <w:r>
              <w:rPr>
                <w:rFonts w:hint="eastAsia"/>
                <w:sz w:val="24"/>
              </w:rPr>
              <w:t>甲方盖章</w:t>
            </w:r>
          </w:p>
        </w:tc>
        <w:tc>
          <w:tcPr>
            <w:tcW w:w="4711" w:type="dxa"/>
            <w:gridSpan w:val="2"/>
            <w:vAlign w:val="center"/>
          </w:tcPr>
          <w:p>
            <w:pPr>
              <w:widowControl/>
              <w:spacing w:line="360" w:lineRule="auto"/>
              <w:rPr>
                <w:sz w:val="24"/>
              </w:rPr>
            </w:pPr>
          </w:p>
        </w:tc>
        <w:tc>
          <w:tcPr>
            <w:tcW w:w="3487" w:type="dxa"/>
            <w:vAlign w:val="center"/>
          </w:tcPr>
          <w:p>
            <w:pPr>
              <w:widowControl/>
              <w:spacing w:line="360" w:lineRule="auto"/>
              <w:rPr>
                <w:sz w:val="24"/>
              </w:rPr>
            </w:pPr>
            <w:r>
              <w:rPr>
                <w:rFonts w:hint="eastAsia"/>
                <w:sz w:val="24"/>
              </w:rPr>
              <w:t>乙方盖章</w:t>
            </w:r>
          </w:p>
        </w:tc>
        <w:tc>
          <w:tcPr>
            <w:tcW w:w="3487" w:type="dxa"/>
            <w:gridSpan w:val="2"/>
            <w:vAlign w:val="center"/>
          </w:tcPr>
          <w:p>
            <w:pPr>
              <w:widowControl/>
              <w:spacing w:line="360" w:lineRule="auto"/>
              <w:rPr>
                <w:sz w:val="24"/>
              </w:rPr>
            </w:pP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r>
        <w:rPr>
          <w:rFonts w:hint="eastAsia"/>
          <w:sz w:val="24"/>
        </w:rPr>
        <w:t>附件四：</w:t>
      </w:r>
    </w:p>
    <w:p>
      <w:pPr>
        <w:widowControl/>
        <w:spacing w:line="360" w:lineRule="auto"/>
        <w:jc w:val="center"/>
        <w:rPr>
          <w:b/>
          <w:sz w:val="24"/>
        </w:rPr>
      </w:pPr>
      <w:r>
        <w:rPr>
          <w:rFonts w:hint="eastAsia"/>
          <w:b/>
          <w:sz w:val="24"/>
        </w:rPr>
        <w:t>技术服务人员定期评价表</w:t>
      </w:r>
    </w:p>
    <w:tbl>
      <w:tblPr>
        <w:tblStyle w:val="19"/>
        <w:tblW w:w="13392" w:type="dxa"/>
        <w:tblInd w:w="0" w:type="dxa"/>
        <w:tblLayout w:type="fixed"/>
        <w:tblCellMar>
          <w:top w:w="0" w:type="dxa"/>
          <w:left w:w="108" w:type="dxa"/>
          <w:bottom w:w="0" w:type="dxa"/>
          <w:right w:w="108" w:type="dxa"/>
        </w:tblCellMar>
      </w:tblPr>
      <w:tblGrid>
        <w:gridCol w:w="1976"/>
        <w:gridCol w:w="1421"/>
        <w:gridCol w:w="2410"/>
        <w:gridCol w:w="1985"/>
        <w:gridCol w:w="1417"/>
        <w:gridCol w:w="1418"/>
        <w:gridCol w:w="1134"/>
        <w:gridCol w:w="1631"/>
      </w:tblGrid>
      <w:tr>
        <w:trPr>
          <w:trHeight w:val="495" w:hRule="atLeast"/>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姓名</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所属部门/项目</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入职日期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评价人</w:t>
            </w: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495" w:hRule="atLeast"/>
        </w:trPr>
        <w:tc>
          <w:tcPr>
            <w:tcW w:w="197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w:t>
            </w:r>
          </w:p>
        </w:tc>
        <w:tc>
          <w:tcPr>
            <w:tcW w:w="581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岗位等级</w:t>
            </w:r>
          </w:p>
        </w:tc>
        <w:tc>
          <w:tcPr>
            <w:tcW w:w="418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13392"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评价内容</w:t>
            </w:r>
          </w:p>
        </w:tc>
      </w:tr>
      <w:tr>
        <w:trPr>
          <w:trHeight w:val="315" w:hRule="atLeast"/>
        </w:trPr>
        <w:tc>
          <w:tcPr>
            <w:tcW w:w="19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序号</w:t>
            </w:r>
          </w:p>
        </w:tc>
        <w:tc>
          <w:tcPr>
            <w:tcW w:w="383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评价内容</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分值</w:t>
            </w:r>
          </w:p>
        </w:tc>
        <w:tc>
          <w:tcPr>
            <w:tcW w:w="39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评价标准</w:t>
            </w:r>
          </w:p>
        </w:tc>
        <w:tc>
          <w:tcPr>
            <w:tcW w:w="16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得分</w:t>
            </w:r>
          </w:p>
        </w:tc>
      </w:tr>
      <w:tr>
        <w:trPr>
          <w:trHeight w:val="630" w:hRule="atLeast"/>
        </w:trPr>
        <w:tc>
          <w:tcPr>
            <w:tcW w:w="1976"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383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华文细黑" w:hAnsi="华文细黑" w:eastAsia="华文细黑" w:cs="宋体"/>
                <w:kern w:val="0"/>
                <w:sz w:val="22"/>
                <w:szCs w:val="22"/>
              </w:rPr>
            </w:pPr>
          </w:p>
        </w:tc>
        <w:tc>
          <w:tcPr>
            <w:tcW w:w="1985"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需提高</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基本达到要求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表现优秀</w:t>
            </w:r>
          </w:p>
        </w:tc>
        <w:tc>
          <w:tcPr>
            <w:tcW w:w="1631"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r>
      <w:tr>
        <w:trPr>
          <w:trHeight w:val="76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积极推进工作，遇到困难及时反馈问题，努力寻求资源解决问题</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7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2</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关注团队整体目标，与团队成员共同完成工作目标</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3</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对自身岗位职责目标负责，对自己的工作行为表示负责的态度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4</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遵守公司规章制度及上级指示，忠于自己的岗位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0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5</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掌握所在岗位应具备的知识、技能，达到认定的基准</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4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在规定时间完成任务，遇到问题迅速反应</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7</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善于总结、学习，正确理解工作目标，不出现相同错误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70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能够清晰的表达个人观点、工作内容，交流无障碍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总分</w:t>
            </w:r>
          </w:p>
        </w:tc>
        <w:tc>
          <w:tcPr>
            <w:tcW w:w="978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&lt;总分小于60，可申请更换人员&gt;</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6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其他评价</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是否建议更换人员</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&lt;是/说明理由&gt;</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rFonts w:hint="eastAsia"/>
          <w:sz w:val="24"/>
        </w:rPr>
      </w:pPr>
      <w:r>
        <w:rPr>
          <w:rFonts w:hint="eastAsia"/>
          <w:sz w:val="24"/>
        </w:rPr>
        <w:br w:type="page"/>
      </w:r>
    </w:p>
    <w:p>
      <w:pPr>
        <w:widowControl/>
        <w:spacing w:line="360" w:lineRule="auto"/>
        <w:rPr>
          <w:sz w:val="24"/>
        </w:rPr>
      </w:pPr>
      <w:r>
        <w:rPr>
          <w:rFonts w:hint="eastAsia"/>
          <w:sz w:val="24"/>
        </w:rPr>
        <w:t>附件五：</w:t>
      </w:r>
    </w:p>
    <w:p>
      <w:pPr>
        <w:widowControl/>
        <w:spacing w:line="360" w:lineRule="auto"/>
        <w:jc w:val="center"/>
        <w:rPr>
          <w:b/>
          <w:sz w:val="24"/>
        </w:rPr>
      </w:pPr>
      <w:r>
        <w:rPr>
          <w:rFonts w:hint="eastAsia"/>
          <w:b/>
          <w:sz w:val="24"/>
        </w:rPr>
        <w:t>考勤记录表</w:t>
      </w:r>
    </w:p>
    <w:tbl>
      <w:tblPr>
        <w:tblStyle w:val="19"/>
        <w:tblW w:w="13948" w:type="dxa"/>
        <w:tblInd w:w="0" w:type="dxa"/>
        <w:tblLayout w:type="fixed"/>
        <w:tblCellMar>
          <w:top w:w="0" w:type="dxa"/>
          <w:left w:w="108" w:type="dxa"/>
          <w:bottom w:w="0" w:type="dxa"/>
          <w:right w:w="108" w:type="dxa"/>
        </w:tblCellMar>
      </w:tblPr>
      <w:tblGrid>
        <w:gridCol w:w="3786"/>
        <w:gridCol w:w="2541"/>
        <w:gridCol w:w="2541"/>
        <w:gridCol w:w="2541"/>
        <w:gridCol w:w="2539"/>
      </w:tblGrid>
      <w:tr>
        <w:trPr>
          <w:trHeight w:val="315" w:hRule="atLeast"/>
        </w:trPr>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部门/项目名称</w:t>
            </w:r>
          </w:p>
        </w:tc>
        <w:tc>
          <w:tcPr>
            <w:tcW w:w="101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供应商</w:t>
            </w:r>
          </w:p>
        </w:tc>
        <w:tc>
          <w:tcPr>
            <w:tcW w:w="101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考勤月份</w:t>
            </w:r>
          </w:p>
        </w:tc>
        <w:tc>
          <w:tcPr>
            <w:tcW w:w="101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人员姓名</w:t>
            </w:r>
          </w:p>
        </w:tc>
        <w:tc>
          <w:tcPr>
            <w:tcW w:w="1016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签到日期</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上班时间</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下班时间</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工作天数</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出勤状态</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10月3日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10月4日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10月5日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10月6日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10月7日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10月8日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10月9日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10月10日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10月11日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10月12日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10月13日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10月14日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10月15日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请假</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10月16日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倒休</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10月17日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加班</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10月18日</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正常上班</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10月19日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10月20日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10月21日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10月22日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10月23日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10月24日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10月25日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10月26日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10月27日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10月28日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10月29日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10月30日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10月31日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510" w:hRule="atLeast"/>
        </w:trPr>
        <w:tc>
          <w:tcPr>
            <w:tcW w:w="13948" w:type="dxa"/>
            <w:gridSpan w:val="5"/>
            <w:tcBorders>
              <w:top w:val="single" w:color="auto" w:sz="4" w:space="0"/>
              <w:left w:val="nil"/>
              <w:bottom w:val="nil"/>
              <w:right w:val="nil"/>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项目经理（签字）：                                           年    月     日</w:t>
            </w:r>
          </w:p>
        </w:tc>
      </w:tr>
      <w:tr>
        <w:trPr>
          <w:trHeight w:val="1305" w:hRule="atLeast"/>
        </w:trPr>
        <w:tc>
          <w:tcPr>
            <w:tcW w:w="13948" w:type="dxa"/>
            <w:gridSpan w:val="5"/>
            <w:tcBorders>
              <w:top w:val="nil"/>
              <w:left w:val="nil"/>
              <w:bottom w:val="nil"/>
              <w:right w:val="nil"/>
            </w:tcBorders>
            <w:shd w:val="clear" w:color="auto" w:fill="auto"/>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填表说明：</w:t>
            </w:r>
            <w:r>
              <w:rPr>
                <w:rFonts w:hint="eastAsia" w:ascii="华文细黑" w:hAnsi="华文细黑" w:eastAsia="华文细黑" w:cs="宋体"/>
                <w:kern w:val="0"/>
                <w:sz w:val="22"/>
                <w:szCs w:val="22"/>
              </w:rPr>
              <w:br w:type="textWrapping"/>
            </w:r>
            <w:r>
              <w:rPr>
                <w:rFonts w:hint="eastAsia" w:ascii="华文细黑" w:hAnsi="华文细黑" w:eastAsia="华文细黑" w:cs="宋体"/>
                <w:kern w:val="0"/>
                <w:sz w:val="22"/>
                <w:szCs w:val="22"/>
              </w:rPr>
              <w:t>1.每个月单独填写一张表格；</w:t>
            </w:r>
            <w:r>
              <w:rPr>
                <w:rFonts w:hint="eastAsia" w:ascii="华文细黑" w:hAnsi="华文细黑" w:eastAsia="华文细黑" w:cs="宋体"/>
                <w:kern w:val="0"/>
                <w:sz w:val="22"/>
                <w:szCs w:val="22"/>
              </w:rPr>
              <w:br w:type="textWrapping"/>
            </w:r>
            <w:r>
              <w:rPr>
                <w:rFonts w:hint="eastAsia" w:ascii="华文细黑" w:hAnsi="华文细黑" w:eastAsia="华文细黑" w:cs="宋体"/>
                <w:kern w:val="0"/>
                <w:sz w:val="22"/>
                <w:szCs w:val="22"/>
              </w:rPr>
              <w:t>2.出勤状态共有四种：正常上班、加班、倒休、请假</w:t>
            </w:r>
            <w:r>
              <w:rPr>
                <w:rFonts w:hint="eastAsia" w:ascii="华文细黑" w:hAnsi="华文细黑" w:eastAsia="华文细黑" w:cs="宋体"/>
                <w:kern w:val="0"/>
                <w:sz w:val="22"/>
                <w:szCs w:val="22"/>
              </w:rPr>
              <w:br w:type="textWrapping"/>
            </w:r>
            <w:r>
              <w:rPr>
                <w:rFonts w:hint="eastAsia" w:ascii="华文细黑" w:hAnsi="华文细黑" w:eastAsia="华文细黑" w:cs="宋体"/>
                <w:kern w:val="0"/>
                <w:sz w:val="22"/>
                <w:szCs w:val="22"/>
              </w:rPr>
              <w:t>填写方式举例：</w:t>
            </w:r>
          </w:p>
        </w:tc>
      </w:tr>
      <w:tr>
        <w:trPr>
          <w:trHeight w:val="315" w:hRule="atLeast"/>
        </w:trPr>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10月18日</w:t>
            </w:r>
          </w:p>
        </w:tc>
        <w:tc>
          <w:tcPr>
            <w:tcW w:w="254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54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正常上班</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10月16日</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加班</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10月19日</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倒休</w:t>
            </w:r>
          </w:p>
        </w:tc>
      </w:tr>
      <w:tr>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10月20日</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12:00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0.5</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请假</w:t>
            </w:r>
          </w:p>
        </w:tc>
      </w:tr>
    </w:tbl>
    <w:p>
      <w:pPr>
        <w:widowControl/>
        <w:spacing w:line="360" w:lineRule="auto"/>
        <w:rPr>
          <w:sz w:val="24"/>
        </w:rPr>
      </w:pPr>
      <w:r>
        <w:rPr>
          <w:sz w:val="24"/>
        </w:rPr>
        <w:br w:type="page"/>
      </w:r>
    </w:p>
    <w:p>
      <w:pPr>
        <w:widowControl/>
        <w:spacing w:line="360" w:lineRule="auto"/>
        <w:rPr>
          <w:sz w:val="24"/>
        </w:rPr>
      </w:pPr>
      <w:r>
        <w:rPr>
          <w:sz w:val="24"/>
        </w:rPr>
        <w:t>附件六</w:t>
      </w:r>
      <w:r>
        <w:rPr>
          <w:rFonts w:hint="eastAsia"/>
          <w:sz w:val="24"/>
        </w:rPr>
        <w:t>：</w:t>
      </w:r>
    </w:p>
    <w:p>
      <w:pPr>
        <w:widowControl/>
        <w:spacing w:line="360" w:lineRule="auto"/>
        <w:jc w:val="center"/>
        <w:rPr>
          <w:b/>
          <w:sz w:val="24"/>
        </w:rPr>
      </w:pPr>
      <w:r>
        <w:rPr>
          <w:rFonts w:hint="eastAsia" w:ascii="宋体" w:hAnsi="Calibri" w:cs="宋体"/>
          <w:b/>
          <w:kern w:val="0"/>
          <w:sz w:val="24"/>
        </w:rPr>
        <w:t>技术服务结算单</w:t>
      </w:r>
    </w:p>
    <w:tbl>
      <w:tblPr>
        <w:tblStyle w:val="19"/>
        <w:tblW w:w="13821" w:type="dxa"/>
        <w:tblInd w:w="0" w:type="dxa"/>
        <w:tblLayout w:type="fixed"/>
        <w:tblCellMar>
          <w:top w:w="0" w:type="dxa"/>
          <w:left w:w="108" w:type="dxa"/>
          <w:bottom w:w="0" w:type="dxa"/>
          <w:right w:w="108" w:type="dxa"/>
        </w:tblCellMar>
      </w:tblPr>
      <w:tblGrid>
        <w:gridCol w:w="910"/>
        <w:gridCol w:w="688"/>
        <w:gridCol w:w="368"/>
        <w:gridCol w:w="1644"/>
        <w:gridCol w:w="1055"/>
        <w:gridCol w:w="1254"/>
        <w:gridCol w:w="1392"/>
        <w:gridCol w:w="892"/>
        <w:gridCol w:w="1006"/>
        <w:gridCol w:w="2736"/>
        <w:gridCol w:w="1876"/>
      </w:tblGrid>
      <w:tr>
        <w:trPr>
          <w:trHeight w:val="341" w:hRule="atLeast"/>
        </w:trPr>
        <w:tc>
          <w:tcPr>
            <w:tcW w:w="1966" w:type="dxa"/>
            <w:gridSpan w:val="3"/>
            <w:tcBorders>
              <w:top w:val="nil"/>
              <w:left w:val="nil"/>
              <w:bottom w:val="nil"/>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填报日期：</w:t>
            </w:r>
          </w:p>
        </w:tc>
        <w:tc>
          <w:tcPr>
            <w:tcW w:w="5345" w:type="dxa"/>
            <w:gridSpan w:val="4"/>
            <w:tcBorders>
              <w:top w:val="nil"/>
              <w:left w:val="nil"/>
              <w:bottom w:val="nil"/>
              <w:right w:val="nil"/>
            </w:tcBorders>
            <w:shd w:val="clear" w:color="auto" w:fill="auto"/>
            <w:vAlign w:val="bottom"/>
          </w:tcPr>
          <w:p>
            <w:pPr>
              <w:widowControl/>
              <w:jc w:val="lef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xml:space="preserve">    年    月    日</w:t>
            </w:r>
          </w:p>
        </w:tc>
        <w:tc>
          <w:tcPr>
            <w:tcW w:w="892" w:type="dxa"/>
            <w:tcBorders>
              <w:top w:val="nil"/>
              <w:left w:val="nil"/>
              <w:bottom w:val="nil"/>
              <w:right w:val="nil"/>
            </w:tcBorders>
            <w:shd w:val="clear" w:color="auto" w:fill="auto"/>
            <w:vAlign w:val="bottom"/>
          </w:tcPr>
          <w:p>
            <w:pPr>
              <w:widowControl/>
              <w:jc w:val="left"/>
              <w:rPr>
                <w:rFonts w:ascii="华文细黑" w:hAnsi="华文细黑" w:eastAsia="华文细黑" w:cs="宋体"/>
                <w:b/>
                <w:bCs/>
                <w:kern w:val="0"/>
                <w:sz w:val="20"/>
                <w:szCs w:val="20"/>
              </w:rPr>
            </w:pPr>
          </w:p>
        </w:tc>
        <w:tc>
          <w:tcPr>
            <w:tcW w:w="1006" w:type="dxa"/>
            <w:tcBorders>
              <w:top w:val="nil"/>
              <w:left w:val="nil"/>
              <w:bottom w:val="nil"/>
              <w:right w:val="nil"/>
            </w:tcBorders>
            <w:shd w:val="clear" w:color="auto" w:fill="auto"/>
            <w:vAlign w:val="bottom"/>
          </w:tcPr>
          <w:p>
            <w:pPr>
              <w:widowControl/>
              <w:jc w:val="left"/>
              <w:rPr>
                <w:rFonts w:ascii="华文细黑" w:hAnsi="华文细黑" w:eastAsia="华文细黑" w:cs="宋体"/>
                <w:b/>
                <w:bCs/>
                <w:kern w:val="0"/>
                <w:sz w:val="20"/>
                <w:szCs w:val="20"/>
              </w:rPr>
            </w:pPr>
          </w:p>
        </w:tc>
        <w:tc>
          <w:tcPr>
            <w:tcW w:w="2736" w:type="dxa"/>
            <w:tcBorders>
              <w:top w:val="nil"/>
              <w:left w:val="nil"/>
              <w:bottom w:val="nil"/>
              <w:right w:val="nil"/>
            </w:tcBorders>
            <w:shd w:val="clear" w:color="auto" w:fill="auto"/>
            <w:vAlign w:val="bottom"/>
          </w:tcPr>
          <w:p>
            <w:pPr>
              <w:widowControl/>
              <w:jc w:val="center"/>
              <w:rPr>
                <w:rFonts w:eastAsia="Times New Roman"/>
                <w:kern w:val="0"/>
                <w:sz w:val="20"/>
                <w:szCs w:val="20"/>
              </w:rPr>
            </w:pPr>
          </w:p>
        </w:tc>
        <w:tc>
          <w:tcPr>
            <w:tcW w:w="1876" w:type="dxa"/>
            <w:tcBorders>
              <w:top w:val="nil"/>
              <w:left w:val="nil"/>
              <w:bottom w:val="nil"/>
              <w:right w:val="nil"/>
            </w:tcBorders>
            <w:shd w:val="clear" w:color="auto" w:fill="auto"/>
            <w:vAlign w:val="bottom"/>
          </w:tcPr>
          <w:p>
            <w:pPr>
              <w:widowControl/>
              <w:jc w:val="right"/>
              <w:rPr>
                <w:rFonts w:eastAsia="Times New Roman"/>
                <w:kern w:val="0"/>
                <w:sz w:val="20"/>
                <w:szCs w:val="20"/>
              </w:rPr>
            </w:pPr>
          </w:p>
        </w:tc>
      </w:tr>
      <w:tr>
        <w:trPr>
          <w:trHeight w:val="692" w:hRule="atLeast"/>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乙方名称：</w:t>
            </w: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华文细黑" w:hAnsi="华文细黑" w:eastAsia="华文细黑" w:cs="宋体"/>
                <w:b/>
                <w:bCs/>
                <w:kern w:val="0"/>
                <w:sz w:val="20"/>
                <w:szCs w:val="20"/>
              </w:rPr>
            </w:pPr>
            <w:r>
              <w:rPr>
                <w:rFonts w:hint="eastAsia" w:ascii="华文细黑" w:hAnsi="华文细黑" w:eastAsia="华文细黑" w:cs="宋体"/>
                <w:kern w:val="0"/>
                <w:sz w:val="20"/>
                <w:szCs w:val="20"/>
              </w:rPr>
              <w:t>　</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开户银行：</w:t>
            </w:r>
          </w:p>
        </w:tc>
        <w:tc>
          <w:tcPr>
            <w:tcW w:w="46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rPr>
          <w:trHeight w:val="368" w:hRule="atLeast"/>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银行账号：</w:t>
            </w: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华文细黑" w:hAnsi="华文细黑" w:eastAsia="华文细黑" w:cs="宋体"/>
                <w:b/>
                <w:bCs/>
                <w:kern w:val="0"/>
                <w:sz w:val="20"/>
                <w:szCs w:val="20"/>
              </w:rPr>
            </w:pPr>
            <w:r>
              <w:rPr>
                <w:rFonts w:hint="eastAsia" w:ascii="华文细黑" w:hAnsi="华文细黑" w:eastAsia="华文细黑" w:cs="宋体"/>
                <w:kern w:val="0"/>
                <w:sz w:val="20"/>
                <w:szCs w:val="20"/>
              </w:rPr>
              <w:t>　</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银联号：</w:t>
            </w:r>
          </w:p>
        </w:tc>
        <w:tc>
          <w:tcPr>
            <w:tcW w:w="46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rPr>
          <w:trHeight w:val="368" w:hRule="atLeast"/>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乙方联系人：</w:t>
            </w: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联系电话:</w:t>
            </w:r>
          </w:p>
        </w:tc>
        <w:tc>
          <w:tcPr>
            <w:tcW w:w="46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rPr>
          <w:trHeight w:val="368" w:hRule="atLeast"/>
        </w:trPr>
        <w:tc>
          <w:tcPr>
            <w:tcW w:w="1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细黑" w:hAnsi="华文细黑" w:eastAsia="华文细黑" w:cs="宋体"/>
                <w:b/>
                <w:bCs/>
                <w:kern w:val="0"/>
                <w:sz w:val="20"/>
                <w:szCs w:val="20"/>
              </w:rPr>
            </w:pPr>
          </w:p>
        </w:tc>
        <w:tc>
          <w:tcPr>
            <w:tcW w:w="122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结算明细（单位：元）</w:t>
            </w:r>
          </w:p>
        </w:tc>
      </w:tr>
      <w:tr>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序号</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服务月份</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当月服务人员</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单价</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考勤天数</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当月费用</w:t>
            </w:r>
          </w:p>
        </w:tc>
        <w:tc>
          <w:tcPr>
            <w:tcW w:w="892" w:type="dxa"/>
            <w:tcBorders>
              <w:top w:val="nil"/>
              <w:left w:val="nil"/>
              <w:bottom w:val="single" w:color="auto" w:sz="4" w:space="0"/>
              <w:right w:val="single" w:color="auto" w:sz="4" w:space="0"/>
            </w:tcBorders>
            <w:shd w:val="clear" w:color="auto" w:fill="auto"/>
            <w:vAlign w:val="center"/>
          </w:tcPr>
          <w:p>
            <w:pPr>
              <w:widowControl/>
              <w:jc w:val="center"/>
              <w:rPr>
                <w:rFonts w:hint="eastAsia" w:ascii="华文细黑" w:hAnsi="华文细黑" w:eastAsia="华文细黑" w:cs="宋体"/>
                <w:b/>
                <w:bCs/>
                <w:kern w:val="0"/>
                <w:sz w:val="20"/>
                <w:szCs w:val="20"/>
                <w:lang w:val="en-US" w:eastAsia="zh-CN"/>
              </w:rPr>
            </w:pPr>
            <w:r>
              <w:rPr>
                <w:rFonts w:hint="eastAsia" w:ascii="华文细黑" w:hAnsi="华文细黑" w:eastAsia="华文细黑" w:cs="宋体"/>
                <w:b/>
                <w:bCs/>
                <w:kern w:val="0"/>
                <w:sz w:val="20"/>
                <w:szCs w:val="20"/>
                <w:lang w:val="en-US" w:eastAsia="zh-CN"/>
              </w:rPr>
              <w:t>税费</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付款金额</w:t>
            </w:r>
          </w:p>
        </w:tc>
        <w:tc>
          <w:tcPr>
            <w:tcW w:w="4612"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备注</w:t>
            </w:r>
          </w:p>
        </w:tc>
      </w:tr>
      <w:tr>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1</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u w:val="single"/>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华文细黑" w:hAnsi="华文细黑" w:eastAsia="华文细黑" w:cs="宋体"/>
                <w:b/>
                <w:bCs/>
                <w:kern w:val="0"/>
                <w:sz w:val="20"/>
                <w:szCs w:val="20"/>
                <w:u w:val="single"/>
              </w:rPr>
            </w:pPr>
          </w:p>
        </w:tc>
        <w:tc>
          <w:tcPr>
            <w:tcW w:w="1006" w:type="dxa"/>
            <w:vMerge w:val="restart"/>
            <w:tcBorders>
              <w:top w:val="nil"/>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c>
          <w:tcPr>
            <w:tcW w:w="4612" w:type="dxa"/>
            <w:gridSpan w:val="2"/>
            <w:vMerge w:val="restart"/>
            <w:tcBorders>
              <w:left w:val="single" w:color="auto" w:sz="4" w:space="0"/>
              <w:right w:val="single" w:color="auto" w:sz="4" w:space="0"/>
            </w:tcBorders>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p>
            <w:pPr>
              <w:jc w:val="center"/>
              <w:rPr>
                <w:rFonts w:ascii="华文细黑" w:hAnsi="华文细黑" w:eastAsia="华文细黑" w:cs="宋体"/>
                <w:kern w:val="0"/>
                <w:sz w:val="20"/>
                <w:szCs w:val="20"/>
              </w:rPr>
            </w:pPr>
            <w:r>
              <w:rPr>
                <w:rFonts w:hint="eastAsia" w:ascii="华文细黑" w:hAnsi="华文细黑" w:eastAsia="华文细黑" w:cs="宋体"/>
                <w:b/>
                <w:bCs/>
                <w:kern w:val="0"/>
                <w:sz w:val="20"/>
                <w:szCs w:val="20"/>
              </w:rPr>
              <w:t>　</w:t>
            </w:r>
          </w:p>
        </w:tc>
      </w:tr>
      <w:tr>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2</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
          <w:p>
            <w:pPr>
              <w:jc w:val="center"/>
              <w:rPr>
                <w:rFonts w:ascii="华文细黑" w:hAnsi="华文细黑" w:eastAsia="华文细黑" w:cs="宋体"/>
                <w:kern w:val="0"/>
                <w:sz w:val="20"/>
                <w:szCs w:val="20"/>
              </w:rPr>
            </w:pPr>
          </w:p>
        </w:tc>
      </w:tr>
      <w:tr>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3</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
          <w:p>
            <w:pPr>
              <w:jc w:val="center"/>
              <w:rPr>
                <w:rFonts w:ascii="华文细黑" w:hAnsi="华文细黑" w:eastAsia="华文细黑" w:cs="宋体"/>
                <w:kern w:val="0"/>
                <w:sz w:val="20"/>
                <w:szCs w:val="20"/>
              </w:rPr>
            </w:pPr>
          </w:p>
        </w:tc>
      </w:tr>
      <w:tr>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4</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
          <w:p>
            <w:pPr>
              <w:jc w:val="center"/>
              <w:rPr>
                <w:rFonts w:ascii="华文细黑" w:hAnsi="华文细黑" w:eastAsia="华文细黑" w:cs="宋体"/>
                <w:kern w:val="0"/>
                <w:sz w:val="20"/>
                <w:szCs w:val="20"/>
              </w:rPr>
            </w:pPr>
          </w:p>
        </w:tc>
      </w:tr>
      <w:tr>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5</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
          <w:p>
            <w:pPr>
              <w:jc w:val="center"/>
              <w:rPr>
                <w:rFonts w:ascii="华文细黑" w:hAnsi="华文细黑" w:eastAsia="华文细黑" w:cs="宋体"/>
                <w:kern w:val="0"/>
                <w:sz w:val="20"/>
                <w:szCs w:val="20"/>
              </w:rPr>
            </w:pPr>
          </w:p>
        </w:tc>
      </w:tr>
      <w:tr>
        <w:trPr>
          <w:trHeight w:val="378" w:hRule="atLeast"/>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合计</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r>
        <w:rPr>
          <w:sz w:val="24"/>
        </w:rPr>
        <w:br w:type="page"/>
      </w:r>
    </w:p>
    <w:p>
      <w:pPr>
        <w:widowControl/>
        <w:spacing w:line="360" w:lineRule="auto"/>
        <w:rPr>
          <w:sz w:val="24"/>
        </w:rPr>
      </w:pPr>
      <w:r>
        <w:rPr>
          <w:sz w:val="24"/>
        </w:rPr>
        <w:t>附件七</w:t>
      </w:r>
      <w:r>
        <w:rPr>
          <w:rFonts w:hint="eastAsia"/>
          <w:sz w:val="24"/>
        </w:rPr>
        <w:t>：</w:t>
      </w:r>
    </w:p>
    <w:p>
      <w:pPr>
        <w:widowControl/>
        <w:spacing w:line="360" w:lineRule="auto"/>
        <w:jc w:val="center"/>
        <w:rPr>
          <w:b/>
          <w:sz w:val="24"/>
        </w:rPr>
      </w:pPr>
      <w:r>
        <w:rPr>
          <w:rFonts w:hint="eastAsia" w:ascii="宋体" w:hAnsi="Calibri" w:cs="宋体"/>
          <w:b/>
          <w:kern w:val="0"/>
          <w:sz w:val="24"/>
        </w:rPr>
        <w:t>离场确认单</w:t>
      </w:r>
    </w:p>
    <w:tbl>
      <w:tblPr>
        <w:tblStyle w:val="19"/>
        <w:tblW w:w="13958" w:type="dxa"/>
        <w:tblInd w:w="0" w:type="dxa"/>
        <w:tblLayout w:type="fixed"/>
        <w:tblCellMar>
          <w:top w:w="0" w:type="dxa"/>
          <w:left w:w="108" w:type="dxa"/>
          <w:bottom w:w="0" w:type="dxa"/>
          <w:right w:w="108" w:type="dxa"/>
        </w:tblCellMar>
      </w:tblPr>
      <w:tblGrid>
        <w:gridCol w:w="1985"/>
        <w:gridCol w:w="2976"/>
        <w:gridCol w:w="2409"/>
        <w:gridCol w:w="6588"/>
      </w:tblGrid>
      <w:tr>
        <w:trPr>
          <w:trHeight w:val="882" w:hRule="atLeast"/>
        </w:trPr>
        <w:tc>
          <w:tcPr>
            <w:tcW w:w="13958" w:type="dxa"/>
            <w:gridSpan w:val="4"/>
            <w:tcBorders>
              <w:top w:val="nil"/>
              <w:left w:val="nil"/>
              <w:bottom w:val="nil"/>
              <w:right w:val="nil"/>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根据项目要求，经双方协商同意服务技术服务人员</w:t>
            </w:r>
            <w:r>
              <w:rPr>
                <w:rFonts w:hint="eastAsia" w:ascii="华文细黑" w:hAnsi="华文细黑" w:eastAsia="华文细黑" w:cs="宋体"/>
                <w:kern w:val="0"/>
                <w:sz w:val="22"/>
                <w:szCs w:val="22"/>
                <w:u w:val="single"/>
              </w:rPr>
              <w:t xml:space="preserve">             </w:t>
            </w:r>
            <w:r>
              <w:rPr>
                <w:rFonts w:hint="eastAsia" w:ascii="华文细黑" w:hAnsi="华文细黑" w:eastAsia="华文细黑" w:cs="宋体"/>
                <w:kern w:val="0"/>
                <w:sz w:val="22"/>
                <w:szCs w:val="22"/>
              </w:rPr>
              <w:t>结束该项目工作，具体信息如下：</w:t>
            </w:r>
          </w:p>
        </w:tc>
      </w:tr>
      <w:tr>
        <w:trPr>
          <w:trHeight w:val="2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姓名</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身份证号</w:t>
            </w:r>
          </w:p>
        </w:tc>
        <w:tc>
          <w:tcPr>
            <w:tcW w:w="6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岗位级别</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所属部门/项目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人员单价</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联系电话</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邮箱</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进场时间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离场时间</w:t>
            </w:r>
          </w:p>
        </w:tc>
        <w:tc>
          <w:tcPr>
            <w:tcW w:w="6588"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20" w:hRule="atLeast"/>
        </w:trPr>
        <w:tc>
          <w:tcPr>
            <w:tcW w:w="1985" w:type="dxa"/>
            <w:tcBorders>
              <w:top w:val="nil"/>
              <w:left w:val="single" w:color="auto" w:sz="4" w:space="0"/>
              <w:bottom w:val="nil"/>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实际工作天数</w:t>
            </w:r>
          </w:p>
        </w:tc>
        <w:tc>
          <w:tcPr>
            <w:tcW w:w="11973" w:type="dxa"/>
            <w:gridSpan w:val="3"/>
            <w:tcBorders>
              <w:top w:val="single" w:color="auto" w:sz="4" w:space="0"/>
              <w:left w:val="nil"/>
              <w:bottom w:val="nil"/>
              <w:right w:val="single" w:color="auto" w:sz="4" w:space="0"/>
            </w:tcBorders>
            <w:shd w:val="clear" w:color="auto" w:fill="auto"/>
          </w:tcPr>
          <w:p>
            <w:pPr>
              <w:widowControl/>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rPr>
          <w:trHeight w:val="20" w:hRule="atLeast"/>
        </w:trPr>
        <w:tc>
          <w:tcPr>
            <w:tcW w:w="1395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交接内容</w:t>
            </w:r>
          </w:p>
        </w:tc>
      </w:tr>
      <w:tr>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IT账号注销</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&lt;IT管理员&gt;</w:t>
            </w:r>
          </w:p>
        </w:tc>
      </w:tr>
      <w:tr>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2</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考勤确认</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&lt;项目管理部&gt;</w:t>
            </w:r>
          </w:p>
        </w:tc>
      </w:tr>
      <w:tr>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3</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工作交接</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&lt;部门/项目组&gt;</w:t>
            </w:r>
          </w:p>
        </w:tc>
      </w:tr>
      <w:tr>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4</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sectPr>
          <w:pgSz w:w="16838" w:h="11906" w:orient="landscape"/>
          <w:pgMar w:top="1797" w:right="1957" w:bottom="1797" w:left="1860" w:header="851" w:footer="992" w:gutter="0"/>
          <w:pgNumType w:fmt="decimal"/>
          <w:cols w:equalWidth="0" w:num="1">
            <w:col w:w="5986"/>
          </w:cols>
          <w:titlePg/>
          <w:docGrid w:linePitch="312" w:charSpace="0"/>
        </w:sectPr>
      </w:pPr>
      <w:r>
        <w:rPr>
          <w:sz w:val="24"/>
        </w:rPr>
        <w:br w:type="page"/>
      </w:r>
    </w:p>
    <w:p>
      <w:pPr>
        <w:widowControl/>
        <w:spacing w:line="360" w:lineRule="auto"/>
        <w:rPr>
          <w:sz w:val="24"/>
        </w:rPr>
      </w:pPr>
      <w:r>
        <w:rPr>
          <w:sz w:val="24"/>
        </w:rPr>
        <w:t>附件八</w:t>
      </w:r>
      <w:r>
        <w:rPr>
          <w:rFonts w:hint="eastAsia"/>
          <w:sz w:val="24"/>
        </w:rPr>
        <w:t>：</w:t>
      </w:r>
    </w:p>
    <w:p>
      <w:pPr>
        <w:widowControl/>
        <w:spacing w:line="360" w:lineRule="auto"/>
        <w:jc w:val="center"/>
        <w:rPr>
          <w:b/>
          <w:sz w:val="24"/>
        </w:rPr>
      </w:pPr>
      <w:r>
        <w:rPr>
          <w:rFonts w:hint="eastAsia"/>
          <w:b/>
          <w:sz w:val="24"/>
        </w:rPr>
        <w:t>技术服务人员管理制度</w:t>
      </w:r>
    </w:p>
    <w:p>
      <w:pPr>
        <w:widowControl/>
        <w:spacing w:line="360" w:lineRule="auto"/>
        <w:rPr>
          <w:sz w:val="24"/>
        </w:rPr>
      </w:pPr>
      <w:r>
        <w:rPr>
          <w:rFonts w:hint="eastAsia"/>
          <w:sz w:val="24"/>
        </w:rPr>
        <w:t>1</w:t>
      </w:r>
      <w:r>
        <w:rPr>
          <w:rFonts w:hint="eastAsia"/>
          <w:sz w:val="24"/>
        </w:rPr>
        <w:tab/>
      </w:r>
      <w:r>
        <w:rPr>
          <w:rFonts w:hint="eastAsia"/>
          <w:sz w:val="24"/>
        </w:rPr>
        <w:t>目的</w:t>
      </w:r>
    </w:p>
    <w:p>
      <w:pPr>
        <w:widowControl/>
        <w:spacing w:line="360" w:lineRule="auto"/>
        <w:rPr>
          <w:sz w:val="24"/>
        </w:rPr>
      </w:pPr>
      <w:r>
        <w:rPr>
          <w:rFonts w:hint="eastAsia"/>
          <w:sz w:val="24"/>
        </w:rPr>
        <w:t>本制度为满足公司对乙方派驻的技术服务人员按照统一的管理制度进行管理，使得乙方派驻的技术服务人员在日常工作中的出勤、出差、加班、考评等事宜都有制度可依。</w:t>
      </w:r>
    </w:p>
    <w:p>
      <w:pPr>
        <w:widowControl/>
        <w:spacing w:line="360" w:lineRule="auto"/>
        <w:rPr>
          <w:sz w:val="24"/>
        </w:rPr>
      </w:pPr>
      <w:r>
        <w:rPr>
          <w:rFonts w:hint="eastAsia"/>
          <w:sz w:val="24"/>
        </w:rPr>
        <w:t>2</w:t>
      </w:r>
      <w:r>
        <w:rPr>
          <w:rFonts w:hint="eastAsia"/>
          <w:sz w:val="24"/>
        </w:rPr>
        <w:tab/>
      </w:r>
      <w:r>
        <w:rPr>
          <w:rFonts w:hint="eastAsia"/>
          <w:sz w:val="24"/>
        </w:rPr>
        <w:t>适用范围</w:t>
      </w:r>
    </w:p>
    <w:p>
      <w:pPr>
        <w:widowControl/>
        <w:spacing w:line="360" w:lineRule="auto"/>
        <w:rPr>
          <w:sz w:val="24"/>
        </w:rPr>
      </w:pPr>
      <w:r>
        <w:rPr>
          <w:rFonts w:hint="eastAsia"/>
          <w:sz w:val="24"/>
        </w:rPr>
        <w:t>本办法适用于对所有跟本公司签署过技术服务协议的技术服务员工的管理。</w:t>
      </w:r>
    </w:p>
    <w:p>
      <w:pPr>
        <w:widowControl/>
        <w:spacing w:line="360" w:lineRule="auto"/>
        <w:rPr>
          <w:sz w:val="24"/>
        </w:rPr>
      </w:pPr>
      <w:r>
        <w:rPr>
          <w:rFonts w:hint="eastAsia"/>
          <w:sz w:val="24"/>
        </w:rPr>
        <w:t>3</w:t>
      </w:r>
      <w:r>
        <w:rPr>
          <w:rFonts w:hint="eastAsia"/>
          <w:sz w:val="24"/>
        </w:rPr>
        <w:tab/>
      </w:r>
      <w:r>
        <w:rPr>
          <w:rFonts w:hint="eastAsia"/>
          <w:sz w:val="24"/>
        </w:rPr>
        <w:t>考勤管理</w:t>
      </w:r>
    </w:p>
    <w:p>
      <w:pPr>
        <w:widowControl/>
        <w:spacing w:line="360" w:lineRule="auto"/>
        <w:rPr>
          <w:sz w:val="24"/>
        </w:rPr>
      </w:pPr>
      <w:r>
        <w:rPr>
          <w:rFonts w:hint="eastAsia"/>
          <w:sz w:val="24"/>
        </w:rPr>
        <w:t>3.1</w:t>
      </w:r>
      <w:r>
        <w:rPr>
          <w:rFonts w:hint="eastAsia"/>
          <w:sz w:val="24"/>
        </w:rPr>
        <w:tab/>
      </w:r>
      <w:r>
        <w:rPr>
          <w:rFonts w:hint="eastAsia"/>
          <w:sz w:val="24"/>
        </w:rPr>
        <w:t>工作时间</w:t>
      </w:r>
    </w:p>
    <w:p>
      <w:pPr>
        <w:widowControl/>
        <w:spacing w:line="360" w:lineRule="auto"/>
        <w:rPr>
          <w:sz w:val="24"/>
        </w:rPr>
      </w:pPr>
      <w:r>
        <w:rPr>
          <w:rFonts w:hint="eastAsia"/>
          <w:sz w:val="24"/>
        </w:rPr>
        <w:t>1、公司实行5天工作制，每周工作40小时。正常工作时间为周一至周五，上午9:00至下午18:00；午休时间为12:00-13:00；</w:t>
      </w:r>
    </w:p>
    <w:p>
      <w:pPr>
        <w:widowControl/>
        <w:spacing w:line="360" w:lineRule="auto"/>
        <w:rPr>
          <w:sz w:val="24"/>
        </w:rPr>
      </w:pPr>
      <w:r>
        <w:rPr>
          <w:rFonts w:hint="eastAsia"/>
          <w:sz w:val="24"/>
        </w:rPr>
        <w:t>2、在客户现场办公的技术服务人员，以客户或项目经理要求的作息时间为准；</w:t>
      </w:r>
    </w:p>
    <w:p>
      <w:pPr>
        <w:widowControl/>
        <w:spacing w:line="360" w:lineRule="auto"/>
        <w:rPr>
          <w:sz w:val="24"/>
        </w:rPr>
      </w:pPr>
      <w:r>
        <w:rPr>
          <w:rFonts w:hint="eastAsia"/>
          <w:sz w:val="24"/>
        </w:rPr>
        <w:t>3、技术服务人员须准时上下班，迟于规定时间上班为迟到，早于规定时间下班为早退；</w:t>
      </w:r>
    </w:p>
    <w:p>
      <w:pPr>
        <w:widowControl/>
        <w:spacing w:line="360" w:lineRule="auto"/>
        <w:rPr>
          <w:sz w:val="24"/>
        </w:rPr>
      </w:pPr>
      <w:r>
        <w:rPr>
          <w:rFonts w:hint="eastAsia"/>
          <w:sz w:val="24"/>
        </w:rPr>
        <w:t>4、迟到/早退时间由甲方项目经理酌情记录，累计8小时，扣除一天出勤天数。</w:t>
      </w:r>
    </w:p>
    <w:p>
      <w:pPr>
        <w:widowControl/>
        <w:spacing w:line="360" w:lineRule="auto"/>
        <w:rPr>
          <w:sz w:val="24"/>
        </w:rPr>
      </w:pPr>
      <w:r>
        <w:rPr>
          <w:rFonts w:hint="eastAsia"/>
          <w:sz w:val="24"/>
        </w:rPr>
        <w:t>3.2</w:t>
      </w:r>
      <w:r>
        <w:rPr>
          <w:rFonts w:hint="eastAsia"/>
          <w:sz w:val="24"/>
        </w:rPr>
        <w:tab/>
      </w:r>
      <w:r>
        <w:rPr>
          <w:rFonts w:hint="eastAsia"/>
          <w:sz w:val="24"/>
        </w:rPr>
        <w:t>请假</w:t>
      </w:r>
    </w:p>
    <w:p>
      <w:pPr>
        <w:widowControl/>
        <w:spacing w:line="360" w:lineRule="auto"/>
        <w:rPr>
          <w:sz w:val="24"/>
        </w:rPr>
      </w:pPr>
      <w:r>
        <w:rPr>
          <w:rFonts w:hint="eastAsia"/>
          <w:sz w:val="24"/>
        </w:rPr>
        <w:t>1、所有请假须事先提出邮件申请，写明请假时间及理由。项目上的技术服务人员需向项目经理申请，非项目上的技术服务人员向直接上级申请，同时抄送项目管理部技术服务管理员；紧急情况需电话及时告知，后补邮件；</w:t>
      </w:r>
    </w:p>
    <w:p>
      <w:pPr>
        <w:widowControl/>
        <w:spacing w:line="360" w:lineRule="auto"/>
        <w:rPr>
          <w:sz w:val="24"/>
        </w:rPr>
      </w:pPr>
      <w:r>
        <w:rPr>
          <w:rFonts w:hint="eastAsia"/>
          <w:sz w:val="24"/>
        </w:rPr>
        <w:t>2、无故缺勤者按旷工处理，当年旷工累计达3天及以上的，公司有权利与技术服务公司解除该人员的技术服务协议；</w:t>
      </w:r>
    </w:p>
    <w:p>
      <w:pPr>
        <w:widowControl/>
        <w:spacing w:line="360" w:lineRule="auto"/>
        <w:rPr>
          <w:sz w:val="24"/>
        </w:rPr>
      </w:pPr>
      <w:r>
        <w:rPr>
          <w:rFonts w:hint="eastAsia"/>
          <w:sz w:val="24"/>
        </w:rPr>
        <w:t>3、每月月初，由项目经理/直接主管提交下属技术服务人员的《考勤记录表》给项目管理部技术服务管理员。</w:t>
      </w:r>
    </w:p>
    <w:p>
      <w:pPr>
        <w:widowControl/>
        <w:spacing w:line="360" w:lineRule="auto"/>
        <w:rPr>
          <w:sz w:val="24"/>
        </w:rPr>
      </w:pPr>
      <w:r>
        <w:rPr>
          <w:rFonts w:hint="eastAsia"/>
          <w:sz w:val="24"/>
        </w:rPr>
        <w:t>4</w:t>
      </w:r>
      <w:r>
        <w:rPr>
          <w:rFonts w:hint="eastAsia"/>
          <w:sz w:val="24"/>
        </w:rPr>
        <w:tab/>
      </w:r>
      <w:r>
        <w:rPr>
          <w:rFonts w:hint="eastAsia"/>
          <w:sz w:val="24"/>
        </w:rPr>
        <w:t>出差管理</w:t>
      </w:r>
    </w:p>
    <w:p>
      <w:pPr>
        <w:widowControl/>
        <w:spacing w:line="360" w:lineRule="auto"/>
        <w:rPr>
          <w:sz w:val="24"/>
        </w:rPr>
      </w:pPr>
      <w:r>
        <w:rPr>
          <w:rFonts w:hint="eastAsia"/>
          <w:sz w:val="24"/>
        </w:rPr>
        <w:t>1、技术服务人员需服从项目经理/直接主管的安排出差；</w:t>
      </w:r>
    </w:p>
    <w:p>
      <w:pPr>
        <w:widowControl/>
        <w:spacing w:line="360" w:lineRule="auto"/>
        <w:rPr>
          <w:sz w:val="24"/>
        </w:rPr>
      </w:pPr>
      <w:r>
        <w:rPr>
          <w:rFonts w:hint="eastAsia"/>
          <w:sz w:val="24"/>
        </w:rPr>
        <w:t>2、交通费：由公司往返出差地之间的交通费用可以报销（未经允许的往返费用不予报销）；出差期间本着就近住宿的原则，不再报销市内交通费用；</w:t>
      </w:r>
    </w:p>
    <w:p>
      <w:pPr>
        <w:widowControl/>
        <w:spacing w:line="360" w:lineRule="auto"/>
        <w:rPr>
          <w:sz w:val="24"/>
        </w:rPr>
      </w:pPr>
      <w:r>
        <w:rPr>
          <w:rFonts w:hint="eastAsia"/>
          <w:sz w:val="24"/>
        </w:rPr>
        <w:t>3、交通工具：普通列车硬座或硬卧、动车/高铁二等座；如有特殊原因需坐飞机，则由项目经理/直接主管协调行政人员预定；</w:t>
      </w:r>
    </w:p>
    <w:p>
      <w:pPr>
        <w:widowControl/>
        <w:spacing w:line="360" w:lineRule="auto"/>
        <w:rPr>
          <w:sz w:val="24"/>
        </w:rPr>
      </w:pPr>
      <w:r>
        <w:rPr>
          <w:rFonts w:hint="eastAsia"/>
          <w:sz w:val="24"/>
        </w:rPr>
        <w:t>4、住宿：长期出差原则上公司提供宿舍；公司宿舍不能提供住宿的，可入住公司项目附近的协议酒店；如无法入住协议酒店的，则可选择附近的经济快捷酒店；同性别则两人同住一间；除住宿费外，其余费用不予报销。</w:t>
      </w:r>
    </w:p>
    <w:p>
      <w:pPr>
        <w:widowControl/>
        <w:spacing w:line="360" w:lineRule="auto"/>
        <w:rPr>
          <w:sz w:val="24"/>
        </w:rPr>
      </w:pPr>
      <w:r>
        <w:rPr>
          <w:rFonts w:hint="eastAsia"/>
          <w:sz w:val="24"/>
        </w:rPr>
        <w:t>5</w:t>
      </w:r>
      <w:r>
        <w:rPr>
          <w:rFonts w:hint="eastAsia"/>
          <w:sz w:val="24"/>
        </w:rPr>
        <w:tab/>
      </w:r>
      <w:r>
        <w:rPr>
          <w:rFonts w:hint="eastAsia"/>
          <w:sz w:val="24"/>
        </w:rPr>
        <w:t>加班管理</w:t>
      </w:r>
    </w:p>
    <w:p>
      <w:pPr>
        <w:widowControl/>
        <w:spacing w:line="360" w:lineRule="auto"/>
        <w:rPr>
          <w:sz w:val="24"/>
        </w:rPr>
      </w:pPr>
      <w:r>
        <w:rPr>
          <w:rFonts w:hint="eastAsia"/>
          <w:sz w:val="24"/>
        </w:rPr>
        <w:t>1、公司鼓励技术服务人员在每天8小时工作制内完成本职工作，不鼓励加班；</w:t>
      </w:r>
    </w:p>
    <w:p>
      <w:pPr>
        <w:widowControl/>
        <w:spacing w:line="360" w:lineRule="auto"/>
        <w:rPr>
          <w:sz w:val="24"/>
        </w:rPr>
      </w:pPr>
      <w:r>
        <w:rPr>
          <w:rFonts w:hint="eastAsia"/>
          <w:sz w:val="24"/>
        </w:rPr>
        <w:t>2、由于工作需要必须在非工作日加班完成的工作，由部门经理/项目经理认定是否为加班，并且在每月提交的《考勤记录表》中上报加班工时；</w:t>
      </w:r>
    </w:p>
    <w:p>
      <w:pPr>
        <w:widowControl/>
        <w:spacing w:line="360" w:lineRule="auto"/>
        <w:rPr>
          <w:sz w:val="24"/>
        </w:rPr>
      </w:pPr>
      <w:r>
        <w:rPr>
          <w:rFonts w:hint="eastAsia"/>
          <w:sz w:val="24"/>
        </w:rPr>
        <w:t>3、加班采取倒休同等时间的方式补助。</w:t>
      </w:r>
    </w:p>
    <w:p>
      <w:pPr>
        <w:widowControl/>
        <w:spacing w:line="360" w:lineRule="auto"/>
        <w:rPr>
          <w:sz w:val="24"/>
        </w:rPr>
      </w:pPr>
      <w:r>
        <w:rPr>
          <w:rFonts w:hint="eastAsia"/>
          <w:sz w:val="24"/>
        </w:rPr>
        <w:t>6</w:t>
      </w:r>
      <w:r>
        <w:rPr>
          <w:rFonts w:hint="eastAsia"/>
          <w:sz w:val="24"/>
        </w:rPr>
        <w:tab/>
      </w:r>
      <w:r>
        <w:rPr>
          <w:rFonts w:hint="eastAsia"/>
          <w:sz w:val="24"/>
        </w:rPr>
        <w:t>评价管理</w:t>
      </w:r>
    </w:p>
    <w:p>
      <w:pPr>
        <w:widowControl/>
        <w:spacing w:line="360" w:lineRule="auto"/>
        <w:rPr>
          <w:sz w:val="24"/>
        </w:rPr>
      </w:pPr>
      <w:r>
        <w:rPr>
          <w:rFonts w:hint="eastAsia"/>
          <w:sz w:val="24"/>
        </w:rPr>
        <w:t>6.1</w:t>
      </w:r>
      <w:r>
        <w:rPr>
          <w:rFonts w:hint="eastAsia"/>
          <w:sz w:val="24"/>
        </w:rPr>
        <w:tab/>
      </w:r>
      <w:r>
        <w:rPr>
          <w:rFonts w:hint="eastAsia"/>
          <w:sz w:val="24"/>
        </w:rPr>
        <w:t>试用期评价</w:t>
      </w:r>
    </w:p>
    <w:p>
      <w:pPr>
        <w:widowControl/>
        <w:spacing w:line="360" w:lineRule="auto"/>
        <w:rPr>
          <w:sz w:val="24"/>
        </w:rPr>
      </w:pPr>
      <w:r>
        <w:rPr>
          <w:rFonts w:hint="eastAsia"/>
          <w:sz w:val="24"/>
        </w:rPr>
        <w:t>项目经理/直接主管在技术服务人员入职5个工作日后发起试用期评价流程，填写《技术服务试用期评价表》，交给项目管理部。如技术服务人员得分60以下，则项目经理/直接主管有权要求项目管理部和技术服务公司沟通更换人员。</w:t>
      </w:r>
    </w:p>
    <w:p>
      <w:pPr>
        <w:widowControl/>
        <w:spacing w:line="360" w:lineRule="auto"/>
        <w:rPr>
          <w:sz w:val="24"/>
        </w:rPr>
      </w:pPr>
      <w:r>
        <w:rPr>
          <w:rFonts w:hint="eastAsia"/>
          <w:sz w:val="24"/>
        </w:rPr>
        <w:t>6.2</w:t>
      </w:r>
      <w:r>
        <w:rPr>
          <w:rFonts w:hint="eastAsia"/>
          <w:sz w:val="24"/>
        </w:rPr>
        <w:tab/>
      </w:r>
      <w:r>
        <w:rPr>
          <w:rFonts w:hint="eastAsia"/>
          <w:sz w:val="24"/>
        </w:rPr>
        <w:t>定期评价</w:t>
      </w:r>
    </w:p>
    <w:p>
      <w:pPr>
        <w:widowControl/>
        <w:spacing w:line="360" w:lineRule="auto"/>
        <w:rPr>
          <w:sz w:val="24"/>
        </w:rPr>
      </w:pPr>
      <w:r>
        <w:rPr>
          <w:rFonts w:hint="eastAsia"/>
          <w:sz w:val="24"/>
        </w:rPr>
        <w:t>项目经理/直接主管按月对技术服务人员的表现进行评价，填写《技术服务定期评价表》，交给项目管理部。如技术服务人员得分60以下，则项目经理/直接主管有权要求项目管理部和技术服务公司沟通更换人员。</w:t>
      </w:r>
    </w:p>
    <w:p>
      <w:pPr>
        <w:widowControl/>
        <w:spacing w:line="360" w:lineRule="auto"/>
        <w:rPr>
          <w:sz w:val="24"/>
        </w:rPr>
      </w:pPr>
      <w:r>
        <w:rPr>
          <w:rFonts w:hint="eastAsia"/>
          <w:sz w:val="24"/>
        </w:rPr>
        <w:t>7</w:t>
      </w:r>
      <w:r>
        <w:rPr>
          <w:rFonts w:hint="eastAsia"/>
          <w:sz w:val="24"/>
        </w:rPr>
        <w:tab/>
      </w:r>
      <w:r>
        <w:rPr>
          <w:rFonts w:hint="eastAsia"/>
          <w:sz w:val="24"/>
        </w:rPr>
        <w:t>离场管理</w:t>
      </w:r>
    </w:p>
    <w:p>
      <w:pPr>
        <w:widowControl/>
        <w:spacing w:line="360" w:lineRule="auto"/>
        <w:ind w:firstLine="240" w:firstLineChars="100"/>
        <w:rPr>
          <w:sz w:val="24"/>
        </w:rPr>
      </w:pPr>
      <w:r>
        <w:rPr>
          <w:sz w:val="24"/>
        </w:rPr>
        <w:t xml:space="preserve">7.1 </w:t>
      </w:r>
      <w:r>
        <w:rPr>
          <w:rFonts w:hint="eastAsia"/>
          <w:sz w:val="24"/>
        </w:rPr>
        <w:t>技术服务人员在服务期内或者服务期结束后撤离部门/项目组，需提前一个月和项目经理/直属领导进行沟通，待其同意后，邮件告知项目管理部知晓；</w:t>
      </w:r>
    </w:p>
    <w:p>
      <w:pPr>
        <w:widowControl/>
        <w:spacing w:line="360" w:lineRule="auto"/>
        <w:ind w:firstLine="240" w:firstLineChars="100"/>
        <w:rPr>
          <w:sz w:val="24"/>
        </w:rPr>
      </w:pPr>
      <w:r>
        <w:rPr>
          <w:sz w:val="24"/>
        </w:rPr>
        <w:t xml:space="preserve">7.2 </w:t>
      </w:r>
      <w:r>
        <w:rPr>
          <w:rFonts w:hint="eastAsia"/>
          <w:sz w:val="24"/>
        </w:rPr>
        <w:t>技术服务人员在离场前需填写《离场确认单》，递交项目管理部办理相关离场手续，包括核算考勤天数、确认是否完成工作交接等。</w:t>
      </w:r>
    </w:p>
    <w:p>
      <w:pPr>
        <w:widowControl/>
        <w:spacing w:line="360" w:lineRule="auto"/>
        <w:rPr>
          <w:sz w:val="24"/>
        </w:rPr>
      </w:pPr>
      <w:r>
        <w:rPr>
          <w:rFonts w:hint="eastAsia"/>
          <w:sz w:val="24"/>
        </w:rPr>
        <w:t>8</w:t>
      </w:r>
      <w:r>
        <w:rPr>
          <w:rFonts w:hint="eastAsia"/>
          <w:sz w:val="24"/>
        </w:rPr>
        <w:tab/>
      </w:r>
      <w:r>
        <w:rPr>
          <w:rFonts w:hint="eastAsia"/>
          <w:sz w:val="24"/>
        </w:rPr>
        <w:t>结算管理</w:t>
      </w:r>
    </w:p>
    <w:p>
      <w:pPr>
        <w:widowControl/>
        <w:spacing w:line="360" w:lineRule="auto"/>
        <w:ind w:firstLine="240" w:firstLineChars="100"/>
        <w:rPr>
          <w:sz w:val="24"/>
        </w:rPr>
      </w:pPr>
      <w:r>
        <w:rPr>
          <w:sz w:val="24"/>
        </w:rPr>
        <w:t xml:space="preserve">8.1 </w:t>
      </w:r>
      <w:r>
        <w:rPr>
          <w:rFonts w:hint="eastAsia"/>
          <w:sz w:val="24"/>
        </w:rPr>
        <w:t>根据约定好的结算周期，技术服务公司定期发起《结算申请单》；</w:t>
      </w:r>
    </w:p>
    <w:p>
      <w:pPr>
        <w:widowControl/>
        <w:spacing w:line="360" w:lineRule="auto"/>
        <w:ind w:firstLine="240" w:firstLineChars="100"/>
        <w:rPr>
          <w:sz w:val="24"/>
        </w:rPr>
      </w:pPr>
      <w:r>
        <w:rPr>
          <w:sz w:val="24"/>
        </w:rPr>
        <w:t>8.2</w:t>
      </w:r>
      <w:r>
        <w:rPr>
          <w:rFonts w:hint="eastAsia"/>
          <w:sz w:val="24"/>
        </w:rPr>
        <w:t>待项目管理部确认《结算申请单》中单价、天数、付款金额等关键信息无误后，内部发起技术服务结算审批及付款流程。</w:t>
      </w:r>
    </w:p>
    <w:p>
      <w:pPr>
        <w:widowControl/>
        <w:spacing w:line="360" w:lineRule="auto"/>
        <w:rPr>
          <w:sz w:val="24"/>
        </w:rPr>
      </w:pPr>
      <w:r>
        <w:rPr>
          <w:rFonts w:hint="eastAsia"/>
          <w:sz w:val="24"/>
        </w:rPr>
        <w:t>9</w:t>
      </w:r>
      <w:r>
        <w:rPr>
          <w:rFonts w:hint="eastAsia"/>
          <w:sz w:val="24"/>
        </w:rPr>
        <w:tab/>
      </w:r>
      <w:r>
        <w:rPr>
          <w:rFonts w:hint="eastAsia"/>
          <w:sz w:val="24"/>
        </w:rPr>
        <w:t>附则</w:t>
      </w:r>
    </w:p>
    <w:p>
      <w:pPr>
        <w:widowControl/>
        <w:spacing w:line="360" w:lineRule="auto"/>
        <w:rPr>
          <w:sz w:val="24"/>
        </w:rPr>
      </w:pPr>
      <w:r>
        <w:rPr>
          <w:sz w:val="24"/>
        </w:rPr>
        <w:t xml:space="preserve">9.1 </w:t>
      </w:r>
      <w:r>
        <w:rPr>
          <w:rFonts w:hint="eastAsia"/>
          <w:sz w:val="24"/>
        </w:rPr>
        <w:t>本制度自OA系统发布公示之日起开始执行；</w:t>
      </w:r>
    </w:p>
    <w:p>
      <w:pPr>
        <w:widowControl/>
        <w:spacing w:line="360" w:lineRule="auto"/>
        <w:rPr>
          <w:sz w:val="24"/>
        </w:rPr>
      </w:pPr>
      <w:r>
        <w:rPr>
          <w:sz w:val="24"/>
        </w:rPr>
        <w:t xml:space="preserve">9.2 </w:t>
      </w:r>
      <w:r>
        <w:rPr>
          <w:rFonts w:hint="eastAsia"/>
          <w:sz w:val="24"/>
        </w:rPr>
        <w:t>公司保留因公司发展而做出相应修订的权利；</w:t>
      </w:r>
    </w:p>
    <w:p>
      <w:pPr>
        <w:widowControl/>
        <w:spacing w:line="360" w:lineRule="auto"/>
        <w:rPr>
          <w:sz w:val="24"/>
        </w:rPr>
      </w:pPr>
      <w:r>
        <w:rPr>
          <w:sz w:val="24"/>
        </w:rPr>
        <w:t>9.3</w:t>
      </w:r>
      <w:r>
        <w:rPr>
          <w:rFonts w:hint="eastAsia"/>
          <w:sz w:val="24"/>
        </w:rPr>
        <w:t>本制度由项目管理部门进行解释与修订。</w:t>
      </w: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r>
        <w:rPr>
          <w:sz w:val="24"/>
        </w:rPr>
        <w:br w:type="page"/>
      </w:r>
    </w:p>
    <w:p>
      <w:pPr>
        <w:widowControl/>
        <w:spacing w:line="360" w:lineRule="auto"/>
        <w:rPr>
          <w:sz w:val="24"/>
        </w:rPr>
      </w:pPr>
      <w:r>
        <w:rPr>
          <w:sz w:val="24"/>
        </w:rPr>
        <w:t>附件</w:t>
      </w:r>
      <w:r>
        <w:rPr>
          <w:rFonts w:hint="eastAsia"/>
          <w:sz w:val="24"/>
        </w:rPr>
        <w:t>九：</w:t>
      </w:r>
    </w:p>
    <w:p>
      <w:pPr>
        <w:widowControl/>
        <w:spacing w:line="360" w:lineRule="auto"/>
        <w:jc w:val="center"/>
        <w:rPr>
          <w:b/>
          <w:sz w:val="24"/>
        </w:rPr>
      </w:pPr>
      <w:bookmarkStart w:id="7" w:name="_Toc341871386"/>
      <w:bookmarkStart w:id="8" w:name="_Toc331669273"/>
      <w:r>
        <w:rPr>
          <w:rFonts w:hint="eastAsia"/>
          <w:b/>
          <w:sz w:val="24"/>
        </w:rPr>
        <w:t>保密协议</w:t>
      </w:r>
      <w:bookmarkEnd w:id="7"/>
      <w:bookmarkEnd w:id="8"/>
    </w:p>
    <w:p>
      <w:pPr>
        <w:widowControl/>
        <w:spacing w:line="360" w:lineRule="auto"/>
        <w:rPr>
          <w:sz w:val="24"/>
        </w:rPr>
      </w:pPr>
      <w:r>
        <w:rPr>
          <w:rFonts w:hint="eastAsia"/>
          <w:sz w:val="24"/>
        </w:rPr>
        <w:t>甲方：凯美瑞德（苏州）信息科技股份有限公司</w:t>
      </w:r>
    </w:p>
    <w:p>
      <w:pPr>
        <w:widowControl/>
        <w:spacing w:line="360" w:lineRule="auto"/>
        <w:rPr>
          <w:sz w:val="24"/>
        </w:rPr>
      </w:pPr>
      <w:r>
        <w:rPr>
          <w:rFonts w:hint="eastAsia"/>
          <w:sz w:val="24"/>
        </w:rPr>
        <w:t>乙方：</w:t>
      </w:r>
    </w:p>
    <w:p>
      <w:pPr>
        <w:widowControl/>
        <w:spacing w:line="360" w:lineRule="auto"/>
        <w:ind w:firstLine="424" w:firstLineChars="177"/>
        <w:rPr>
          <w:sz w:val="24"/>
        </w:rPr>
      </w:pPr>
      <w:r>
        <w:rPr>
          <w:rFonts w:hint="eastAsia"/>
          <w:sz w:val="24"/>
        </w:rPr>
        <w:t>鉴于甲乙双方正在进行的业务项目（以下简称“项目”），双方在这些项目的实施以及合作过程中可能了解到对方的有关保密信息且双方均希望对本协议所述保密信息予以有效保护。为此，经双方经协商一致，达成本协议。</w:t>
      </w:r>
    </w:p>
    <w:p>
      <w:pPr>
        <w:widowControl/>
        <w:spacing w:line="360" w:lineRule="auto"/>
        <w:ind w:firstLine="425" w:firstLineChars="177"/>
        <w:rPr>
          <w:sz w:val="24"/>
        </w:rPr>
      </w:pPr>
      <w:bookmarkStart w:id="9" w:name="_Toc229802210"/>
      <w:bookmarkEnd w:id="9"/>
      <w:r>
        <w:rPr>
          <w:rFonts w:hint="eastAsia"/>
          <w:b/>
          <w:bCs/>
          <w:sz w:val="24"/>
        </w:rPr>
        <w:t>第一条保密信息</w:t>
      </w:r>
    </w:p>
    <w:p>
      <w:pPr>
        <w:widowControl/>
        <w:spacing w:line="360" w:lineRule="auto"/>
        <w:ind w:firstLine="424" w:firstLineChars="177"/>
        <w:rPr>
          <w:sz w:val="24"/>
        </w:rPr>
      </w:pPr>
      <w:r>
        <w:rPr>
          <w:sz w:val="24"/>
        </w:rPr>
        <w:t xml:space="preserve">1.1 </w:t>
      </w:r>
      <w:r>
        <w:rPr>
          <w:rFonts w:hint="eastAsia"/>
          <w:sz w:val="24"/>
        </w:rPr>
        <w:t>本协议项下的保密信息指双方在合作过程中或本协议签署前为项目开展而获知（无论是对方提供，还是无意中了解）的不为公众所知，又能为对方（合法所有者或占有者）带来经济效益的所有信息、数据或技术，包括但不限于提供方的与研究、开发、生产、产品、服务、客户、市场有关的软件、程序、发明、工艺、设计、图纸、专有技术、工程、流程、方式、硬件配置信息、客户名单、员工信息、合同、价格、成本、研究报告、预测和估计、报表、商业计划、商业秘密、商业模式、公司决议等任何或所有的商业信息、财务信息、技术资料、生产资料以及会议资料和文件。</w:t>
      </w:r>
    </w:p>
    <w:p>
      <w:pPr>
        <w:widowControl/>
        <w:spacing w:line="360" w:lineRule="auto"/>
        <w:ind w:firstLine="424" w:firstLineChars="177"/>
        <w:rPr>
          <w:sz w:val="24"/>
        </w:rPr>
      </w:pPr>
      <w:r>
        <w:rPr>
          <w:sz w:val="24"/>
        </w:rPr>
        <w:t xml:space="preserve">1.2 </w:t>
      </w:r>
      <w:r>
        <w:rPr>
          <w:rFonts w:hint="eastAsia"/>
          <w:sz w:val="24"/>
        </w:rPr>
        <w:t>如上述保密信息存在如下情况，则本协议的条款将不适用：</w:t>
      </w:r>
    </w:p>
    <w:p>
      <w:pPr>
        <w:widowControl/>
        <w:spacing w:line="360" w:lineRule="auto"/>
        <w:ind w:firstLine="424" w:firstLineChars="177"/>
        <w:rPr>
          <w:sz w:val="24"/>
        </w:rPr>
      </w:pPr>
      <w:r>
        <w:rPr>
          <w:sz w:val="24"/>
        </w:rPr>
        <w:t xml:space="preserve">1.2.1 </w:t>
      </w:r>
      <w:r>
        <w:rPr>
          <w:rFonts w:hint="eastAsia"/>
          <w:sz w:val="24"/>
        </w:rPr>
        <w:t>在无需承担保密义务的情况下，接收方从提供方处获得上述信息之前就已知晓的；</w:t>
      </w:r>
    </w:p>
    <w:p>
      <w:pPr>
        <w:widowControl/>
        <w:spacing w:line="360" w:lineRule="auto"/>
        <w:ind w:firstLine="424" w:firstLineChars="177"/>
        <w:rPr>
          <w:sz w:val="24"/>
        </w:rPr>
      </w:pPr>
      <w:r>
        <w:rPr>
          <w:sz w:val="24"/>
        </w:rPr>
        <w:t xml:space="preserve">1.2.2 </w:t>
      </w:r>
      <w:r>
        <w:rPr>
          <w:rFonts w:hint="eastAsia"/>
          <w:sz w:val="24"/>
        </w:rPr>
        <w:t>非因任何一方的过错而为公众所了解的；</w:t>
      </w:r>
    </w:p>
    <w:p>
      <w:pPr>
        <w:widowControl/>
        <w:spacing w:line="360" w:lineRule="auto"/>
        <w:ind w:firstLine="424" w:firstLineChars="177"/>
        <w:rPr>
          <w:sz w:val="24"/>
        </w:rPr>
      </w:pPr>
      <w:r>
        <w:rPr>
          <w:sz w:val="24"/>
        </w:rPr>
        <w:t xml:space="preserve">1.2.3 </w:t>
      </w:r>
      <w:r>
        <w:rPr>
          <w:rFonts w:hint="eastAsia"/>
          <w:sz w:val="24"/>
        </w:rPr>
        <w:t>从没有保密义务的第三方正当取得的，并且以该取得方所应了解为限，该第三方不是违法获得和披露该保密信息的；</w:t>
      </w:r>
    </w:p>
    <w:p>
      <w:pPr>
        <w:widowControl/>
        <w:spacing w:line="360" w:lineRule="auto"/>
        <w:ind w:firstLine="424" w:firstLineChars="177"/>
        <w:rPr>
          <w:sz w:val="24"/>
        </w:rPr>
      </w:pPr>
      <w:r>
        <w:rPr>
          <w:sz w:val="24"/>
        </w:rPr>
        <w:t xml:space="preserve">1.2.4 </w:t>
      </w:r>
      <w:r>
        <w:rPr>
          <w:rFonts w:hint="eastAsia"/>
          <w:sz w:val="24"/>
        </w:rPr>
        <w:t>提供方向没有保密义务的第三方合法披露并且被该第三方合法披露的；</w:t>
      </w:r>
    </w:p>
    <w:p>
      <w:pPr>
        <w:widowControl/>
        <w:spacing w:line="360" w:lineRule="auto"/>
        <w:ind w:firstLine="424" w:firstLineChars="177"/>
        <w:rPr>
          <w:sz w:val="24"/>
        </w:rPr>
      </w:pPr>
      <w:r>
        <w:rPr>
          <w:sz w:val="24"/>
        </w:rPr>
        <w:t xml:space="preserve">1.2.5 </w:t>
      </w:r>
      <w:r>
        <w:rPr>
          <w:rFonts w:hint="eastAsia"/>
          <w:sz w:val="24"/>
        </w:rPr>
        <w:t>在没有接触保密信息的情况下，接收方独立开发取得的；</w:t>
      </w:r>
    </w:p>
    <w:p>
      <w:pPr>
        <w:widowControl/>
        <w:spacing w:line="360" w:lineRule="auto"/>
        <w:ind w:firstLine="424" w:firstLineChars="177"/>
        <w:rPr>
          <w:sz w:val="24"/>
        </w:rPr>
      </w:pPr>
      <w:r>
        <w:rPr>
          <w:sz w:val="24"/>
        </w:rPr>
        <w:t xml:space="preserve">1.2.6 </w:t>
      </w:r>
      <w:r>
        <w:rPr>
          <w:rFonts w:hint="eastAsia"/>
          <w:sz w:val="24"/>
        </w:rPr>
        <w:t>接收方事先征得提供方书面同意而发布的。</w:t>
      </w:r>
    </w:p>
    <w:p>
      <w:pPr>
        <w:widowControl/>
        <w:spacing w:line="360" w:lineRule="auto"/>
        <w:ind w:firstLine="424" w:firstLineChars="177"/>
        <w:rPr>
          <w:sz w:val="24"/>
        </w:rPr>
      </w:pPr>
      <w:r>
        <w:rPr>
          <w:sz w:val="24"/>
        </w:rPr>
        <w:t xml:space="preserve">1.3 </w:t>
      </w:r>
      <w:r>
        <w:rPr>
          <w:rFonts w:hint="eastAsia"/>
          <w:sz w:val="24"/>
        </w:rPr>
        <w:t>本协议所称的接收方指通过协议对方提供或无意中了解等其他任何方式从对方获知保密信息的一方；提供方指向协议对方提供或协议对方从该方无意中了解或以其他任何方式从该方获知保密信息的一方。</w:t>
      </w:r>
    </w:p>
    <w:p>
      <w:pPr>
        <w:widowControl/>
        <w:spacing w:line="360" w:lineRule="auto"/>
        <w:ind w:firstLine="425" w:firstLineChars="177"/>
        <w:rPr>
          <w:sz w:val="24"/>
        </w:rPr>
      </w:pPr>
      <w:bookmarkStart w:id="10" w:name="_Toc229802211"/>
      <w:bookmarkEnd w:id="10"/>
      <w:r>
        <w:rPr>
          <w:rFonts w:hint="eastAsia"/>
          <w:b/>
          <w:bCs/>
          <w:sz w:val="24"/>
        </w:rPr>
        <w:t>第二条保密责任</w:t>
      </w:r>
    </w:p>
    <w:p>
      <w:pPr>
        <w:widowControl/>
        <w:spacing w:line="360" w:lineRule="auto"/>
        <w:ind w:firstLine="424" w:firstLineChars="177"/>
        <w:rPr>
          <w:sz w:val="24"/>
        </w:rPr>
      </w:pPr>
      <w:r>
        <w:rPr>
          <w:sz w:val="24"/>
        </w:rPr>
        <w:t xml:space="preserve">2.1 </w:t>
      </w:r>
      <w:r>
        <w:rPr>
          <w:rFonts w:hint="eastAsia"/>
          <w:sz w:val="24"/>
        </w:rPr>
        <w:t>接收方应仅将提供方的保密信息用于与双方合作有关的用途或目的。</w:t>
      </w:r>
    </w:p>
    <w:p>
      <w:pPr>
        <w:widowControl/>
        <w:spacing w:line="360" w:lineRule="auto"/>
        <w:ind w:firstLine="424" w:firstLineChars="177"/>
        <w:rPr>
          <w:sz w:val="24"/>
        </w:rPr>
      </w:pPr>
      <w:r>
        <w:rPr>
          <w:sz w:val="24"/>
        </w:rPr>
        <w:t xml:space="preserve">2.2 </w:t>
      </w:r>
      <w:r>
        <w:rPr>
          <w:rFonts w:hint="eastAsia"/>
          <w:sz w:val="24"/>
        </w:rPr>
        <w:t>接收方应保护和妥善保存从提供方获知的保密信息，除本协议约定外，接收方不得披露提供方的保密信息。</w:t>
      </w:r>
    </w:p>
    <w:p>
      <w:pPr>
        <w:widowControl/>
        <w:spacing w:line="360" w:lineRule="auto"/>
        <w:ind w:firstLine="424" w:firstLineChars="177"/>
        <w:rPr>
          <w:sz w:val="24"/>
        </w:rPr>
      </w:pPr>
      <w:r>
        <w:rPr>
          <w:sz w:val="24"/>
        </w:rPr>
        <w:t xml:space="preserve">2.3 </w:t>
      </w:r>
      <w:r>
        <w:rPr>
          <w:rFonts w:hint="eastAsia"/>
          <w:sz w:val="24"/>
        </w:rPr>
        <w:t>接收方应对从提供方获知的保密信息按本协议约定，并至少采取与适用于自己的保密信息同样的保护措施和审慎程度进行保密。</w:t>
      </w:r>
    </w:p>
    <w:p>
      <w:pPr>
        <w:widowControl/>
        <w:spacing w:line="360" w:lineRule="auto"/>
        <w:ind w:firstLine="424" w:firstLineChars="177"/>
        <w:rPr>
          <w:sz w:val="24"/>
        </w:rPr>
      </w:pPr>
      <w:r>
        <w:rPr>
          <w:sz w:val="24"/>
        </w:rPr>
        <w:t xml:space="preserve">2.4 </w:t>
      </w:r>
      <w:r>
        <w:rPr>
          <w:rFonts w:hint="eastAsia"/>
          <w:sz w:val="24"/>
        </w:rPr>
        <w:t>保密信息仅可在接收方从事本项目所需的负责人和雇员范围内知悉。在上述人员知悉该保密信息前，接收方应向其提示保密信息的保密性和应承担的义务，并保证上述人员以书面形式同意接受本协议条款的约束。</w:t>
      </w:r>
    </w:p>
    <w:p>
      <w:pPr>
        <w:widowControl/>
        <w:spacing w:line="360" w:lineRule="auto"/>
        <w:ind w:firstLine="424" w:firstLineChars="177"/>
        <w:rPr>
          <w:sz w:val="24"/>
        </w:rPr>
      </w:pPr>
      <w:r>
        <w:rPr>
          <w:sz w:val="24"/>
        </w:rPr>
        <w:t xml:space="preserve">2.5 </w:t>
      </w:r>
      <w:r>
        <w:rPr>
          <w:rFonts w:hint="eastAsia"/>
          <w:sz w:val="24"/>
        </w:rPr>
        <w:t>保密信息提供方要求时，接收方应按照保密信息提供方的指示将含有保密信息的所有文件或其他资料归还给保密信息的提供方，或者按照保密信息提供方的指示予以销毁，且有关销毁清单应同时送交给提供方。</w:t>
      </w:r>
    </w:p>
    <w:p>
      <w:pPr>
        <w:widowControl/>
        <w:spacing w:line="360" w:lineRule="auto"/>
        <w:ind w:firstLine="424" w:firstLineChars="177"/>
        <w:rPr>
          <w:sz w:val="24"/>
        </w:rPr>
      </w:pPr>
      <w:r>
        <w:rPr>
          <w:sz w:val="24"/>
        </w:rPr>
        <w:t xml:space="preserve">2.6 </w:t>
      </w:r>
      <w:r>
        <w:rPr>
          <w:rFonts w:hint="eastAsia"/>
          <w:sz w:val="24"/>
        </w:rPr>
        <w:t>上述限制条款不适用于以下情况：</w:t>
      </w:r>
    </w:p>
    <w:p>
      <w:pPr>
        <w:widowControl/>
        <w:spacing w:line="360" w:lineRule="auto"/>
        <w:ind w:firstLine="424" w:firstLineChars="177"/>
        <w:rPr>
          <w:sz w:val="24"/>
        </w:rPr>
      </w:pPr>
      <w:r>
        <w:rPr>
          <w:rFonts w:hint="eastAsia"/>
          <w:sz w:val="24"/>
        </w:rPr>
        <w:t>接收方收到司法机关、仲裁机关、行政机关等有权机构的有效传票或指令，被要求披露全部或部分保密信息，并据此向上述机构披露保密信息的，但前提是接收方应立即通知提供方其被要求披露的事实、条件和情况，并与提供方磋商采取可行的法律步骤以拒绝该等要求或缩小该等要求的范围；如果必须或认为应该披露上述保密信息，接收方应获得由要求其披露的机构签发的指令并尽力获得上述机构对于合法使用保密信息的可靠保证。</w:t>
      </w:r>
    </w:p>
    <w:p>
      <w:pPr>
        <w:widowControl/>
        <w:spacing w:line="360" w:lineRule="auto"/>
        <w:ind w:firstLine="424" w:firstLineChars="177"/>
        <w:rPr>
          <w:sz w:val="24"/>
        </w:rPr>
      </w:pPr>
      <w:r>
        <w:rPr>
          <w:sz w:val="24"/>
        </w:rPr>
        <w:t xml:space="preserve">2.7 </w:t>
      </w:r>
      <w:r>
        <w:rPr>
          <w:rFonts w:hint="eastAsia"/>
          <w:sz w:val="24"/>
        </w:rPr>
        <w:t>如果接收方须向任何第三方披露保密信息，则接收方应事先得到提供方的书面同意。在向第三方披露保密信息之前，接收方应按照不低于本协议保密要求的程度与第三方签署保密协议。</w:t>
      </w:r>
    </w:p>
    <w:p>
      <w:pPr>
        <w:widowControl/>
        <w:spacing w:line="360" w:lineRule="auto"/>
        <w:ind w:firstLine="424" w:firstLineChars="177"/>
        <w:rPr>
          <w:sz w:val="24"/>
        </w:rPr>
      </w:pPr>
      <w:r>
        <w:rPr>
          <w:sz w:val="24"/>
        </w:rPr>
        <w:t xml:space="preserve">2.8 </w:t>
      </w:r>
      <w:r>
        <w:rPr>
          <w:rFonts w:hint="eastAsia"/>
          <w:sz w:val="24"/>
        </w:rPr>
        <w:t>若接收方将与第三方合并、被第三方兼并，接收方应立即将提供方的保密资料归还提供方，或根据提供方的要求予以销毁，且有关销毁清单应同时送交给提供方；但如事先获得提供方的书面同意，接收方可继续使用该保密信息。</w:t>
      </w:r>
    </w:p>
    <w:p>
      <w:pPr>
        <w:widowControl/>
        <w:spacing w:line="360" w:lineRule="auto"/>
        <w:ind w:firstLine="425" w:firstLineChars="177"/>
        <w:rPr>
          <w:sz w:val="24"/>
        </w:rPr>
      </w:pPr>
      <w:bookmarkStart w:id="11" w:name="_Toc229802212"/>
      <w:bookmarkEnd w:id="11"/>
      <w:r>
        <w:rPr>
          <w:rFonts w:hint="eastAsia"/>
          <w:b/>
          <w:bCs/>
          <w:sz w:val="24"/>
        </w:rPr>
        <w:t>第三条知识产权</w:t>
      </w:r>
    </w:p>
    <w:p>
      <w:pPr>
        <w:widowControl/>
        <w:spacing w:line="360" w:lineRule="auto"/>
        <w:ind w:firstLine="424" w:firstLineChars="177"/>
        <w:rPr>
          <w:sz w:val="24"/>
        </w:rPr>
      </w:pPr>
      <w:r>
        <w:rPr>
          <w:sz w:val="24"/>
        </w:rPr>
        <w:t xml:space="preserve">3.1 </w:t>
      </w:r>
      <w:r>
        <w:rPr>
          <w:rFonts w:hint="eastAsia"/>
          <w:sz w:val="24"/>
        </w:rPr>
        <w:t>保密义务同样适用于有关未经注册或未被授予专利权的发明的文件和信息。</w:t>
      </w:r>
    </w:p>
    <w:p>
      <w:pPr>
        <w:widowControl/>
        <w:spacing w:line="360" w:lineRule="auto"/>
        <w:ind w:firstLine="424" w:firstLineChars="177"/>
        <w:rPr>
          <w:sz w:val="24"/>
        </w:rPr>
      </w:pPr>
      <w:r>
        <w:rPr>
          <w:sz w:val="24"/>
        </w:rPr>
        <w:t xml:space="preserve">3.2 </w:t>
      </w:r>
      <w:r>
        <w:rPr>
          <w:rFonts w:hint="eastAsia"/>
          <w:sz w:val="24"/>
        </w:rPr>
        <w:t>在未使用提供方的保密信息的情况下，接收方独立开发取得的知识产权属于接受方所有。</w:t>
      </w:r>
    </w:p>
    <w:p>
      <w:pPr>
        <w:widowControl/>
        <w:spacing w:line="360" w:lineRule="auto"/>
        <w:ind w:firstLine="424" w:firstLineChars="177"/>
        <w:rPr>
          <w:sz w:val="24"/>
        </w:rPr>
      </w:pPr>
      <w:r>
        <w:rPr>
          <w:sz w:val="24"/>
        </w:rPr>
        <w:t xml:space="preserve">3.3 </w:t>
      </w:r>
      <w:r>
        <w:rPr>
          <w:rFonts w:hint="eastAsia"/>
          <w:sz w:val="24"/>
        </w:rPr>
        <w:t>因对本协议项下的保密信息的使用而直接或间接产生的知识产权方面的权利，归甲方所有。</w:t>
      </w:r>
    </w:p>
    <w:p>
      <w:pPr>
        <w:widowControl/>
        <w:spacing w:line="360" w:lineRule="auto"/>
        <w:ind w:firstLine="425" w:firstLineChars="177"/>
        <w:rPr>
          <w:sz w:val="24"/>
        </w:rPr>
      </w:pPr>
      <w:bookmarkStart w:id="12" w:name="_Toc229802213"/>
      <w:bookmarkEnd w:id="12"/>
      <w:r>
        <w:rPr>
          <w:rFonts w:hint="eastAsia"/>
          <w:b/>
          <w:bCs/>
          <w:sz w:val="24"/>
        </w:rPr>
        <w:t>第四条保密文件的归还</w:t>
      </w:r>
    </w:p>
    <w:p>
      <w:pPr>
        <w:widowControl/>
        <w:spacing w:line="360" w:lineRule="auto"/>
        <w:ind w:firstLine="424" w:firstLineChars="177"/>
        <w:rPr>
          <w:sz w:val="24"/>
        </w:rPr>
      </w:pPr>
      <w:r>
        <w:rPr>
          <w:sz w:val="24"/>
        </w:rPr>
        <w:t xml:space="preserve">4.1 </w:t>
      </w:r>
      <w:r>
        <w:rPr>
          <w:rFonts w:hint="eastAsia"/>
          <w:sz w:val="24"/>
        </w:rPr>
        <w:t>在双方合作终止之后，本协议所涉及的由提供方送交给接收方的一切保密信息，无论是书面的还是其他具体形式，以及接受方所作的复印件，均需立即交还提供方，或者予以销毁，且有关销毁清单应同时送交给对方。</w:t>
      </w:r>
    </w:p>
    <w:p>
      <w:pPr>
        <w:widowControl/>
        <w:spacing w:line="360" w:lineRule="auto"/>
        <w:ind w:firstLine="424" w:firstLineChars="177"/>
        <w:rPr>
          <w:sz w:val="24"/>
        </w:rPr>
      </w:pPr>
      <w:r>
        <w:rPr>
          <w:sz w:val="24"/>
        </w:rPr>
        <w:t xml:space="preserve">4.2 </w:t>
      </w:r>
      <w:r>
        <w:rPr>
          <w:rFonts w:hint="eastAsia"/>
          <w:sz w:val="24"/>
        </w:rPr>
        <w:t>上述对保密信息的返还或销毁，不影响接受方在本协议下应持续履行的保密义务。</w:t>
      </w:r>
    </w:p>
    <w:p>
      <w:pPr>
        <w:widowControl/>
        <w:spacing w:line="360" w:lineRule="auto"/>
        <w:ind w:firstLine="425" w:firstLineChars="177"/>
        <w:rPr>
          <w:sz w:val="24"/>
        </w:rPr>
      </w:pPr>
      <w:bookmarkStart w:id="13" w:name="_Toc229802214"/>
      <w:bookmarkEnd w:id="13"/>
      <w:r>
        <w:rPr>
          <w:rFonts w:hint="eastAsia"/>
          <w:b/>
          <w:bCs/>
          <w:sz w:val="24"/>
        </w:rPr>
        <w:t>第五条侵权</w:t>
      </w:r>
    </w:p>
    <w:p>
      <w:pPr>
        <w:widowControl/>
        <w:spacing w:line="360" w:lineRule="auto"/>
        <w:ind w:firstLine="424" w:firstLineChars="177"/>
        <w:rPr>
          <w:sz w:val="24"/>
        </w:rPr>
      </w:pPr>
      <w:r>
        <w:rPr>
          <w:rFonts w:hint="eastAsia"/>
          <w:sz w:val="24"/>
        </w:rPr>
        <w:t>除因错误使用该保密信息所致外，如果接收方因合法使用提供方所披露的保密信息而引起第三方的诉讼（如保密信息侵犯第三方知识产权）、仲裁、扣押或没收、赔偿或补偿请求或其他权利要求，提供方应尽力采取措施使接受方免受索赔。</w:t>
      </w:r>
    </w:p>
    <w:p>
      <w:pPr>
        <w:widowControl/>
        <w:spacing w:line="360" w:lineRule="auto"/>
        <w:ind w:firstLine="425" w:firstLineChars="177"/>
        <w:rPr>
          <w:sz w:val="24"/>
        </w:rPr>
      </w:pPr>
      <w:bookmarkStart w:id="14" w:name="_Toc229802215"/>
      <w:bookmarkEnd w:id="14"/>
      <w:r>
        <w:rPr>
          <w:rFonts w:hint="eastAsia"/>
          <w:b/>
          <w:bCs/>
          <w:sz w:val="24"/>
        </w:rPr>
        <w:t>第六条保密期限</w:t>
      </w:r>
    </w:p>
    <w:p>
      <w:pPr>
        <w:widowControl/>
        <w:spacing w:line="360" w:lineRule="auto"/>
        <w:ind w:firstLine="424" w:firstLineChars="177"/>
        <w:rPr>
          <w:sz w:val="24"/>
        </w:rPr>
      </w:pPr>
      <w:r>
        <w:rPr>
          <w:rFonts w:hint="eastAsia"/>
          <w:sz w:val="24"/>
        </w:rPr>
        <w:t>本协议项下接收方对保密信息的保密义务不受技术服务协议期间限制，在相关保密信息未解密前，乙方具有永久保密义务。</w:t>
      </w:r>
    </w:p>
    <w:p>
      <w:pPr>
        <w:widowControl/>
        <w:spacing w:line="360" w:lineRule="auto"/>
        <w:ind w:firstLine="425" w:firstLineChars="177"/>
        <w:rPr>
          <w:sz w:val="24"/>
        </w:rPr>
      </w:pPr>
      <w:bookmarkStart w:id="15" w:name="_Toc229802216"/>
      <w:bookmarkEnd w:id="15"/>
      <w:r>
        <w:rPr>
          <w:rFonts w:hint="eastAsia"/>
          <w:b/>
          <w:bCs/>
          <w:sz w:val="24"/>
        </w:rPr>
        <w:t>第七条违约责任</w:t>
      </w:r>
    </w:p>
    <w:p>
      <w:pPr>
        <w:widowControl/>
        <w:spacing w:line="360" w:lineRule="auto"/>
        <w:ind w:firstLine="424" w:firstLineChars="177"/>
        <w:rPr>
          <w:sz w:val="24"/>
        </w:rPr>
      </w:pPr>
      <w:r>
        <w:rPr>
          <w:rFonts w:hint="eastAsia"/>
          <w:sz w:val="24"/>
        </w:rPr>
        <w:t>如果一方或其员工违反本协议约定，守约方有权要求违约方停止侵害、消除影响或采取其他合理的救济措施。违约方还应赔偿因违约行为而给另一方造成的损失。</w:t>
      </w:r>
    </w:p>
    <w:p>
      <w:pPr>
        <w:widowControl/>
        <w:spacing w:line="360" w:lineRule="auto"/>
        <w:ind w:firstLine="425" w:firstLineChars="177"/>
        <w:rPr>
          <w:sz w:val="24"/>
        </w:rPr>
      </w:pPr>
      <w:bookmarkStart w:id="16" w:name="_Toc229802217"/>
      <w:bookmarkEnd w:id="16"/>
      <w:r>
        <w:rPr>
          <w:rFonts w:hint="eastAsia"/>
          <w:b/>
          <w:bCs/>
          <w:sz w:val="24"/>
        </w:rPr>
        <w:t>第八条不可抗力</w:t>
      </w:r>
    </w:p>
    <w:p>
      <w:pPr>
        <w:widowControl/>
        <w:spacing w:line="360" w:lineRule="auto"/>
        <w:ind w:firstLine="424" w:firstLineChars="177"/>
        <w:rPr>
          <w:sz w:val="24"/>
        </w:rPr>
      </w:pPr>
      <w:r>
        <w:rPr>
          <w:sz w:val="24"/>
        </w:rPr>
        <w:t xml:space="preserve">8.1 </w:t>
      </w:r>
      <w:r>
        <w:rPr>
          <w:rFonts w:hint="eastAsia"/>
          <w:sz w:val="24"/>
        </w:rPr>
        <w:t>不可抗力是指不能预见、不能避免并不能克服的客观情况。</w:t>
      </w:r>
    </w:p>
    <w:p>
      <w:pPr>
        <w:widowControl/>
        <w:spacing w:line="360" w:lineRule="auto"/>
        <w:ind w:firstLine="424" w:firstLineChars="177"/>
        <w:rPr>
          <w:sz w:val="24"/>
        </w:rPr>
      </w:pPr>
      <w:r>
        <w:rPr>
          <w:sz w:val="24"/>
        </w:rPr>
        <w:t xml:space="preserve">8.2 </w:t>
      </w:r>
      <w:r>
        <w:rPr>
          <w:rFonts w:hint="eastAsia"/>
          <w:sz w:val="24"/>
        </w:rPr>
        <w:t>任何一方由于不可抗力而影响本协议义务履行时，可根据不可抗力的影响程度和范围延迟或免除履行部分或全部协议义务。但是受不可抗力影响的一方应尽量减小不可抗力引起的延误或其他不利影响，并在不可抗力影响消除后，立即通知对方。任何一方不得因不可抗力造成的延迟而要求调整协议内容。</w:t>
      </w:r>
    </w:p>
    <w:p>
      <w:pPr>
        <w:widowControl/>
        <w:spacing w:line="360" w:lineRule="auto"/>
        <w:ind w:firstLine="424" w:firstLineChars="177"/>
        <w:rPr>
          <w:sz w:val="24"/>
        </w:rPr>
      </w:pPr>
      <w:r>
        <w:rPr>
          <w:sz w:val="24"/>
        </w:rPr>
        <w:t xml:space="preserve">8.3 </w:t>
      </w:r>
      <w:r>
        <w:rPr>
          <w:rFonts w:hint="eastAsia"/>
          <w:sz w:val="24"/>
        </w:rPr>
        <w:t>受到不可抗力影响的一方应在不可抗力事件发生后</w:t>
      </w:r>
      <w:r>
        <w:rPr>
          <w:sz w:val="24"/>
        </w:rPr>
        <w:t>2</w:t>
      </w:r>
      <w:r>
        <w:rPr>
          <w:rFonts w:hint="eastAsia"/>
          <w:sz w:val="24"/>
        </w:rPr>
        <w:t>周内（含本数），取得有关部门关于发生不可抗力事件的证明文件，并以传真等书面形式提交另一方确认。否则，无权以不可抗力为由要求减轻或免除协议责任。</w:t>
      </w:r>
    </w:p>
    <w:p>
      <w:pPr>
        <w:widowControl/>
        <w:spacing w:line="360" w:lineRule="auto"/>
        <w:ind w:firstLine="424" w:firstLineChars="177"/>
        <w:rPr>
          <w:sz w:val="24"/>
        </w:rPr>
      </w:pPr>
      <w:r>
        <w:rPr>
          <w:sz w:val="24"/>
        </w:rPr>
        <w:t xml:space="preserve">8.4 </w:t>
      </w:r>
      <w:r>
        <w:rPr>
          <w:rFonts w:hint="eastAsia"/>
          <w:sz w:val="24"/>
        </w:rPr>
        <w:t>如果不可抗力事件的影响已达</w:t>
      </w:r>
      <w:r>
        <w:rPr>
          <w:sz w:val="24"/>
        </w:rPr>
        <w:t>120</w:t>
      </w:r>
      <w:r>
        <w:rPr>
          <w:rFonts w:hint="eastAsia"/>
          <w:sz w:val="24"/>
        </w:rPr>
        <w:t>天或双方预计不可抗力事件的影响将延续</w:t>
      </w:r>
      <w:r>
        <w:rPr>
          <w:sz w:val="24"/>
        </w:rPr>
        <w:t>120</w:t>
      </w:r>
      <w:r>
        <w:rPr>
          <w:rFonts w:hint="eastAsia"/>
          <w:sz w:val="24"/>
        </w:rPr>
        <w:t>天以上（含本数）时，任何一方有权终止本协议。由于协议终止所引起的遗留问题由双方友好协商解决。</w:t>
      </w:r>
    </w:p>
    <w:p>
      <w:pPr>
        <w:widowControl/>
        <w:spacing w:line="360" w:lineRule="auto"/>
        <w:ind w:firstLine="425" w:firstLineChars="177"/>
        <w:rPr>
          <w:sz w:val="24"/>
        </w:rPr>
      </w:pPr>
      <w:bookmarkStart w:id="17" w:name="_Toc229802218"/>
      <w:bookmarkEnd w:id="17"/>
      <w:r>
        <w:rPr>
          <w:rFonts w:hint="eastAsia"/>
          <w:b/>
          <w:bCs/>
          <w:sz w:val="24"/>
        </w:rPr>
        <w:t>第九条适用法律</w:t>
      </w:r>
    </w:p>
    <w:p>
      <w:pPr>
        <w:widowControl/>
        <w:spacing w:line="360" w:lineRule="auto"/>
        <w:ind w:firstLine="424" w:firstLineChars="177"/>
        <w:rPr>
          <w:sz w:val="24"/>
        </w:rPr>
      </w:pPr>
      <w:r>
        <w:rPr>
          <w:rFonts w:hint="eastAsia"/>
          <w:sz w:val="24"/>
        </w:rPr>
        <w:t>本协议的订立、效力、解释、执行及争议的解决，均适用中华人民共和国现行有效的法律。</w:t>
      </w:r>
    </w:p>
    <w:p>
      <w:pPr>
        <w:widowControl/>
        <w:spacing w:line="360" w:lineRule="auto"/>
        <w:ind w:firstLine="425" w:firstLineChars="177"/>
        <w:rPr>
          <w:rFonts w:hint="eastAsia"/>
          <w:b/>
          <w:bCs/>
          <w:sz w:val="24"/>
        </w:rPr>
      </w:pPr>
      <w:bookmarkStart w:id="18" w:name="_Toc229802219"/>
      <w:bookmarkEnd w:id="18"/>
      <w:r>
        <w:rPr>
          <w:rFonts w:hint="eastAsia"/>
          <w:b/>
          <w:bCs/>
          <w:sz w:val="24"/>
        </w:rPr>
        <w:t>第</w:t>
      </w:r>
      <w:r>
        <w:rPr>
          <w:rFonts w:hint="eastAsia"/>
          <w:b/>
          <w:bCs/>
          <w:sz w:val="24"/>
          <w:lang w:val="en-US" w:eastAsia="zh-CN"/>
        </w:rPr>
        <w:t>十</w:t>
      </w:r>
      <w:r>
        <w:rPr>
          <w:rFonts w:hint="eastAsia"/>
          <w:b/>
          <w:bCs/>
          <w:sz w:val="24"/>
        </w:rPr>
        <w:t>条争议解决</w:t>
      </w:r>
    </w:p>
    <w:p>
      <w:pPr>
        <w:widowControl/>
        <w:spacing w:line="360" w:lineRule="auto"/>
        <w:ind w:firstLine="424" w:firstLineChars="177"/>
        <w:rPr>
          <w:sz w:val="24"/>
        </w:rPr>
      </w:pPr>
      <w:r>
        <w:rPr>
          <w:rFonts w:hint="eastAsia"/>
          <w:sz w:val="24"/>
        </w:rPr>
        <w:t>10.1双方发生争议时，应本着诚实信用原则，通过友好协商解决。</w:t>
      </w:r>
    </w:p>
    <w:p>
      <w:pPr>
        <w:widowControl/>
        <w:spacing w:line="360" w:lineRule="auto"/>
        <w:ind w:firstLine="424" w:firstLineChars="177"/>
        <w:rPr>
          <w:sz w:val="24"/>
        </w:rPr>
      </w:pPr>
      <w:r>
        <w:rPr>
          <w:rFonts w:hint="eastAsia"/>
          <w:sz w:val="24"/>
        </w:rPr>
        <w:t>10.2 若争议经协商仍无法解决的，按以下第1种方式处理：</w:t>
      </w:r>
    </w:p>
    <w:p>
      <w:pPr>
        <w:widowControl/>
        <w:spacing w:line="360" w:lineRule="auto"/>
        <w:ind w:firstLine="424" w:firstLineChars="177"/>
        <w:rPr>
          <w:sz w:val="24"/>
        </w:rPr>
      </w:pPr>
      <w:r>
        <w:rPr>
          <w:rFonts w:hint="eastAsia"/>
          <w:sz w:val="24"/>
        </w:rPr>
        <w:t>（1）仲裁：提交苏州市仲裁委员会，按照申请仲裁时该仲裁机构有效的仲裁规则</w:t>
      </w:r>
      <w:r>
        <w:rPr>
          <w:b/>
          <w:sz w:val="24"/>
          <w:vertAlign w:val="superscript"/>
        </w:rPr>
        <w:footnoteReference w:id="0"/>
      </w:r>
      <w:r>
        <w:rPr>
          <w:rFonts w:hint="eastAsia"/>
          <w:sz w:val="24"/>
        </w:rPr>
        <w:t>进行仲裁。仲裁裁决是终局的，对双方均有约束力。</w:t>
      </w:r>
    </w:p>
    <w:p>
      <w:pPr>
        <w:widowControl/>
        <w:spacing w:line="360" w:lineRule="auto"/>
        <w:ind w:firstLine="424" w:firstLineChars="177"/>
        <w:rPr>
          <w:sz w:val="24"/>
        </w:rPr>
      </w:pPr>
      <w:r>
        <w:rPr>
          <w:rFonts w:hint="eastAsia"/>
          <w:sz w:val="24"/>
        </w:rPr>
        <w:t>（2）诉讼：向所在地人民法院提起诉讼。</w:t>
      </w:r>
    </w:p>
    <w:p>
      <w:pPr>
        <w:widowControl/>
        <w:spacing w:line="360" w:lineRule="auto"/>
        <w:ind w:firstLine="424" w:firstLineChars="177"/>
        <w:rPr>
          <w:sz w:val="24"/>
        </w:rPr>
      </w:pPr>
      <w:r>
        <w:rPr>
          <w:rFonts w:hint="eastAsia"/>
          <w:sz w:val="24"/>
        </w:rPr>
        <w:t>10.3在争议解决期间，协议中未涉及争议部分的条款仍须履行。</w:t>
      </w:r>
    </w:p>
    <w:p>
      <w:pPr>
        <w:widowControl/>
        <w:spacing w:line="360" w:lineRule="auto"/>
        <w:ind w:firstLine="425" w:firstLineChars="177"/>
        <w:rPr>
          <w:sz w:val="24"/>
        </w:rPr>
      </w:pPr>
      <w:bookmarkStart w:id="19" w:name="_Toc229802220"/>
      <w:bookmarkEnd w:id="19"/>
      <w:r>
        <w:rPr>
          <w:rFonts w:hint="eastAsia"/>
          <w:b/>
          <w:bCs/>
          <w:sz w:val="24"/>
        </w:rPr>
        <w:t>第</w:t>
      </w:r>
      <w:r>
        <w:rPr>
          <w:rFonts w:hint="eastAsia"/>
          <w:b/>
          <w:bCs/>
          <w:sz w:val="24"/>
          <w:lang w:val="en-US" w:eastAsia="zh-CN"/>
        </w:rPr>
        <w:t>十一</w:t>
      </w:r>
      <w:r>
        <w:rPr>
          <w:rFonts w:hint="eastAsia"/>
          <w:b/>
          <w:bCs/>
          <w:sz w:val="24"/>
        </w:rPr>
        <w:t>条协议生效</w:t>
      </w:r>
    </w:p>
    <w:p>
      <w:pPr>
        <w:widowControl/>
        <w:spacing w:line="360" w:lineRule="auto"/>
        <w:ind w:firstLine="424" w:firstLineChars="177"/>
        <w:rPr>
          <w:sz w:val="24"/>
        </w:rPr>
      </w:pPr>
      <w:r>
        <w:rPr>
          <w:rFonts w:hint="eastAsia"/>
          <w:sz w:val="24"/>
        </w:rPr>
        <w:t>本协议自</w:t>
      </w:r>
      <w:r>
        <w:rPr>
          <w:sz w:val="24"/>
        </w:rPr>
        <w:t>双方</w:t>
      </w:r>
      <w:r>
        <w:rPr>
          <w:rFonts w:hint="eastAsia"/>
          <w:sz w:val="24"/>
        </w:rPr>
        <w:t>法定代表人（负责人）或其</w:t>
      </w:r>
      <w:r>
        <w:rPr>
          <w:sz w:val="24"/>
        </w:rPr>
        <w:t>授权代表签署并加盖</w:t>
      </w:r>
      <w:r>
        <w:rPr>
          <w:rFonts w:hint="eastAsia"/>
          <w:sz w:val="24"/>
        </w:rPr>
        <w:t>双方</w:t>
      </w:r>
      <w:r>
        <w:rPr>
          <w:sz w:val="24"/>
        </w:rPr>
        <w:t>公章</w:t>
      </w:r>
      <w:r>
        <w:rPr>
          <w:rFonts w:hint="eastAsia"/>
          <w:sz w:val="24"/>
        </w:rPr>
        <w:t>或合同专用章之日起生效。</w:t>
      </w:r>
    </w:p>
    <w:p>
      <w:pPr>
        <w:widowControl/>
        <w:spacing w:line="360" w:lineRule="auto"/>
        <w:ind w:firstLine="424" w:firstLineChars="177"/>
        <w:rPr>
          <w:sz w:val="24"/>
        </w:rPr>
      </w:pPr>
      <w:r>
        <w:rPr>
          <w:rFonts w:hint="eastAsia"/>
          <w:sz w:val="24"/>
        </w:rPr>
        <w:t>本协议一式肆份，甲乙双方各执贰份，具有同等法律效力。</w:t>
      </w:r>
    </w:p>
    <w:p>
      <w:pPr>
        <w:widowControl/>
        <w:spacing w:line="360" w:lineRule="auto"/>
        <w:ind w:firstLine="424" w:firstLineChars="177"/>
        <w:rPr>
          <w:sz w:val="24"/>
        </w:rPr>
      </w:pPr>
    </w:p>
    <w:p>
      <w:pPr>
        <w:widowControl/>
        <w:spacing w:line="360" w:lineRule="auto"/>
        <w:ind w:firstLine="424" w:firstLineChars="177"/>
        <w:rPr>
          <w:sz w:val="24"/>
        </w:rPr>
      </w:pPr>
    </w:p>
    <w:p>
      <w:pPr>
        <w:widowControl/>
        <w:spacing w:line="360" w:lineRule="auto"/>
        <w:ind w:firstLine="424" w:firstLineChars="177"/>
        <w:rPr>
          <w:sz w:val="24"/>
        </w:rPr>
      </w:pPr>
    </w:p>
    <w:p>
      <w:pPr>
        <w:widowControl/>
        <w:spacing w:line="360" w:lineRule="auto"/>
        <w:ind w:firstLine="424" w:firstLineChars="177"/>
        <w:rPr>
          <w:sz w:val="24"/>
        </w:rPr>
      </w:pPr>
    </w:p>
    <w:p>
      <w:pPr>
        <w:widowControl/>
        <w:spacing w:line="360" w:lineRule="auto"/>
        <w:ind w:firstLine="424" w:firstLineChars="177"/>
        <w:rPr>
          <w:sz w:val="24"/>
        </w:rPr>
      </w:pPr>
    </w:p>
    <w:p>
      <w:pPr>
        <w:widowControl/>
        <w:spacing w:line="360" w:lineRule="auto"/>
        <w:rPr>
          <w:sz w:val="24"/>
        </w:rPr>
      </w:pPr>
    </w:p>
    <w:p>
      <w:pPr>
        <w:widowControl/>
        <w:spacing w:line="360" w:lineRule="auto"/>
        <w:rPr>
          <w:sz w:val="24"/>
        </w:rPr>
      </w:pPr>
      <w:r>
        <w:rPr>
          <w:sz w:val="24"/>
        </w:rPr>
        <w:br w:type="page"/>
      </w:r>
    </w:p>
    <w:p>
      <w:pPr>
        <w:widowControl/>
        <w:spacing w:line="360" w:lineRule="auto"/>
        <w:rPr>
          <w:sz w:val="24"/>
        </w:rPr>
      </w:pPr>
      <w:r>
        <w:rPr>
          <w:sz w:val="24"/>
        </w:rPr>
        <w:t>附件十</w:t>
      </w:r>
      <w:r>
        <w:rPr>
          <w:rFonts w:hint="eastAsia"/>
          <w:sz w:val="24"/>
        </w:rPr>
        <w:t>：</w:t>
      </w:r>
      <w:r>
        <w:rPr>
          <w:rFonts w:hint="eastAsia" w:ascii="宋体" w:hAnsi="Calibri" w:cs="宋体"/>
          <w:kern w:val="0"/>
          <w:sz w:val="24"/>
        </w:rPr>
        <w:t>乙方的营业执照复印件</w:t>
      </w:r>
    </w:p>
    <w:p>
      <w:pPr>
        <w:widowControl/>
        <w:spacing w:line="360" w:lineRule="auto"/>
        <w:ind w:firstLine="424" w:firstLineChars="177"/>
        <w:rPr>
          <w:sz w:val="24"/>
        </w:rPr>
      </w:pPr>
    </w:p>
    <w:p>
      <w:pPr>
        <w:widowControl/>
        <w:spacing w:line="360" w:lineRule="auto"/>
        <w:ind w:firstLine="424" w:firstLineChars="177"/>
        <w:rPr>
          <w:sz w:val="24"/>
        </w:rPr>
      </w:pPr>
    </w:p>
    <w:sectPr>
      <w:pgSz w:w="11906" w:h="16838"/>
      <w:pgMar w:top="1957" w:right="1797" w:bottom="1860" w:left="1797" w:header="851" w:footer="992" w:gutter="0"/>
      <w:pgNumType w:fmt="decimal"/>
      <w:cols w:equalWidth="0" w:num="1">
        <w:col w:w="5986"/>
      </w:cols>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_GBK">
    <w:altName w:val="苹方-简"/>
    <w:panose1 w:val="00000000000000000000"/>
    <w:charset w:val="86"/>
    <w:family w:val="script"/>
    <w:pitch w:val="default"/>
    <w:sig w:usb0="00000000" w:usb1="00000000" w:usb2="0000001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华文细黑">
    <w:altName w:val="黑体-简"/>
    <w:panose1 w:val="02010600040101010101"/>
    <w:charset w:val="86"/>
    <w:family w:val="auto"/>
    <w:pitch w:val="default"/>
    <w:sig w:usb0="00000000" w:usb1="00000000" w:usb2="00000010" w:usb3="00000000" w:csb0="0004009F" w:csb1="00000000"/>
  </w:font>
  <w:font w:name="方正仿宋_GBK">
    <w:panose1 w:val="02000000000000000000"/>
    <w:charset w:val="86"/>
    <w:family w:val="script"/>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黑体-简">
    <w:panose1 w:val="02000000000000000000"/>
    <w:charset w:val="86"/>
    <w:family w:val="auto"/>
    <w:pitch w:val="default"/>
    <w:sig w:usb0="8000002F" w:usb1="0800004A" w:usb2="00000000" w:usb3="00000000" w:csb0="203E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b0gwvFQIAABMEAAAOAAAAAAAAAAEAIAAAADU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r>
        <w:continuationSeparator/>
      </w:r>
    </w:p>
  </w:footnote>
  <w:footnote w:id="0">
    <w:p>
      <w:pPr>
        <w:pStyle w:val="13"/>
        <w:spacing w:line="240" w:lineRule="atLeast"/>
        <w:rPr>
          <w:rFonts w:ascii="方正仿宋_GBK" w:eastAsia="方正仿宋_GBK"/>
          <w:sz w:val="2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02E8"/>
    <w:multiLevelType w:val="multilevel"/>
    <w:tmpl w:val="297402E8"/>
    <w:lvl w:ilvl="0" w:tentative="0">
      <w:start w:val="1"/>
      <w:numFmt w:val="decimal"/>
      <w:lvlText w:val="%1."/>
      <w:lvlJc w:val="left"/>
      <w:pPr>
        <w:ind w:left="198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166F58"/>
    <w:multiLevelType w:val="multilevel"/>
    <w:tmpl w:val="38166F58"/>
    <w:lvl w:ilvl="0" w:tentative="0">
      <w:start w:val="1"/>
      <w:numFmt w:val="chineseCountingThousand"/>
      <w:lvlText w:val="%1、"/>
      <w:lvlJc w:val="left"/>
      <w:pPr>
        <w:tabs>
          <w:tab w:val="left" w:pos="420"/>
        </w:tabs>
        <w:ind w:left="420" w:hanging="420"/>
      </w:pPr>
      <w:rPr>
        <w:rFonts w:hint="eastAsia" w:cs="Times New Roman"/>
        <w:lang w:val="en-US"/>
      </w:rPr>
    </w:lvl>
    <w:lvl w:ilvl="1" w:tentative="0">
      <w:start w:val="1"/>
      <w:numFmt w:val="decimal"/>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0580E3"/>
    <w:multiLevelType w:val="singleLevel"/>
    <w:tmpl w:val="580580E3"/>
    <w:lvl w:ilvl="0" w:tentative="0">
      <w:start w:val="2"/>
      <w:numFmt w:val="decimal"/>
      <w:suff w:val="nothing"/>
      <w:lvlText w:val="%1."/>
      <w:lvlJc w:val="left"/>
    </w:lvl>
  </w:abstractNum>
  <w:abstractNum w:abstractNumId="3">
    <w:nsid w:val="58058934"/>
    <w:multiLevelType w:val="multilevel"/>
    <w:tmpl w:val="58058934"/>
    <w:lvl w:ilvl="0" w:tentative="0">
      <w:start w:val="1"/>
      <w:numFmt w:val="decimal"/>
      <w:suff w:val="nothing"/>
      <w:lvlText w:val="%1."/>
      <w:lvlJc w:val="left"/>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DE1"/>
    <w:rsid w:val="00025F51"/>
    <w:rsid w:val="000302BC"/>
    <w:rsid w:val="00031CD5"/>
    <w:rsid w:val="000472F9"/>
    <w:rsid w:val="00074E5E"/>
    <w:rsid w:val="00086F09"/>
    <w:rsid w:val="00087D19"/>
    <w:rsid w:val="000A3A6E"/>
    <w:rsid w:val="000B07FE"/>
    <w:rsid w:val="000B3477"/>
    <w:rsid w:val="000C411C"/>
    <w:rsid w:val="000C7316"/>
    <w:rsid w:val="0011148D"/>
    <w:rsid w:val="00116451"/>
    <w:rsid w:val="0012128F"/>
    <w:rsid w:val="00172A27"/>
    <w:rsid w:val="0018125E"/>
    <w:rsid w:val="001E07DE"/>
    <w:rsid w:val="0020004A"/>
    <w:rsid w:val="00226A4C"/>
    <w:rsid w:val="00226FDF"/>
    <w:rsid w:val="0024583F"/>
    <w:rsid w:val="002461B6"/>
    <w:rsid w:val="0025452E"/>
    <w:rsid w:val="00261543"/>
    <w:rsid w:val="002723BA"/>
    <w:rsid w:val="00280284"/>
    <w:rsid w:val="002929DF"/>
    <w:rsid w:val="002D1965"/>
    <w:rsid w:val="002E53A3"/>
    <w:rsid w:val="002F373D"/>
    <w:rsid w:val="003155D5"/>
    <w:rsid w:val="00330E93"/>
    <w:rsid w:val="00346395"/>
    <w:rsid w:val="00351D24"/>
    <w:rsid w:val="003750AD"/>
    <w:rsid w:val="003827A4"/>
    <w:rsid w:val="00386D07"/>
    <w:rsid w:val="00393AFA"/>
    <w:rsid w:val="003A1A2B"/>
    <w:rsid w:val="003C4C00"/>
    <w:rsid w:val="003E3923"/>
    <w:rsid w:val="003E7727"/>
    <w:rsid w:val="0040036D"/>
    <w:rsid w:val="004048B7"/>
    <w:rsid w:val="004104CC"/>
    <w:rsid w:val="00414174"/>
    <w:rsid w:val="00421268"/>
    <w:rsid w:val="00425AD3"/>
    <w:rsid w:val="0042638F"/>
    <w:rsid w:val="00426E74"/>
    <w:rsid w:val="00451737"/>
    <w:rsid w:val="00454CFB"/>
    <w:rsid w:val="004649E9"/>
    <w:rsid w:val="00494C86"/>
    <w:rsid w:val="004A3805"/>
    <w:rsid w:val="004D0306"/>
    <w:rsid w:val="004D4F13"/>
    <w:rsid w:val="0051200B"/>
    <w:rsid w:val="00515754"/>
    <w:rsid w:val="00521809"/>
    <w:rsid w:val="00530031"/>
    <w:rsid w:val="00536783"/>
    <w:rsid w:val="005537F2"/>
    <w:rsid w:val="005677B1"/>
    <w:rsid w:val="0058286A"/>
    <w:rsid w:val="00596DAE"/>
    <w:rsid w:val="005C4949"/>
    <w:rsid w:val="005F0427"/>
    <w:rsid w:val="006009FE"/>
    <w:rsid w:val="00602A26"/>
    <w:rsid w:val="00603E92"/>
    <w:rsid w:val="0061776D"/>
    <w:rsid w:val="00622A1A"/>
    <w:rsid w:val="0064794E"/>
    <w:rsid w:val="006654FE"/>
    <w:rsid w:val="006712CB"/>
    <w:rsid w:val="00675A2B"/>
    <w:rsid w:val="00686594"/>
    <w:rsid w:val="006956C8"/>
    <w:rsid w:val="006B2079"/>
    <w:rsid w:val="006D2982"/>
    <w:rsid w:val="006E0D91"/>
    <w:rsid w:val="00706BC2"/>
    <w:rsid w:val="0072154B"/>
    <w:rsid w:val="00731694"/>
    <w:rsid w:val="007324DA"/>
    <w:rsid w:val="00735BB9"/>
    <w:rsid w:val="00746890"/>
    <w:rsid w:val="007557E7"/>
    <w:rsid w:val="00760B7D"/>
    <w:rsid w:val="00790776"/>
    <w:rsid w:val="007B3C69"/>
    <w:rsid w:val="007B6E9E"/>
    <w:rsid w:val="00820051"/>
    <w:rsid w:val="008226FD"/>
    <w:rsid w:val="00827ACD"/>
    <w:rsid w:val="00836F67"/>
    <w:rsid w:val="00840DF7"/>
    <w:rsid w:val="008516F8"/>
    <w:rsid w:val="008665DC"/>
    <w:rsid w:val="00876B6B"/>
    <w:rsid w:val="008954DA"/>
    <w:rsid w:val="00895989"/>
    <w:rsid w:val="008A0E38"/>
    <w:rsid w:val="008A73F1"/>
    <w:rsid w:val="008A7B20"/>
    <w:rsid w:val="008C38C1"/>
    <w:rsid w:val="008C3F9B"/>
    <w:rsid w:val="008D5730"/>
    <w:rsid w:val="00950FC9"/>
    <w:rsid w:val="00971D40"/>
    <w:rsid w:val="009B0252"/>
    <w:rsid w:val="009C1FC8"/>
    <w:rsid w:val="009D6ECD"/>
    <w:rsid w:val="009D7E11"/>
    <w:rsid w:val="00A05B97"/>
    <w:rsid w:val="00A37469"/>
    <w:rsid w:val="00A46562"/>
    <w:rsid w:val="00A63EFA"/>
    <w:rsid w:val="00A724F4"/>
    <w:rsid w:val="00A73291"/>
    <w:rsid w:val="00A942B1"/>
    <w:rsid w:val="00A97341"/>
    <w:rsid w:val="00AA1FDA"/>
    <w:rsid w:val="00AA2F00"/>
    <w:rsid w:val="00AC2B8B"/>
    <w:rsid w:val="00AC6A05"/>
    <w:rsid w:val="00AD3056"/>
    <w:rsid w:val="00AD5987"/>
    <w:rsid w:val="00AE1BF0"/>
    <w:rsid w:val="00AE61B2"/>
    <w:rsid w:val="00AF377B"/>
    <w:rsid w:val="00AF7D9D"/>
    <w:rsid w:val="00B06C03"/>
    <w:rsid w:val="00B120CF"/>
    <w:rsid w:val="00B230C3"/>
    <w:rsid w:val="00B33E45"/>
    <w:rsid w:val="00B365AD"/>
    <w:rsid w:val="00B52D94"/>
    <w:rsid w:val="00B54076"/>
    <w:rsid w:val="00B6149B"/>
    <w:rsid w:val="00B63D19"/>
    <w:rsid w:val="00B726B8"/>
    <w:rsid w:val="00B76D55"/>
    <w:rsid w:val="00B80910"/>
    <w:rsid w:val="00B8245B"/>
    <w:rsid w:val="00B90F1F"/>
    <w:rsid w:val="00B9242A"/>
    <w:rsid w:val="00BD3B0B"/>
    <w:rsid w:val="00BE29B7"/>
    <w:rsid w:val="00BF1FF6"/>
    <w:rsid w:val="00C325B9"/>
    <w:rsid w:val="00C40586"/>
    <w:rsid w:val="00C63063"/>
    <w:rsid w:val="00C70449"/>
    <w:rsid w:val="00C92190"/>
    <w:rsid w:val="00C96E69"/>
    <w:rsid w:val="00CA7D6C"/>
    <w:rsid w:val="00CB64E8"/>
    <w:rsid w:val="00CD48AE"/>
    <w:rsid w:val="00D252C2"/>
    <w:rsid w:val="00D52AA4"/>
    <w:rsid w:val="00D61920"/>
    <w:rsid w:val="00D775B8"/>
    <w:rsid w:val="00D96257"/>
    <w:rsid w:val="00DA5DAE"/>
    <w:rsid w:val="00DC261A"/>
    <w:rsid w:val="00DC6468"/>
    <w:rsid w:val="00DC6A26"/>
    <w:rsid w:val="00DE0059"/>
    <w:rsid w:val="00DE4D0E"/>
    <w:rsid w:val="00E320F8"/>
    <w:rsid w:val="00E43D08"/>
    <w:rsid w:val="00E46A8E"/>
    <w:rsid w:val="00E477AA"/>
    <w:rsid w:val="00E477B8"/>
    <w:rsid w:val="00E52132"/>
    <w:rsid w:val="00E52AAB"/>
    <w:rsid w:val="00E55F86"/>
    <w:rsid w:val="00E56720"/>
    <w:rsid w:val="00E6655B"/>
    <w:rsid w:val="00E83DA9"/>
    <w:rsid w:val="00E97568"/>
    <w:rsid w:val="00EA0BF0"/>
    <w:rsid w:val="00EB453A"/>
    <w:rsid w:val="00EB551D"/>
    <w:rsid w:val="00EE041C"/>
    <w:rsid w:val="00EE213B"/>
    <w:rsid w:val="00EE496F"/>
    <w:rsid w:val="00EE63BD"/>
    <w:rsid w:val="00EE68BD"/>
    <w:rsid w:val="00EF1C46"/>
    <w:rsid w:val="00F3593B"/>
    <w:rsid w:val="00F371C0"/>
    <w:rsid w:val="00F418CF"/>
    <w:rsid w:val="00F43182"/>
    <w:rsid w:val="00F87B81"/>
    <w:rsid w:val="00F921F7"/>
    <w:rsid w:val="00F92A4D"/>
    <w:rsid w:val="00FB7EDA"/>
    <w:rsid w:val="00FD7FCE"/>
    <w:rsid w:val="00FF593B"/>
    <w:rsid w:val="0C9F3F46"/>
    <w:rsid w:val="10BC7FBD"/>
    <w:rsid w:val="14115B9B"/>
    <w:rsid w:val="20403C63"/>
    <w:rsid w:val="2A81287C"/>
    <w:rsid w:val="4A2F048D"/>
    <w:rsid w:val="53ED344B"/>
    <w:rsid w:val="588E2616"/>
    <w:rsid w:val="5C523C00"/>
    <w:rsid w:val="5CD45899"/>
    <w:rsid w:val="6658790E"/>
    <w:rsid w:val="668B0A50"/>
    <w:rsid w:val="6A0864CA"/>
    <w:rsid w:val="7405760A"/>
    <w:rsid w:val="7ED83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widowControl/>
      <w:tabs>
        <w:tab w:val="left" w:pos="432"/>
      </w:tabs>
      <w:spacing w:before="340" w:after="330" w:line="576" w:lineRule="auto"/>
      <w:ind w:left="432" w:hanging="432"/>
      <w:outlineLvl w:val="0"/>
    </w:pPr>
    <w:rPr>
      <w:b/>
      <w:bCs/>
      <w:kern w:val="36"/>
      <w:sz w:val="44"/>
      <w:szCs w:val="44"/>
    </w:rPr>
  </w:style>
  <w:style w:type="paragraph" w:styleId="3">
    <w:name w:val="heading 2"/>
    <w:basedOn w:val="1"/>
    <w:next w:val="1"/>
    <w:link w:val="24"/>
    <w:qFormat/>
    <w:uiPriority w:val="0"/>
    <w:pPr>
      <w:widowControl/>
      <w:tabs>
        <w:tab w:val="left" w:pos="576"/>
      </w:tabs>
      <w:spacing w:before="260" w:after="260" w:line="408" w:lineRule="auto"/>
      <w:ind w:left="575" w:hanging="575"/>
      <w:outlineLvl w:val="1"/>
    </w:pPr>
    <w:rPr>
      <w:rFonts w:ascii="Arial" w:hAnsi="Arial" w:cs="Arial"/>
      <w:b/>
      <w:bCs/>
      <w:sz w:val="32"/>
      <w:szCs w:val="32"/>
    </w:rPr>
  </w:style>
  <w:style w:type="paragraph" w:styleId="4">
    <w:name w:val="heading 3"/>
    <w:basedOn w:val="1"/>
    <w:next w:val="1"/>
    <w:link w:val="27"/>
    <w:qFormat/>
    <w:uiPriority w:val="0"/>
    <w:pPr>
      <w:widowControl/>
      <w:tabs>
        <w:tab w:val="left" w:pos="720"/>
      </w:tabs>
      <w:spacing w:before="260" w:after="260" w:line="408" w:lineRule="auto"/>
      <w:ind w:left="720" w:hanging="720"/>
      <w:outlineLvl w:val="2"/>
    </w:pPr>
    <w:rPr>
      <w:b/>
      <w:bCs/>
      <w:sz w:val="32"/>
      <w:szCs w:val="32"/>
    </w:rPr>
  </w:style>
  <w:style w:type="character" w:default="1" w:styleId="14">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annotation subject"/>
    <w:basedOn w:val="6"/>
    <w:next w:val="6"/>
    <w:link w:val="30"/>
    <w:unhideWhenUsed/>
    <w:qFormat/>
    <w:uiPriority w:val="99"/>
    <w:rPr>
      <w:b/>
      <w:bCs/>
    </w:rPr>
  </w:style>
  <w:style w:type="paragraph" w:styleId="6">
    <w:name w:val="annotation text"/>
    <w:basedOn w:val="1"/>
    <w:link w:val="23"/>
    <w:unhideWhenUsed/>
    <w:qFormat/>
    <w:uiPriority w:val="99"/>
    <w:pPr>
      <w:jc w:val="left"/>
    </w:pPr>
  </w:style>
  <w:style w:type="paragraph" w:styleId="7">
    <w:name w:val="Document Map"/>
    <w:basedOn w:val="1"/>
    <w:semiHidden/>
    <w:qFormat/>
    <w:uiPriority w:val="0"/>
    <w:pPr>
      <w:shd w:val="clear" w:color="auto" w:fill="000080"/>
    </w:pPr>
  </w:style>
  <w:style w:type="paragraph" w:styleId="8">
    <w:name w:val="Plain Text"/>
    <w:basedOn w:val="1"/>
    <w:link w:val="29"/>
    <w:qFormat/>
    <w:uiPriority w:val="0"/>
    <w:rPr>
      <w:rFonts w:ascii="宋体" w:hAnsi="Courier New" w:cs="宋体"/>
      <w:szCs w:val="21"/>
    </w:rPr>
  </w:style>
  <w:style w:type="paragraph" w:styleId="9">
    <w:name w:val="Balloon Text"/>
    <w:basedOn w:val="1"/>
    <w:link w:val="28"/>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420"/>
        <w:tab w:val="right" w:leader="dot" w:pos="8302"/>
      </w:tabs>
      <w:jc w:val="center"/>
    </w:pPr>
    <w:rPr>
      <w:b/>
      <w:kern w:val="0"/>
      <w:sz w:val="36"/>
      <w:szCs w:val="36"/>
    </w:rPr>
  </w:style>
  <w:style w:type="paragraph" w:styleId="13">
    <w:name w:val="footnote text"/>
    <w:basedOn w:val="1"/>
    <w:link w:val="31"/>
    <w:qFormat/>
    <w:uiPriority w:val="0"/>
    <w:pPr>
      <w:snapToGrid w:val="0"/>
      <w:jc w:val="left"/>
    </w:pPr>
    <w:rPr>
      <w:sz w:val="18"/>
      <w:szCs w:val="18"/>
    </w:rPr>
  </w:style>
  <w:style w:type="character" w:styleId="15">
    <w:name w:val="page number"/>
    <w:qFormat/>
    <w:uiPriority w:val="0"/>
    <w:rPr>
      <w:rFonts w:cs="Times New Roman"/>
    </w:rPr>
  </w:style>
  <w:style w:type="character" w:styleId="16">
    <w:name w:val="Hyperlink"/>
    <w:qFormat/>
    <w:uiPriority w:val="99"/>
    <w:rPr>
      <w:rFonts w:cs="Times New Roman"/>
      <w:color w:val="0000FF"/>
      <w:u w:val="single"/>
    </w:rPr>
  </w:style>
  <w:style w:type="character" w:styleId="17">
    <w:name w:val="annotation reference"/>
    <w:unhideWhenUsed/>
    <w:qFormat/>
    <w:uiPriority w:val="99"/>
    <w:rPr>
      <w:sz w:val="21"/>
      <w:szCs w:val="21"/>
    </w:rPr>
  </w:style>
  <w:style w:type="character" w:styleId="18">
    <w:name w:val="footnote reference"/>
    <w:qFormat/>
    <w:uiPriority w:val="0"/>
    <w:rPr>
      <w:vertAlign w:val="superscript"/>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普通文字 Char Char"/>
    <w:qFormat/>
    <w:uiPriority w:val="0"/>
    <w:rPr>
      <w:rFonts w:ascii="宋体" w:hAnsi="Courier New" w:eastAsia="宋体"/>
      <w:lang w:bidi="ar-SA"/>
    </w:rPr>
  </w:style>
  <w:style w:type="character" w:customStyle="1" w:styleId="22">
    <w:name w:val="页眉 字符"/>
    <w:link w:val="11"/>
    <w:qFormat/>
    <w:uiPriority w:val="99"/>
    <w:rPr>
      <w:sz w:val="18"/>
      <w:szCs w:val="18"/>
    </w:rPr>
  </w:style>
  <w:style w:type="character" w:customStyle="1" w:styleId="23">
    <w:name w:val="批注文字 字符"/>
    <w:link w:val="6"/>
    <w:qFormat/>
    <w:uiPriority w:val="99"/>
    <w:rPr>
      <w:rFonts w:ascii="Times New Roman" w:hAnsi="Times New Roman"/>
      <w:kern w:val="2"/>
      <w:sz w:val="21"/>
      <w:szCs w:val="24"/>
    </w:rPr>
  </w:style>
  <w:style w:type="character" w:customStyle="1" w:styleId="24">
    <w:name w:val="标题 2 字符"/>
    <w:link w:val="3"/>
    <w:qFormat/>
    <w:uiPriority w:val="0"/>
    <w:rPr>
      <w:rFonts w:ascii="Arial" w:hAnsi="Arial" w:eastAsia="宋体" w:cs="Arial"/>
      <w:b/>
      <w:bCs/>
      <w:sz w:val="32"/>
      <w:szCs w:val="32"/>
    </w:rPr>
  </w:style>
  <w:style w:type="character" w:customStyle="1" w:styleId="25">
    <w:name w:val="页脚 字符"/>
    <w:link w:val="10"/>
    <w:qFormat/>
    <w:uiPriority w:val="99"/>
    <w:rPr>
      <w:sz w:val="18"/>
      <w:szCs w:val="18"/>
    </w:rPr>
  </w:style>
  <w:style w:type="character" w:customStyle="1" w:styleId="26">
    <w:name w:val="标题 1 字符"/>
    <w:link w:val="2"/>
    <w:qFormat/>
    <w:uiPriority w:val="0"/>
    <w:rPr>
      <w:rFonts w:ascii="Times New Roman" w:hAnsi="Times New Roman" w:eastAsia="宋体" w:cs="Times New Roman"/>
      <w:b/>
      <w:bCs/>
      <w:kern w:val="36"/>
      <w:sz w:val="44"/>
      <w:szCs w:val="44"/>
    </w:rPr>
  </w:style>
  <w:style w:type="character" w:customStyle="1" w:styleId="27">
    <w:name w:val="标题 3 字符"/>
    <w:link w:val="4"/>
    <w:qFormat/>
    <w:uiPriority w:val="0"/>
    <w:rPr>
      <w:rFonts w:ascii="Times New Roman" w:hAnsi="Times New Roman" w:eastAsia="宋体" w:cs="Times New Roman"/>
      <w:b/>
      <w:bCs/>
      <w:sz w:val="32"/>
      <w:szCs w:val="32"/>
    </w:rPr>
  </w:style>
  <w:style w:type="character" w:customStyle="1" w:styleId="28">
    <w:name w:val="批注框文本 字符"/>
    <w:link w:val="9"/>
    <w:qFormat/>
    <w:uiPriority w:val="99"/>
    <w:rPr>
      <w:rFonts w:ascii="Times New Roman" w:hAnsi="Times New Roman" w:eastAsia="宋体" w:cs="Times New Roman"/>
      <w:sz w:val="18"/>
      <w:szCs w:val="18"/>
    </w:rPr>
  </w:style>
  <w:style w:type="character" w:customStyle="1" w:styleId="29">
    <w:name w:val="纯文本 字符"/>
    <w:link w:val="8"/>
    <w:qFormat/>
    <w:uiPriority w:val="0"/>
    <w:rPr>
      <w:rFonts w:ascii="宋体" w:hAnsi="Courier New" w:eastAsia="宋体" w:cs="宋体"/>
      <w:kern w:val="2"/>
      <w:sz w:val="21"/>
      <w:szCs w:val="21"/>
      <w:lang w:val="en-US" w:eastAsia="zh-CN" w:bidi="ar-SA"/>
    </w:rPr>
  </w:style>
  <w:style w:type="character" w:customStyle="1" w:styleId="30">
    <w:name w:val="批注主题 字符"/>
    <w:link w:val="5"/>
    <w:qFormat/>
    <w:uiPriority w:val="99"/>
    <w:rPr>
      <w:rFonts w:ascii="Times New Roman" w:hAnsi="Times New Roman"/>
      <w:b/>
      <w:bCs/>
      <w:kern w:val="2"/>
      <w:sz w:val="21"/>
      <w:szCs w:val="24"/>
    </w:rPr>
  </w:style>
  <w:style w:type="character" w:customStyle="1" w:styleId="31">
    <w:name w:val="脚注文本 字符"/>
    <w:link w:val="13"/>
    <w:qFormat/>
    <w:uiPriority w:val="0"/>
    <w:rPr>
      <w:rFonts w:ascii="Times New Roman" w:hAnsi="Times New Roman" w:eastAsia="宋体" w:cs="Times New Roman"/>
      <w:sz w:val="18"/>
      <w:szCs w:val="18"/>
    </w:rPr>
  </w:style>
  <w:style w:type="paragraph" w:customStyle="1" w:styleId="32">
    <w:name w:val="列出段落1"/>
    <w:basedOn w:val="1"/>
    <w:qFormat/>
    <w:uiPriority w:val="34"/>
    <w:pPr>
      <w:ind w:firstLine="420" w:firstLineChars="200"/>
    </w:pPr>
  </w:style>
  <w:style w:type="paragraph" w:customStyle="1" w:styleId="33">
    <w:name w:val="p0"/>
    <w:basedOn w:val="1"/>
    <w:qFormat/>
    <w:uiPriority w:val="0"/>
    <w:pPr>
      <w:widowControl/>
    </w:pPr>
    <w:rPr>
      <w:kern w:val="0"/>
      <w:szCs w:val="21"/>
    </w:rPr>
  </w:style>
  <w:style w:type="paragraph" w:customStyle="1" w:styleId="34">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1770</Words>
  <Characters>10093</Characters>
  <Lines>84</Lines>
  <Paragraphs>23</Paragraphs>
  <TotalTime>0</TotalTime>
  <ScaleCrop>false</ScaleCrop>
  <LinksUpToDate>false</LinksUpToDate>
  <CharactersWithSpaces>11840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2016-08-16T17:52:00Z</dcterms:created>
  <dc:creator>xl</dc:creator>
  <cp:lastModifiedBy>michael</cp:lastModifiedBy>
  <cp:lastPrinted>2016-11-15T17:47:00Z</cp:lastPrinted>
  <dcterms:modified xsi:type="dcterms:W3CDTF">2021-08-05T10:05:50Z</dcterms:modified>
  <dc:title>劳务外包合同</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y fmtid="{D5CDD505-2E9C-101B-9397-08002B2CF9AE}" pid="3" name="ICV">
    <vt:lpwstr>88749BF18C194618B1104EAF1AF8A08F</vt:lpwstr>
  </property>
</Properties>
</file>