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pPr w:leftFromText="180" w:rightFromText="180" w:vertAnchor="page" w:horzAnchor="margin" w:tblpX="108" w:tblpY="113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6" w:hRule="atLeast"/>
        </w:trPr>
        <w:tc>
          <w:tcPr>
            <w:tcW w:w="9039" w:type="dxa"/>
          </w:tcPr>
          <w:p>
            <w:pPr>
              <w:spacing w:line="360" w:lineRule="exact"/>
            </w:pPr>
            <w:r>
              <w:pict>
                <v:shape id="_x0000_s1026" o:spid="_x0000_s1026" o:spt="202" type="#_x0000_t202" style="position:absolute;left:0pt;margin-left:-13.7pt;margin-top:-20.55pt;height:25.3pt;width:175.75pt;z-index:251658240;mso-width-relative:margin;mso-height-relative:margin;mso-width-percent:400;mso-height-percent:200;" filled="f" stroked="f" coordsize="21600,21600">
                  <v:path/>
                  <v:fill on="f" opacity="0f" focussize="0,0"/>
                  <v:stroke on="f" joinstyle="miter"/>
                  <v:imagedata o:title=""/>
                  <o:lock v:ext="edit"/>
                  <v:textbox style="mso-fit-shape-to-text:t;">
                    <w:txbxContent>
                      <w:p>
                        <w:pPr>
                          <w:rPr>
                            <w:color w:val="000000"/>
                          </w:rPr>
                        </w:pPr>
                      </w:p>
                    </w:txbxContent>
                  </v:textbox>
                </v:shape>
              </w:pict>
            </w:r>
          </w:p>
          <w:p/>
          <w:p/>
          <w:p/>
          <w:p/>
          <w:p/>
          <w:p/>
          <w:p>
            <w:pPr>
              <w:spacing w:before="190" w:beforeLines="50" w:line="240" w:lineRule="auto"/>
              <w:jc w:val="center"/>
              <w:rPr>
                <w:rFonts w:eastAsia="黑体"/>
                <w:b/>
                <w:sz w:val="52"/>
                <w:szCs w:val="52"/>
              </w:rPr>
            </w:pPr>
            <w:r>
              <w:rPr>
                <w:rFonts w:hint="eastAsia" w:eastAsia="黑体"/>
                <w:b/>
                <w:sz w:val="52"/>
                <w:szCs w:val="52"/>
              </w:rPr>
              <w:t>x</w:t>
            </w:r>
            <w:r>
              <w:rPr>
                <w:rFonts w:eastAsia="黑体"/>
                <w:b/>
                <w:sz w:val="52"/>
                <w:szCs w:val="52"/>
              </w:rPr>
              <w:t>xxxxx</w:t>
            </w:r>
          </w:p>
          <w:p>
            <w:pPr>
              <w:spacing w:before="190" w:beforeLines="50" w:line="240" w:lineRule="auto"/>
              <w:jc w:val="center"/>
            </w:pPr>
            <w:r>
              <w:rPr>
                <w:rFonts w:hint="eastAsia" w:ascii="黑体" w:hAnsi="华文中宋" w:eastAsia="黑体"/>
                <w:b/>
                <w:sz w:val="52"/>
                <w:szCs w:val="52"/>
              </w:rPr>
              <w:t>维保服务合同书</w:t>
            </w:r>
          </w:p>
          <w:p>
            <w:pPr>
              <w:spacing w:before="190" w:beforeLines="50" w:line="240" w:lineRule="auto"/>
              <w:rPr>
                <w:rFonts w:eastAsia="黑体"/>
                <w:b/>
                <w:sz w:val="32"/>
              </w:rPr>
            </w:pPr>
          </w:p>
          <w:p/>
          <w:p/>
          <w:p/>
          <w:p/>
          <w:p>
            <w:pPr>
              <w:tabs>
                <w:tab w:val="left" w:pos="0"/>
                <w:tab w:val="left" w:pos="7140"/>
              </w:tabs>
            </w:pPr>
          </w:p>
          <w:tbl>
            <w:tblPr>
              <w:tblStyle w:val="36"/>
              <w:tblW w:w="0" w:type="auto"/>
              <w:tblInd w:w="1843" w:type="dxa"/>
              <w:tblLayout w:type="autofit"/>
              <w:tblCellMar>
                <w:top w:w="0" w:type="dxa"/>
                <w:left w:w="0" w:type="dxa"/>
                <w:bottom w:w="0" w:type="dxa"/>
                <w:right w:w="0" w:type="dxa"/>
              </w:tblCellMar>
            </w:tblPr>
            <w:tblGrid>
              <w:gridCol w:w="1559"/>
              <w:gridCol w:w="993"/>
              <w:gridCol w:w="283"/>
              <w:gridCol w:w="1134"/>
              <w:gridCol w:w="284"/>
              <w:gridCol w:w="850"/>
              <w:gridCol w:w="284"/>
            </w:tblGrid>
            <w:tr>
              <w:tblPrEx>
                <w:tblCellMar>
                  <w:top w:w="0" w:type="dxa"/>
                  <w:left w:w="0" w:type="dxa"/>
                  <w:bottom w:w="0" w:type="dxa"/>
                  <w:right w:w="0" w:type="dxa"/>
                </w:tblCellMar>
              </w:tblPrEx>
              <w:trPr>
                <w:trHeight w:val="444" w:hRule="exact"/>
              </w:trPr>
              <w:tc>
                <w:tcPr>
                  <w:tcW w:w="1559" w:type="dxa"/>
                  <w:vAlign w:val="bottom"/>
                </w:tcPr>
                <w:p>
                  <w:pPr>
                    <w:tabs>
                      <w:tab w:val="left" w:pos="0"/>
                      <w:tab w:val="left" w:pos="7140"/>
                    </w:tabs>
                    <w:rPr>
                      <w:rStyle w:val="52"/>
                      <w:sz w:val="28"/>
                      <w:szCs w:val="28"/>
                    </w:rPr>
                  </w:pPr>
                  <w:r>
                    <w:rPr>
                      <w:rStyle w:val="52"/>
                      <w:sz w:val="28"/>
                      <w:szCs w:val="28"/>
                    </w:rPr>
                    <w:t>甲方：</w:t>
                  </w:r>
                </w:p>
              </w:tc>
              <w:tc>
                <w:tcPr>
                  <w:tcW w:w="3828" w:type="dxa"/>
                  <w:gridSpan w:val="6"/>
                  <w:tcBorders>
                    <w:bottom w:val="single" w:color="auto" w:sz="4" w:space="0"/>
                  </w:tcBorders>
                  <w:vAlign w:val="bottom"/>
                </w:tcPr>
                <w:p>
                  <w:pPr>
                    <w:tabs>
                      <w:tab w:val="left" w:pos="0"/>
                      <w:tab w:val="left" w:pos="7140"/>
                    </w:tabs>
                    <w:rPr>
                      <w:rStyle w:val="52"/>
                      <w:sz w:val="28"/>
                      <w:szCs w:val="28"/>
                    </w:rPr>
                  </w:pPr>
                  <w:r>
                    <w:rPr>
                      <w:rStyle w:val="52"/>
                      <w:rFonts w:hint="eastAsia"/>
                      <w:sz w:val="28"/>
                      <w:szCs w:val="28"/>
                    </w:rPr>
                    <w:t>北京东联网格科技有限公司</w:t>
                  </w:r>
                </w:p>
              </w:tc>
            </w:tr>
            <w:tr>
              <w:tblPrEx>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52"/>
                      <w:sz w:val="28"/>
                      <w:szCs w:val="28"/>
                    </w:rPr>
                  </w:pPr>
                </w:p>
              </w:tc>
              <w:tc>
                <w:tcPr>
                  <w:tcW w:w="3828" w:type="dxa"/>
                  <w:gridSpan w:val="6"/>
                  <w:tcBorders>
                    <w:top w:val="single" w:color="auto" w:sz="4" w:space="0"/>
                  </w:tcBorders>
                  <w:vAlign w:val="bottom"/>
                </w:tcPr>
                <w:p>
                  <w:pPr>
                    <w:tabs>
                      <w:tab w:val="left" w:pos="0"/>
                      <w:tab w:val="left" w:pos="7140"/>
                    </w:tabs>
                    <w:ind w:firstLine="700" w:firstLineChars="250"/>
                    <w:rPr>
                      <w:rStyle w:val="52"/>
                      <w:b w:val="0"/>
                      <w:sz w:val="28"/>
                      <w:szCs w:val="28"/>
                    </w:rPr>
                  </w:pPr>
                  <w:r>
                    <w:rPr>
                      <w:rStyle w:val="52"/>
                      <w:b w:val="0"/>
                      <w:sz w:val="28"/>
                      <w:szCs w:val="28"/>
                    </w:rPr>
                    <w:t>（合同专用章）</w:t>
                  </w:r>
                </w:p>
                <w:p>
                  <w:pPr>
                    <w:tabs>
                      <w:tab w:val="left" w:pos="0"/>
                      <w:tab w:val="left" w:pos="7140"/>
                    </w:tabs>
                    <w:rPr>
                      <w:rStyle w:val="52"/>
                      <w:sz w:val="28"/>
                      <w:szCs w:val="28"/>
                    </w:rPr>
                  </w:pPr>
                </w:p>
              </w:tc>
            </w:tr>
            <w:tr>
              <w:tblPrEx>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52"/>
                      <w:sz w:val="28"/>
                      <w:szCs w:val="28"/>
                    </w:rPr>
                  </w:pPr>
                </w:p>
              </w:tc>
              <w:tc>
                <w:tcPr>
                  <w:tcW w:w="3828" w:type="dxa"/>
                  <w:gridSpan w:val="6"/>
                  <w:vAlign w:val="bottom"/>
                </w:tcPr>
                <w:p>
                  <w:pPr>
                    <w:tabs>
                      <w:tab w:val="left" w:pos="0"/>
                      <w:tab w:val="left" w:pos="7140"/>
                    </w:tabs>
                    <w:rPr>
                      <w:rStyle w:val="52"/>
                      <w:sz w:val="28"/>
                      <w:szCs w:val="28"/>
                    </w:rPr>
                  </w:pPr>
                </w:p>
              </w:tc>
            </w:tr>
            <w:tr>
              <w:tblPrEx>
                <w:tblCellMar>
                  <w:top w:w="0" w:type="dxa"/>
                  <w:left w:w="0" w:type="dxa"/>
                  <w:bottom w:w="0" w:type="dxa"/>
                  <w:right w:w="0" w:type="dxa"/>
                </w:tblCellMar>
              </w:tblPrEx>
              <w:trPr>
                <w:trHeight w:val="435" w:hRule="exact"/>
              </w:trPr>
              <w:tc>
                <w:tcPr>
                  <w:tcW w:w="1559" w:type="dxa"/>
                  <w:vAlign w:val="bottom"/>
                </w:tcPr>
                <w:p>
                  <w:pPr>
                    <w:tabs>
                      <w:tab w:val="left" w:pos="0"/>
                      <w:tab w:val="left" w:pos="7140"/>
                    </w:tabs>
                    <w:rPr>
                      <w:rStyle w:val="52"/>
                      <w:sz w:val="28"/>
                      <w:szCs w:val="28"/>
                    </w:rPr>
                  </w:pPr>
                  <w:r>
                    <w:rPr>
                      <w:rStyle w:val="52"/>
                      <w:sz w:val="28"/>
                      <w:szCs w:val="28"/>
                    </w:rPr>
                    <w:t>乙方：</w:t>
                  </w:r>
                </w:p>
              </w:tc>
              <w:tc>
                <w:tcPr>
                  <w:tcW w:w="3828" w:type="dxa"/>
                  <w:gridSpan w:val="6"/>
                  <w:tcBorders>
                    <w:bottom w:val="single" w:color="auto" w:sz="4" w:space="0"/>
                  </w:tcBorders>
                  <w:vAlign w:val="bottom"/>
                </w:tcPr>
                <w:p>
                  <w:pPr>
                    <w:tabs>
                      <w:tab w:val="left" w:pos="0"/>
                      <w:tab w:val="left" w:pos="7140"/>
                    </w:tabs>
                    <w:rPr>
                      <w:rStyle w:val="52"/>
                      <w:sz w:val="28"/>
                      <w:szCs w:val="28"/>
                    </w:rPr>
                  </w:pPr>
                  <w:r>
                    <w:rPr>
                      <w:rStyle w:val="52"/>
                      <w:sz w:val="28"/>
                      <w:szCs w:val="28"/>
                    </w:rPr>
                    <w:t>北京创联致信科技有限公司</w:t>
                  </w:r>
                </w:p>
              </w:tc>
            </w:tr>
            <w:tr>
              <w:tblPrEx>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52"/>
                      <w:sz w:val="28"/>
                      <w:szCs w:val="28"/>
                    </w:rPr>
                  </w:pPr>
                </w:p>
              </w:tc>
              <w:tc>
                <w:tcPr>
                  <w:tcW w:w="3828" w:type="dxa"/>
                  <w:gridSpan w:val="6"/>
                  <w:tcBorders>
                    <w:top w:val="single" w:color="auto" w:sz="4" w:space="0"/>
                  </w:tcBorders>
                  <w:vAlign w:val="bottom"/>
                </w:tcPr>
                <w:p>
                  <w:pPr>
                    <w:tabs>
                      <w:tab w:val="left" w:pos="0"/>
                      <w:tab w:val="left" w:pos="7140"/>
                    </w:tabs>
                    <w:ind w:firstLine="700" w:firstLineChars="250"/>
                    <w:rPr>
                      <w:rStyle w:val="52"/>
                      <w:b w:val="0"/>
                      <w:sz w:val="28"/>
                      <w:szCs w:val="28"/>
                    </w:rPr>
                  </w:pPr>
                  <w:r>
                    <w:rPr>
                      <w:rStyle w:val="52"/>
                      <w:b w:val="0"/>
                      <w:sz w:val="28"/>
                      <w:szCs w:val="28"/>
                    </w:rPr>
                    <w:t>（合同专用章）</w:t>
                  </w:r>
                </w:p>
                <w:p>
                  <w:pPr>
                    <w:tabs>
                      <w:tab w:val="left" w:pos="0"/>
                      <w:tab w:val="left" w:pos="7140"/>
                    </w:tabs>
                    <w:rPr>
                      <w:rStyle w:val="52"/>
                      <w:sz w:val="28"/>
                      <w:szCs w:val="28"/>
                    </w:rPr>
                  </w:pPr>
                </w:p>
              </w:tc>
            </w:tr>
            <w:tr>
              <w:tblPrEx>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52"/>
                      <w:sz w:val="28"/>
                      <w:szCs w:val="28"/>
                    </w:rPr>
                  </w:pPr>
                </w:p>
              </w:tc>
              <w:tc>
                <w:tcPr>
                  <w:tcW w:w="3828" w:type="dxa"/>
                  <w:gridSpan w:val="6"/>
                  <w:vAlign w:val="bottom"/>
                </w:tcPr>
                <w:p>
                  <w:pPr>
                    <w:tabs>
                      <w:tab w:val="left" w:pos="0"/>
                      <w:tab w:val="left" w:pos="7140"/>
                    </w:tabs>
                    <w:rPr>
                      <w:rStyle w:val="52"/>
                      <w:sz w:val="28"/>
                      <w:szCs w:val="28"/>
                    </w:rPr>
                  </w:pPr>
                </w:p>
              </w:tc>
            </w:tr>
            <w:tr>
              <w:tblPrEx>
                <w:tblCellMar>
                  <w:top w:w="0" w:type="dxa"/>
                  <w:left w:w="0" w:type="dxa"/>
                  <w:bottom w:w="0" w:type="dxa"/>
                  <w:right w:w="0" w:type="dxa"/>
                </w:tblCellMar>
              </w:tblPrEx>
              <w:trPr>
                <w:trHeight w:val="409" w:hRule="exact"/>
              </w:trPr>
              <w:tc>
                <w:tcPr>
                  <w:tcW w:w="1559" w:type="dxa"/>
                  <w:vAlign w:val="bottom"/>
                </w:tcPr>
                <w:p>
                  <w:pPr>
                    <w:tabs>
                      <w:tab w:val="left" w:pos="0"/>
                      <w:tab w:val="left" w:pos="7140"/>
                    </w:tabs>
                    <w:rPr>
                      <w:rStyle w:val="52"/>
                      <w:sz w:val="28"/>
                      <w:szCs w:val="28"/>
                    </w:rPr>
                  </w:pPr>
                  <w:r>
                    <w:rPr>
                      <w:rStyle w:val="52"/>
                      <w:sz w:val="28"/>
                      <w:szCs w:val="28"/>
                    </w:rPr>
                    <w:t>签约地点：</w:t>
                  </w:r>
                </w:p>
              </w:tc>
              <w:tc>
                <w:tcPr>
                  <w:tcW w:w="3828" w:type="dxa"/>
                  <w:gridSpan w:val="6"/>
                  <w:tcBorders>
                    <w:bottom w:val="single" w:color="auto" w:sz="4" w:space="0"/>
                  </w:tcBorders>
                  <w:vAlign w:val="bottom"/>
                </w:tcPr>
                <w:p>
                  <w:pPr>
                    <w:tabs>
                      <w:tab w:val="left" w:pos="0"/>
                      <w:tab w:val="left" w:pos="7140"/>
                    </w:tabs>
                    <w:rPr>
                      <w:rStyle w:val="52"/>
                      <w:sz w:val="28"/>
                      <w:szCs w:val="28"/>
                    </w:rPr>
                  </w:pPr>
                  <w:r>
                    <w:rPr>
                      <w:rStyle w:val="52"/>
                      <w:rFonts w:hint="eastAsia"/>
                      <w:sz w:val="28"/>
                      <w:szCs w:val="28"/>
                    </w:rPr>
                    <w:t>北京</w:t>
                  </w:r>
                </w:p>
              </w:tc>
            </w:tr>
            <w:tr>
              <w:tblPrEx>
                <w:tblCellMar>
                  <w:top w:w="0" w:type="dxa"/>
                  <w:left w:w="0" w:type="dxa"/>
                  <w:bottom w:w="0" w:type="dxa"/>
                  <w:right w:w="0" w:type="dxa"/>
                </w:tblCellMar>
              </w:tblPrEx>
              <w:trPr>
                <w:trHeight w:val="567" w:hRule="exact"/>
              </w:trPr>
              <w:tc>
                <w:tcPr>
                  <w:tcW w:w="1559" w:type="dxa"/>
                  <w:vAlign w:val="bottom"/>
                </w:tcPr>
                <w:p>
                  <w:pPr>
                    <w:tabs>
                      <w:tab w:val="left" w:pos="0"/>
                      <w:tab w:val="left" w:pos="7140"/>
                    </w:tabs>
                    <w:rPr>
                      <w:rStyle w:val="52"/>
                      <w:sz w:val="28"/>
                      <w:szCs w:val="28"/>
                    </w:rPr>
                  </w:pPr>
                </w:p>
              </w:tc>
              <w:tc>
                <w:tcPr>
                  <w:tcW w:w="3828" w:type="dxa"/>
                  <w:gridSpan w:val="6"/>
                  <w:tcBorders>
                    <w:top w:val="single" w:color="auto" w:sz="4" w:space="0"/>
                  </w:tcBorders>
                  <w:vAlign w:val="bottom"/>
                </w:tcPr>
                <w:p>
                  <w:pPr>
                    <w:tabs>
                      <w:tab w:val="left" w:pos="0"/>
                      <w:tab w:val="left" w:pos="7140"/>
                    </w:tabs>
                    <w:rPr>
                      <w:rStyle w:val="52"/>
                      <w:sz w:val="28"/>
                      <w:szCs w:val="28"/>
                    </w:rPr>
                  </w:pPr>
                </w:p>
              </w:tc>
            </w:tr>
            <w:tr>
              <w:tblPrEx>
                <w:tblCellMar>
                  <w:top w:w="0" w:type="dxa"/>
                  <w:left w:w="0" w:type="dxa"/>
                  <w:bottom w:w="0" w:type="dxa"/>
                  <w:right w:w="0" w:type="dxa"/>
                </w:tblCellMar>
              </w:tblPrEx>
              <w:trPr>
                <w:trHeight w:val="424" w:hRule="exact"/>
              </w:trPr>
              <w:tc>
                <w:tcPr>
                  <w:tcW w:w="1559" w:type="dxa"/>
                  <w:vAlign w:val="bottom"/>
                </w:tcPr>
                <w:p>
                  <w:pPr>
                    <w:tabs>
                      <w:tab w:val="left" w:pos="0"/>
                      <w:tab w:val="left" w:pos="7140"/>
                    </w:tabs>
                    <w:rPr>
                      <w:rStyle w:val="52"/>
                      <w:sz w:val="28"/>
                      <w:szCs w:val="28"/>
                    </w:rPr>
                  </w:pPr>
                  <w:r>
                    <w:rPr>
                      <w:rStyle w:val="52"/>
                      <w:sz w:val="28"/>
                      <w:szCs w:val="28"/>
                    </w:rPr>
                    <w:t>签约时间：</w:t>
                  </w:r>
                </w:p>
              </w:tc>
              <w:tc>
                <w:tcPr>
                  <w:tcW w:w="993" w:type="dxa"/>
                  <w:tcBorders>
                    <w:bottom w:val="single" w:color="auto" w:sz="4" w:space="0"/>
                  </w:tcBorders>
                  <w:vAlign w:val="bottom"/>
                </w:tcPr>
                <w:p>
                  <w:pPr>
                    <w:tabs>
                      <w:tab w:val="left" w:pos="0"/>
                      <w:tab w:val="left" w:pos="7140"/>
                    </w:tabs>
                    <w:rPr>
                      <w:rStyle w:val="52"/>
                      <w:sz w:val="28"/>
                      <w:szCs w:val="28"/>
                    </w:rPr>
                  </w:pPr>
                  <w:r>
                    <w:rPr>
                      <w:rStyle w:val="52"/>
                      <w:rFonts w:hint="eastAsia"/>
                      <w:sz w:val="28"/>
                      <w:szCs w:val="28"/>
                    </w:rPr>
                    <w:t>2021</w:t>
                  </w:r>
                </w:p>
              </w:tc>
              <w:tc>
                <w:tcPr>
                  <w:tcW w:w="283" w:type="dxa"/>
                  <w:vAlign w:val="bottom"/>
                </w:tcPr>
                <w:p>
                  <w:pPr>
                    <w:rPr>
                      <w:rStyle w:val="52"/>
                      <w:sz w:val="28"/>
                      <w:szCs w:val="28"/>
                    </w:rPr>
                  </w:pPr>
                  <w:r>
                    <w:rPr>
                      <w:rStyle w:val="52"/>
                      <w:sz w:val="28"/>
                      <w:szCs w:val="28"/>
                    </w:rPr>
                    <w:t>年</w:t>
                  </w:r>
                </w:p>
              </w:tc>
              <w:tc>
                <w:tcPr>
                  <w:tcW w:w="1134" w:type="dxa"/>
                  <w:tcBorders>
                    <w:bottom w:val="single" w:color="auto" w:sz="4" w:space="0"/>
                  </w:tcBorders>
                  <w:vAlign w:val="bottom"/>
                </w:tcPr>
                <w:p>
                  <w:pPr>
                    <w:tabs>
                      <w:tab w:val="left" w:pos="-147"/>
                      <w:tab w:val="left" w:pos="7140"/>
                    </w:tabs>
                    <w:rPr>
                      <w:rStyle w:val="52"/>
                      <w:sz w:val="28"/>
                      <w:szCs w:val="28"/>
                    </w:rPr>
                  </w:pPr>
                  <w:r>
                    <w:rPr>
                      <w:rStyle w:val="52"/>
                      <w:rFonts w:hint="eastAsia"/>
                      <w:sz w:val="28"/>
                      <w:szCs w:val="28"/>
                    </w:rPr>
                    <w:t>3</w:t>
                  </w:r>
                </w:p>
              </w:tc>
              <w:tc>
                <w:tcPr>
                  <w:tcW w:w="284" w:type="dxa"/>
                  <w:vAlign w:val="bottom"/>
                </w:tcPr>
                <w:p>
                  <w:pPr>
                    <w:rPr>
                      <w:rStyle w:val="52"/>
                      <w:sz w:val="28"/>
                      <w:szCs w:val="28"/>
                    </w:rPr>
                  </w:pPr>
                  <w:r>
                    <w:rPr>
                      <w:rStyle w:val="52"/>
                      <w:sz w:val="28"/>
                      <w:szCs w:val="28"/>
                    </w:rPr>
                    <w:t>月</w:t>
                  </w:r>
                </w:p>
              </w:tc>
              <w:tc>
                <w:tcPr>
                  <w:tcW w:w="850" w:type="dxa"/>
                  <w:tcBorders>
                    <w:bottom w:val="single" w:color="auto" w:sz="4" w:space="0"/>
                  </w:tcBorders>
                  <w:vAlign w:val="bottom"/>
                </w:tcPr>
                <w:p>
                  <w:pPr>
                    <w:tabs>
                      <w:tab w:val="left" w:pos="0"/>
                      <w:tab w:val="left" w:pos="7140"/>
                    </w:tabs>
                    <w:rPr>
                      <w:rStyle w:val="52"/>
                      <w:sz w:val="28"/>
                      <w:szCs w:val="28"/>
                    </w:rPr>
                  </w:pPr>
                  <w:r>
                    <w:rPr>
                      <w:rStyle w:val="52"/>
                      <w:rFonts w:hint="eastAsia"/>
                      <w:sz w:val="28"/>
                      <w:szCs w:val="28"/>
                    </w:rPr>
                    <w:t>23</w:t>
                  </w:r>
                </w:p>
              </w:tc>
              <w:tc>
                <w:tcPr>
                  <w:tcW w:w="284" w:type="dxa"/>
                  <w:vAlign w:val="bottom"/>
                </w:tcPr>
                <w:p>
                  <w:pPr>
                    <w:rPr>
                      <w:rStyle w:val="52"/>
                      <w:sz w:val="28"/>
                      <w:szCs w:val="28"/>
                    </w:rPr>
                  </w:pPr>
                  <w:r>
                    <w:rPr>
                      <w:rStyle w:val="52"/>
                      <w:sz w:val="28"/>
                      <w:szCs w:val="28"/>
                    </w:rPr>
                    <w:t>日</w:t>
                  </w:r>
                </w:p>
              </w:tc>
            </w:tr>
          </w:tbl>
          <w:p>
            <w:pPr>
              <w:tabs>
                <w:tab w:val="left" w:pos="6345"/>
              </w:tabs>
              <w:spacing w:before="190" w:beforeLines="50" w:line="240" w:lineRule="auto"/>
              <w:rPr>
                <w:b/>
                <w:color w:val="000000"/>
                <w:sz w:val="32"/>
                <w:szCs w:val="32"/>
              </w:rPr>
            </w:pPr>
          </w:p>
          <w:p>
            <w:pPr>
              <w:spacing w:line="240" w:lineRule="auto"/>
              <w:rPr>
                <w:b/>
                <w:color w:val="000000"/>
                <w:sz w:val="32"/>
                <w:szCs w:val="32"/>
              </w:rPr>
            </w:pPr>
          </w:p>
          <w:p>
            <w:pPr>
              <w:spacing w:line="240" w:lineRule="auto"/>
              <w:rPr>
                <w:b/>
                <w:color w:val="000000"/>
                <w:sz w:val="32"/>
                <w:szCs w:val="32"/>
              </w:rPr>
            </w:pPr>
          </w:p>
          <w:p>
            <w:pPr>
              <w:spacing w:line="240" w:lineRule="auto"/>
              <w:rPr>
                <w:rFonts w:ascii="黑体" w:hAnsi="Tahoma" w:eastAsia="黑体" w:cs="Tahoma"/>
                <w:b/>
                <w:szCs w:val="21"/>
              </w:rPr>
            </w:pPr>
          </w:p>
          <w:p>
            <w:pPr>
              <w:spacing w:line="240" w:lineRule="auto"/>
              <w:jc w:val="center"/>
              <w:rPr>
                <w:rFonts w:ascii="黑体" w:hAnsi="Tahoma" w:eastAsia="黑体" w:cs="Tahoma"/>
                <w:b/>
                <w:szCs w:val="21"/>
              </w:rPr>
            </w:pPr>
            <w:r>
              <w:rPr>
                <w:rFonts w:hint="eastAsia" w:ascii="黑体" w:hAnsi="Tahoma" w:eastAsia="黑体" w:cs="Tahoma"/>
                <w:b/>
                <w:szCs w:val="21"/>
              </w:rPr>
              <w:t>北京创联致信科技有限公司</w:t>
            </w:r>
          </w:p>
          <w:p>
            <w:pPr>
              <w:tabs>
                <w:tab w:val="left" w:pos="6345"/>
              </w:tabs>
              <w:spacing w:before="190" w:beforeLines="50" w:line="240" w:lineRule="auto"/>
              <w:ind w:firstLine="360" w:firstLineChars="200"/>
              <w:rPr>
                <w:rFonts w:ascii="仿宋_GB2312"/>
                <w:sz w:val="18"/>
                <w:szCs w:val="18"/>
              </w:rPr>
            </w:pPr>
            <w:r>
              <w:rPr>
                <w:rFonts w:hint="eastAsia" w:ascii="仿宋_GB2312"/>
                <w:sz w:val="18"/>
                <w:szCs w:val="18"/>
              </w:rPr>
              <w:t>本文档版权属于北京创联致信科技有限公司，任何使用、复制、公开此文档的行为都必须经过北京创联致信科技有限公司的书面允许。</w:t>
            </w:r>
          </w:p>
        </w:tc>
      </w:tr>
    </w:tbl>
    <w:p>
      <w:pPr>
        <w:spacing w:before="190" w:beforeLines="50"/>
        <w:jc w:val="center"/>
        <w:rPr>
          <w:rFonts w:ascii="仿宋_GB2312" w:hAnsi="Adobe 仿宋 Std R"/>
          <w:b/>
          <w:sz w:val="32"/>
          <w:szCs w:val="32"/>
        </w:rPr>
      </w:pPr>
      <w:r>
        <w:rPr>
          <w:rFonts w:hint="eastAsia" w:ascii="仿宋_GB2312" w:hAnsi="Adobe 仿宋 Std R"/>
          <w:b/>
          <w:sz w:val="32"/>
          <w:szCs w:val="32"/>
        </w:rPr>
        <w:t>目录</w:t>
      </w:r>
    </w:p>
    <w:p>
      <w:pPr>
        <w:pStyle w:val="27"/>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"_Toc65848070" </w:instrText>
      </w:r>
      <w:r>
        <w:fldChar w:fldCharType="separate"/>
      </w:r>
      <w:r>
        <w:rPr>
          <w:rStyle w:val="42"/>
        </w:rPr>
        <w:t>第一章</w:t>
      </w:r>
      <w:r>
        <w:rPr>
          <w:rFonts w:asciiTheme="minorHAnsi" w:hAnsiTheme="minorHAnsi" w:eastAsiaTheme="minorEastAsia" w:cstheme="minorBidi"/>
          <w:sz w:val="21"/>
          <w:szCs w:val="22"/>
        </w:rPr>
        <w:tab/>
      </w:r>
      <w:r>
        <w:rPr>
          <w:rStyle w:val="42"/>
        </w:rPr>
        <w:t>维护等级概览</w:t>
      </w:r>
      <w:r>
        <w:tab/>
      </w:r>
      <w:r>
        <w:fldChar w:fldCharType="begin"/>
      </w:r>
      <w:r>
        <w:instrText xml:space="preserve"> PAGEREF _Toc65848070 \h </w:instrText>
      </w:r>
      <w:r>
        <w:fldChar w:fldCharType="separate"/>
      </w:r>
      <w:r>
        <w:t>1</w:t>
      </w:r>
      <w:r>
        <w:fldChar w:fldCharType="end"/>
      </w:r>
      <w:r>
        <w:fldChar w:fldCharType="end"/>
      </w:r>
    </w:p>
    <w:p>
      <w:pPr>
        <w:pStyle w:val="27"/>
        <w:rPr>
          <w:rFonts w:asciiTheme="minorHAnsi" w:hAnsiTheme="minorHAnsi" w:eastAsiaTheme="minorEastAsia" w:cstheme="minorBidi"/>
          <w:sz w:val="21"/>
          <w:szCs w:val="22"/>
        </w:rPr>
      </w:pPr>
      <w:r>
        <w:fldChar w:fldCharType="begin"/>
      </w:r>
      <w:r>
        <w:instrText xml:space="preserve"> HYPERLINK \l "_Toc65848071" </w:instrText>
      </w:r>
      <w:r>
        <w:fldChar w:fldCharType="separate"/>
      </w:r>
      <w:r>
        <w:rPr>
          <w:rStyle w:val="42"/>
        </w:rPr>
        <w:t>第二章</w:t>
      </w:r>
      <w:r>
        <w:rPr>
          <w:rFonts w:asciiTheme="minorHAnsi" w:hAnsiTheme="minorHAnsi" w:eastAsiaTheme="minorEastAsia" w:cstheme="minorBidi"/>
          <w:sz w:val="21"/>
          <w:szCs w:val="22"/>
        </w:rPr>
        <w:tab/>
      </w:r>
      <w:r>
        <w:rPr>
          <w:rStyle w:val="42"/>
        </w:rPr>
        <w:t>维护内容</w:t>
      </w:r>
      <w:r>
        <w:tab/>
      </w:r>
      <w:r>
        <w:fldChar w:fldCharType="begin"/>
      </w:r>
      <w:r>
        <w:instrText xml:space="preserve"> PAGEREF _Toc65848071 \h </w:instrText>
      </w:r>
      <w:r>
        <w:fldChar w:fldCharType="separate"/>
      </w:r>
      <w:r>
        <w:t>2</w:t>
      </w:r>
      <w:r>
        <w:fldChar w:fldCharType="end"/>
      </w:r>
      <w:r>
        <w:fldChar w:fldCharType="end"/>
      </w:r>
    </w:p>
    <w:p>
      <w:pPr>
        <w:pStyle w:val="27"/>
        <w:rPr>
          <w:rFonts w:asciiTheme="minorHAnsi" w:hAnsiTheme="minorHAnsi" w:eastAsiaTheme="minorEastAsia" w:cstheme="minorBidi"/>
          <w:sz w:val="21"/>
          <w:szCs w:val="22"/>
        </w:rPr>
      </w:pPr>
      <w:r>
        <w:fldChar w:fldCharType="begin"/>
      </w:r>
      <w:r>
        <w:instrText xml:space="preserve"> HYPERLINK \l "_Toc65848072" </w:instrText>
      </w:r>
      <w:r>
        <w:fldChar w:fldCharType="separate"/>
      </w:r>
      <w:r>
        <w:rPr>
          <w:rStyle w:val="42"/>
        </w:rPr>
        <w:t>第三章</w:t>
      </w:r>
      <w:r>
        <w:rPr>
          <w:rFonts w:asciiTheme="minorHAnsi" w:hAnsiTheme="minorHAnsi" w:eastAsiaTheme="minorEastAsia" w:cstheme="minorBidi"/>
          <w:sz w:val="21"/>
          <w:szCs w:val="22"/>
        </w:rPr>
        <w:tab/>
      </w:r>
      <w:r>
        <w:rPr>
          <w:rStyle w:val="42"/>
        </w:rPr>
        <w:t>收费标准</w:t>
      </w:r>
      <w:r>
        <w:tab/>
      </w:r>
      <w:r>
        <w:fldChar w:fldCharType="begin"/>
      </w:r>
      <w:r>
        <w:instrText xml:space="preserve"> PAGEREF _Toc65848072 \h </w:instrText>
      </w:r>
      <w:r>
        <w:fldChar w:fldCharType="separate"/>
      </w:r>
      <w:r>
        <w:t>3</w:t>
      </w:r>
      <w:r>
        <w:fldChar w:fldCharType="end"/>
      </w:r>
      <w:r>
        <w:fldChar w:fldCharType="end"/>
      </w:r>
    </w:p>
    <w:p>
      <w:pPr>
        <w:pStyle w:val="27"/>
        <w:rPr>
          <w:rFonts w:asciiTheme="minorHAnsi" w:hAnsiTheme="minorHAnsi" w:eastAsiaTheme="minorEastAsia" w:cstheme="minorBidi"/>
          <w:sz w:val="21"/>
          <w:szCs w:val="22"/>
        </w:rPr>
      </w:pPr>
      <w:r>
        <w:fldChar w:fldCharType="begin"/>
      </w:r>
      <w:r>
        <w:instrText xml:space="preserve"> HYPERLINK \l "_Toc65848073" </w:instrText>
      </w:r>
      <w:r>
        <w:fldChar w:fldCharType="separate"/>
      </w:r>
      <w:r>
        <w:rPr>
          <w:rStyle w:val="42"/>
        </w:rPr>
        <w:t>第四章</w:t>
      </w:r>
      <w:r>
        <w:rPr>
          <w:rFonts w:asciiTheme="minorHAnsi" w:hAnsiTheme="minorHAnsi" w:eastAsiaTheme="minorEastAsia" w:cstheme="minorBidi"/>
          <w:sz w:val="21"/>
          <w:szCs w:val="22"/>
        </w:rPr>
        <w:tab/>
      </w:r>
      <w:r>
        <w:rPr>
          <w:rStyle w:val="42"/>
        </w:rPr>
        <w:t>结论</w:t>
      </w:r>
      <w:r>
        <w:tab/>
      </w:r>
      <w:r>
        <w:fldChar w:fldCharType="begin"/>
      </w:r>
      <w:r>
        <w:instrText xml:space="preserve"> PAGEREF _Toc65848073 \h </w:instrText>
      </w:r>
      <w:r>
        <w:fldChar w:fldCharType="separate"/>
      </w:r>
      <w:r>
        <w:t>4</w:t>
      </w:r>
      <w:r>
        <w:fldChar w:fldCharType="end"/>
      </w:r>
      <w:r>
        <w:fldChar w:fldCharType="end"/>
      </w:r>
    </w:p>
    <w:p>
      <w:pPr>
        <w:pStyle w:val="27"/>
        <w:rPr>
          <w:rFonts w:asciiTheme="minorHAnsi" w:hAnsiTheme="minorHAnsi" w:eastAsiaTheme="minorEastAsia" w:cstheme="minorBidi"/>
          <w:sz w:val="21"/>
          <w:szCs w:val="22"/>
        </w:rPr>
      </w:pPr>
      <w:r>
        <w:fldChar w:fldCharType="begin"/>
      </w:r>
      <w:r>
        <w:instrText xml:space="preserve"> HYPERLINK \l "_Toc65848074" </w:instrText>
      </w:r>
      <w:r>
        <w:fldChar w:fldCharType="separate"/>
      </w:r>
      <w:r>
        <w:rPr>
          <w:rStyle w:val="42"/>
        </w:rPr>
        <w:t>第五章</w:t>
      </w:r>
      <w:r>
        <w:rPr>
          <w:rFonts w:asciiTheme="minorHAnsi" w:hAnsiTheme="minorHAnsi" w:eastAsiaTheme="minorEastAsia" w:cstheme="minorBidi"/>
          <w:sz w:val="21"/>
          <w:szCs w:val="22"/>
        </w:rPr>
        <w:tab/>
      </w:r>
      <w:r>
        <w:rPr>
          <w:rStyle w:val="42"/>
        </w:rPr>
        <w:t>违约责任</w:t>
      </w:r>
      <w:r>
        <w:tab/>
      </w:r>
      <w:r>
        <w:fldChar w:fldCharType="begin"/>
      </w:r>
      <w:r>
        <w:instrText xml:space="preserve"> PAGEREF _Toc65848074 \h </w:instrText>
      </w:r>
      <w:r>
        <w:fldChar w:fldCharType="separate"/>
      </w:r>
      <w:r>
        <w:t>4</w:t>
      </w:r>
      <w:r>
        <w:fldChar w:fldCharType="end"/>
      </w:r>
      <w:r>
        <w:fldChar w:fldCharType="end"/>
      </w:r>
    </w:p>
    <w:p>
      <w:pPr>
        <w:pStyle w:val="27"/>
        <w:rPr>
          <w:rFonts w:asciiTheme="minorHAnsi" w:hAnsiTheme="minorHAnsi" w:eastAsiaTheme="minorEastAsia" w:cstheme="minorBidi"/>
          <w:sz w:val="21"/>
          <w:szCs w:val="22"/>
        </w:rPr>
      </w:pPr>
      <w:r>
        <w:fldChar w:fldCharType="begin"/>
      </w:r>
      <w:r>
        <w:instrText xml:space="preserve"> HYPERLINK \l "_Toc65848075" </w:instrText>
      </w:r>
      <w:r>
        <w:fldChar w:fldCharType="separate"/>
      </w:r>
      <w:r>
        <w:rPr>
          <w:rStyle w:val="42"/>
        </w:rPr>
        <w:t>第六章</w:t>
      </w:r>
      <w:r>
        <w:rPr>
          <w:rFonts w:asciiTheme="minorHAnsi" w:hAnsiTheme="minorHAnsi" w:eastAsiaTheme="minorEastAsia" w:cstheme="minorBidi"/>
          <w:sz w:val="21"/>
          <w:szCs w:val="22"/>
        </w:rPr>
        <w:tab/>
      </w:r>
      <w:r>
        <w:rPr>
          <w:rStyle w:val="42"/>
        </w:rPr>
        <w:t>其他</w:t>
      </w:r>
      <w:r>
        <w:tab/>
      </w:r>
      <w:r>
        <w:fldChar w:fldCharType="begin"/>
      </w:r>
      <w:r>
        <w:instrText xml:space="preserve"> PAGEREF _Toc65848075 \h </w:instrText>
      </w:r>
      <w:r>
        <w:fldChar w:fldCharType="separate"/>
      </w:r>
      <w:r>
        <w:t>4</w:t>
      </w:r>
      <w:r>
        <w:fldChar w:fldCharType="end"/>
      </w:r>
      <w:r>
        <w:fldChar w:fldCharType="end"/>
      </w:r>
    </w:p>
    <w:p>
      <w:pPr>
        <w:pStyle w:val="27"/>
      </w:pPr>
      <w:r>
        <w:fldChar w:fldCharType="end"/>
      </w:r>
    </w:p>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ind w:firstLine="480" w:firstLineChars="200"/>
      </w:pPr>
      <w:r>
        <w:rPr>
          <w:rFonts w:hint="eastAsia" w:ascii="仿宋_GB2312" w:hAnsi="Adobe 仿宋 Std R"/>
          <w:sz w:val="24"/>
          <w:szCs w:val="24"/>
        </w:rPr>
        <w:t>经甲乙双方友好协商，甲方同意由乙方为</w:t>
      </w:r>
      <w:r>
        <w:rPr>
          <w:rFonts w:hint="eastAsia"/>
          <w:sz w:val="24"/>
          <w:szCs w:val="24"/>
        </w:rPr>
        <w:t>ITiMe系列</w:t>
      </w:r>
      <w:r>
        <w:rPr>
          <w:rFonts w:hint="eastAsia" w:ascii="仿宋_GB2312" w:hAnsi="Adobe 仿宋 Std R"/>
          <w:sz w:val="24"/>
          <w:szCs w:val="24"/>
        </w:rPr>
        <w:t>产品软件系统提供维护服务，为明确双方的义务及权利，签定以下维护协议，双方约定共同遵守。</w:t>
      </w:r>
    </w:p>
    <w:p/>
    <w:p>
      <w:pPr>
        <w:pStyle w:val="55"/>
        <w:spacing w:after="190"/>
      </w:pPr>
      <w:bookmarkStart w:id="0" w:name="_Toc300069489"/>
      <w:bookmarkStart w:id="1" w:name="_Toc344668788"/>
      <w:bookmarkStart w:id="2" w:name="_Toc65848070"/>
      <w:r>
        <w:rPr>
          <w:rFonts w:hint="eastAsia"/>
        </w:rPr>
        <w:t>维护等级概览</w:t>
      </w:r>
      <w:bookmarkEnd w:id="0"/>
      <w:bookmarkEnd w:id="1"/>
      <w:bookmarkEnd w:id="2"/>
    </w:p>
    <w:p>
      <w:pPr>
        <w:tabs>
          <w:tab w:val="left" w:pos="490"/>
        </w:tabs>
      </w:pPr>
      <w:r>
        <w:rPr>
          <w:rFonts w:hint="eastAsia"/>
          <w:snapToGrid w:val="0"/>
          <w:kern w:val="0"/>
          <w:sz w:val="24"/>
        </w:rPr>
        <w:t>创联致信提供的产品维护等级概览如图所示：</w:t>
      </w:r>
    </w:p>
    <w:tbl>
      <w:tblPr>
        <w:tblStyle w:val="36"/>
        <w:tblW w:w="9073"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2268"/>
        <w:gridCol w:w="2835"/>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8" w:space="0"/>
              <w:left w:val="single" w:color="auto" w:sz="8" w:space="0"/>
              <w:bottom w:val="single" w:color="auto" w:sz="4" w:space="0"/>
              <w:right w:val="single" w:color="auto" w:sz="4" w:space="0"/>
              <w:tl2br w:val="single" w:color="auto" w:sz="4" w:space="0"/>
            </w:tcBorders>
            <w:shd w:val="clear" w:color="auto" w:fill="95B3D7" w:themeFill="accent1" w:themeFillTint="99"/>
            <w:vAlign w:val="center"/>
          </w:tcPr>
          <w:p>
            <w:pPr>
              <w:widowControl/>
              <w:rPr>
                <w:rFonts w:ascii="仿宋_GB2312" w:hAnsi="宋体" w:cs="宋体"/>
                <w:b/>
                <w:bCs/>
                <w:color w:val="000000"/>
                <w:kern w:val="0"/>
                <w:szCs w:val="21"/>
              </w:rPr>
            </w:pPr>
          </w:p>
        </w:tc>
        <w:tc>
          <w:tcPr>
            <w:tcW w:w="7513" w:type="dxa"/>
            <w:gridSpan w:val="3"/>
            <w:tcBorders>
              <w:top w:val="single" w:color="auto" w:sz="8" w:space="0"/>
              <w:left w:val="single" w:color="auto" w:sz="4" w:space="0"/>
              <w:bottom w:val="single" w:color="auto" w:sz="4" w:space="0"/>
              <w:right w:val="single" w:color="auto" w:sz="8" w:space="0"/>
            </w:tcBorders>
            <w:shd w:val="clear" w:color="auto" w:fill="95B3D7" w:themeFill="accent1" w:themeFillTint="99"/>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软件维护级别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维护内容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基本级维护</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常规级维护</w:t>
            </w:r>
          </w:p>
        </w:tc>
        <w:tc>
          <w:tcPr>
            <w:tcW w:w="24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增强级维护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响应时间</w:t>
            </w:r>
          </w:p>
        </w:tc>
        <w:tc>
          <w:tcPr>
            <w:tcW w:w="226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优先等级1的故障将在</w:t>
            </w:r>
            <w:r>
              <w:rPr>
                <w:rFonts w:ascii="仿宋_GB2312" w:hAnsi="宋体" w:cs="宋体"/>
                <w:color w:val="000000"/>
                <w:kern w:val="0"/>
                <w:szCs w:val="21"/>
              </w:rPr>
              <w:t>2</w:t>
            </w:r>
            <w:r>
              <w:rPr>
                <w:rFonts w:hint="eastAsia" w:ascii="仿宋_GB2312" w:hAnsi="宋体" w:cs="宋体"/>
                <w:color w:val="000000"/>
                <w:kern w:val="0"/>
                <w:szCs w:val="21"/>
              </w:rPr>
              <w:t>小时内响应；优先等级2的故障，将在4小时内响应。</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优先等级1的故障将在</w:t>
            </w:r>
            <w:r>
              <w:rPr>
                <w:rFonts w:hint="eastAsia"/>
                <w:color w:val="000000"/>
                <w:kern w:val="0"/>
                <w:szCs w:val="21"/>
              </w:rPr>
              <w:t>1</w:t>
            </w:r>
            <w:r>
              <w:rPr>
                <w:rFonts w:hint="eastAsia" w:ascii="仿宋_GB2312" w:hAnsi="宋体" w:cs="宋体"/>
                <w:color w:val="000000"/>
                <w:kern w:val="0"/>
                <w:szCs w:val="21"/>
              </w:rPr>
              <w:t>小时内响应；优先等级2的故障，将在</w:t>
            </w:r>
            <w:r>
              <w:rPr>
                <w:rFonts w:hint="eastAsia"/>
                <w:color w:val="000000"/>
                <w:kern w:val="0"/>
                <w:szCs w:val="21"/>
              </w:rPr>
              <w:t>2</w:t>
            </w:r>
            <w:r>
              <w:rPr>
                <w:rFonts w:hint="eastAsia" w:ascii="仿宋_GB2312" w:hAnsi="宋体" w:cs="宋体"/>
                <w:color w:val="000000"/>
                <w:kern w:val="0"/>
                <w:szCs w:val="21"/>
              </w:rPr>
              <w:t>小时内响应。</w:t>
            </w:r>
          </w:p>
        </w:tc>
        <w:tc>
          <w:tcPr>
            <w:tcW w:w="2410" w:type="dxa"/>
            <w:tcBorders>
              <w:top w:val="single" w:color="auto" w:sz="4" w:space="0"/>
              <w:left w:val="single" w:color="auto" w:sz="4" w:space="0"/>
              <w:bottom w:val="single" w:color="auto" w:sz="4" w:space="0"/>
              <w:right w:val="single" w:color="auto" w:sz="8"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专人进驻用户现场，提供</w:t>
            </w:r>
            <w:r>
              <w:rPr>
                <w:rFonts w:hint="eastAsia"/>
                <w:color w:val="000000"/>
                <w:kern w:val="0"/>
                <w:szCs w:val="21"/>
              </w:rPr>
              <w:t>与甲方工作日一致</w:t>
            </w:r>
            <w:r>
              <w:rPr>
                <w:rFonts w:hint="eastAsia" w:ascii="仿宋_GB2312" w:hAnsi="宋体" w:cs="宋体"/>
                <w:color w:val="000000"/>
                <w:kern w:val="0"/>
                <w:szCs w:val="21"/>
              </w:rPr>
              <w:t>的全程服务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远程服务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color w:val="000000"/>
                <w:kern w:val="0"/>
                <w:szCs w:val="21"/>
              </w:rPr>
              <w:t>5</w:t>
            </w:r>
            <w:r>
              <w:rPr>
                <w:color w:val="000000"/>
                <w:kern w:val="0"/>
                <w:szCs w:val="21"/>
              </w:rPr>
              <w:t>*8</w:t>
            </w:r>
            <w:r>
              <w:rPr>
                <w:rFonts w:hint="eastAsia" w:ascii="仿宋_GB2312" w:hAnsi="宋体" w:cs="宋体"/>
                <w:color w:val="000000"/>
                <w:kern w:val="0"/>
                <w:szCs w:val="21"/>
              </w:rPr>
              <w:t>小时，提供问题咨询，协助用户排除故障。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color w:val="000000"/>
                <w:kern w:val="0"/>
                <w:szCs w:val="21"/>
              </w:rPr>
              <w:t>7*24</w:t>
            </w:r>
            <w:r>
              <w:rPr>
                <w:rFonts w:hint="eastAsia" w:ascii="仿宋_GB2312" w:hAnsi="宋体" w:cs="宋体"/>
                <w:color w:val="000000"/>
                <w:kern w:val="0"/>
                <w:szCs w:val="21"/>
              </w:rPr>
              <w:t>小时，提供问题咨询，协助用户排除故障。</w:t>
            </w:r>
          </w:p>
        </w:tc>
        <w:tc>
          <w:tcPr>
            <w:tcW w:w="2410" w:type="dxa"/>
            <w:tcBorders>
              <w:top w:val="single" w:color="auto" w:sz="4" w:space="0"/>
              <w:left w:val="single" w:color="auto" w:sz="4" w:space="0"/>
              <w:bottom w:val="single" w:color="auto" w:sz="4" w:space="0"/>
              <w:right w:val="single" w:color="auto" w:sz="8"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负责呼叫中心平台相关的所有故障、配置等日常维护工作的实时完成与问题解决。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现场服务</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无</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判断故障无法通过远程处理解决后，乙方将在（北京五环以内）</w:t>
            </w:r>
            <w:r>
              <w:rPr>
                <w:rFonts w:hint="eastAsia"/>
                <w:color w:val="000000"/>
                <w:kern w:val="0"/>
                <w:szCs w:val="21"/>
              </w:rPr>
              <w:t>2</w:t>
            </w:r>
            <w:r>
              <w:rPr>
                <w:rFonts w:hint="eastAsia" w:ascii="仿宋_GB2312" w:hAnsi="宋体" w:cs="宋体"/>
                <w:color w:val="000000"/>
                <w:kern w:val="0"/>
                <w:szCs w:val="21"/>
              </w:rPr>
              <w:t>小时内到达现场；外地</w:t>
            </w:r>
            <w:r>
              <w:rPr>
                <w:rFonts w:hint="eastAsia"/>
                <w:color w:val="000000"/>
                <w:kern w:val="0"/>
                <w:szCs w:val="21"/>
              </w:rPr>
              <w:t>12</w:t>
            </w:r>
            <w:r>
              <w:rPr>
                <w:rFonts w:hint="eastAsia" w:ascii="仿宋_GB2312" w:hAnsi="宋体" w:cs="宋体"/>
                <w:color w:val="000000"/>
                <w:kern w:val="0"/>
                <w:szCs w:val="21"/>
              </w:rPr>
              <w:t>小时内到达现场</w:t>
            </w:r>
          </w:p>
        </w:tc>
        <w:tc>
          <w:tcPr>
            <w:tcW w:w="24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按照甲方要求进行现场维护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远程巡检</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4次/年</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color w:val="000000"/>
                <w:kern w:val="0"/>
                <w:szCs w:val="21"/>
              </w:rPr>
              <w:t>4</w:t>
            </w:r>
            <w:r>
              <w:rPr>
                <w:rFonts w:hint="eastAsia" w:ascii="仿宋_GB2312" w:hAnsi="宋体" w:cs="宋体"/>
                <w:color w:val="000000"/>
                <w:kern w:val="0"/>
                <w:szCs w:val="21"/>
              </w:rPr>
              <w:t>次/年（视用户方许可而定）</w:t>
            </w:r>
          </w:p>
        </w:tc>
        <w:tc>
          <w:tcPr>
            <w:tcW w:w="24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按照甲方要求巡检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现场巡检</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无</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color w:val="000000"/>
                <w:kern w:val="0"/>
                <w:szCs w:val="21"/>
              </w:rPr>
              <w:t>2</w:t>
            </w:r>
            <w:r>
              <w:rPr>
                <w:rFonts w:hint="eastAsia" w:ascii="仿宋_GB2312" w:hAnsi="宋体" w:cs="宋体"/>
                <w:color w:val="000000"/>
                <w:kern w:val="0"/>
                <w:szCs w:val="21"/>
              </w:rPr>
              <w:t>次/年</w:t>
            </w:r>
          </w:p>
        </w:tc>
        <w:tc>
          <w:tcPr>
            <w:tcW w:w="24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按照甲方要求巡检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现场培训</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Cs w:val="21"/>
              </w:rPr>
            </w:pPr>
            <w:r>
              <w:rPr>
                <w:rFonts w:hint="eastAsia"/>
                <w:color w:val="000000"/>
                <w:kern w:val="0"/>
                <w:szCs w:val="21"/>
              </w:rPr>
              <w:t>无</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color w:val="000000"/>
                <w:kern w:val="0"/>
                <w:szCs w:val="21"/>
              </w:rPr>
              <w:t>无</w:t>
            </w:r>
          </w:p>
        </w:tc>
        <w:tc>
          <w:tcPr>
            <w:tcW w:w="24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按照甲方要求培训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系统软件升级</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无</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定期免费升级</w:t>
            </w:r>
          </w:p>
        </w:tc>
        <w:tc>
          <w:tcPr>
            <w:tcW w:w="241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定期免费升级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硬件检测</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无</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乙方提供的设备硬件发生故障，乙方可协助进行检测定位。</w:t>
            </w:r>
          </w:p>
        </w:tc>
        <w:tc>
          <w:tcPr>
            <w:tcW w:w="2410" w:type="dxa"/>
            <w:tcBorders>
              <w:top w:val="single" w:color="auto" w:sz="4" w:space="0"/>
              <w:left w:val="single" w:color="auto" w:sz="4" w:space="0"/>
              <w:bottom w:val="single" w:color="auto" w:sz="4" w:space="0"/>
              <w:right w:val="single" w:color="auto" w:sz="8"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乙方提供的设备硬件发生故障，由乙方协助检测定位，并进行修理。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硬件维护</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无</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提供相关硬件的基本维护（包含合同清单中的硬件）</w:t>
            </w:r>
          </w:p>
        </w:tc>
        <w:tc>
          <w:tcPr>
            <w:tcW w:w="2410" w:type="dxa"/>
            <w:tcBorders>
              <w:top w:val="single" w:color="auto" w:sz="4" w:space="0"/>
              <w:left w:val="single" w:color="auto" w:sz="4" w:space="0"/>
              <w:bottom w:val="single" w:color="auto" w:sz="4" w:space="0"/>
              <w:right w:val="single" w:color="auto" w:sz="8" w:space="0"/>
            </w:tcBorders>
            <w:shd w:val="clear" w:color="auto" w:fill="auto"/>
          </w:tcPr>
          <w:p>
            <w:pPr>
              <w:widowControl/>
              <w:rPr>
                <w:rFonts w:ascii="仿宋_GB2312" w:hAnsi="宋体" w:cs="宋体"/>
                <w:color w:val="000000"/>
                <w:kern w:val="0"/>
                <w:szCs w:val="21"/>
              </w:rPr>
            </w:pPr>
            <w:r>
              <w:rPr>
                <w:rFonts w:hint="eastAsia" w:ascii="仿宋_GB2312" w:hAnsi="宋体" w:cs="宋体"/>
                <w:color w:val="000000"/>
                <w:kern w:val="0"/>
                <w:szCs w:val="21"/>
              </w:rPr>
              <w:t>提供相关硬件的基本维护（包含合同清单中的硬件）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60" w:type="dxa"/>
            <w:tcBorders>
              <w:top w:val="single" w:color="auto" w:sz="4" w:space="0"/>
              <w:left w:val="single" w:color="auto" w:sz="8" w:space="0"/>
              <w:bottom w:val="single" w:color="auto" w:sz="8" w:space="0"/>
              <w:right w:val="single" w:color="auto" w:sz="4" w:space="0"/>
            </w:tcBorders>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新功能介绍及试用</w:t>
            </w:r>
          </w:p>
        </w:tc>
        <w:tc>
          <w:tcPr>
            <w:tcW w:w="226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无</w:t>
            </w:r>
          </w:p>
        </w:tc>
        <w:tc>
          <w:tcPr>
            <w:tcW w:w="2835"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定期向甲方做新功能介绍，甲方可优先试用乙方新功能模块后再行购买.</w:t>
            </w:r>
          </w:p>
        </w:tc>
        <w:tc>
          <w:tcPr>
            <w:tcW w:w="241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rPr>
                <w:rFonts w:ascii="仿宋_GB2312" w:hAnsi="宋体" w:cs="宋体"/>
                <w:color w:val="000000"/>
                <w:kern w:val="0"/>
                <w:szCs w:val="21"/>
              </w:rPr>
            </w:pPr>
            <w:r>
              <w:rPr>
                <w:rFonts w:ascii="仿宋_GB2312" w:hAnsi="宋体" w:cs="宋体"/>
                <w:color w:val="000000"/>
                <w:kern w:val="0"/>
                <w:szCs w:val="21"/>
              </w:rPr>
              <w:t>定期向甲方做相关新产品新功能介绍</w:t>
            </w:r>
            <w:r>
              <w:rPr>
                <w:rFonts w:hint="eastAsia" w:ascii="仿宋_GB2312" w:hAnsi="宋体" w:cs="宋体"/>
                <w:color w:val="000000"/>
                <w:kern w:val="0"/>
                <w:szCs w:val="21"/>
              </w:rPr>
              <w:t>，甲方可优先试用乙方新功能模块后再行购买且乙方将给予甲方特殊优惠价格。（视甲方软件运行情况而定）</w:t>
            </w:r>
          </w:p>
        </w:tc>
      </w:tr>
    </w:tbl>
    <w:p>
      <w:pPr>
        <w:pStyle w:val="55"/>
        <w:spacing w:after="190"/>
      </w:pPr>
      <w:bookmarkStart w:id="3" w:name="_Toc300069490"/>
      <w:bookmarkStart w:id="4" w:name="_Toc65848071"/>
      <w:bookmarkStart w:id="5" w:name="_Toc344668789"/>
      <w:r>
        <w:rPr>
          <w:rFonts w:hint="eastAsia"/>
        </w:rPr>
        <w:t>维护内容</w:t>
      </w:r>
      <w:bookmarkEnd w:id="3"/>
      <w:bookmarkEnd w:id="4"/>
      <w:bookmarkEnd w:id="5"/>
    </w:p>
    <w:p>
      <w:pPr>
        <w:tabs>
          <w:tab w:val="left" w:pos="709"/>
        </w:tabs>
        <w:rPr>
          <w:snapToGrid w:val="0"/>
          <w:kern w:val="0"/>
          <w:sz w:val="24"/>
        </w:rPr>
      </w:pPr>
      <w:r>
        <w:rPr>
          <w:snapToGrid w:val="0"/>
          <w:kern w:val="0"/>
          <w:sz w:val="24"/>
        </w:rPr>
        <w:t>2.1</w:t>
      </w:r>
      <w:r>
        <w:rPr>
          <w:rFonts w:hint="eastAsia"/>
          <w:snapToGrid w:val="0"/>
          <w:kern w:val="0"/>
          <w:sz w:val="24"/>
        </w:rPr>
        <w:tab/>
      </w:r>
      <w:r>
        <w:rPr>
          <w:rFonts w:hint="eastAsia"/>
          <w:snapToGrid w:val="0"/>
          <w:kern w:val="0"/>
          <w:sz w:val="24"/>
        </w:rPr>
        <w:t>故障级别定义</w:t>
      </w:r>
    </w:p>
    <w:p>
      <w:pPr>
        <w:adjustRightInd/>
        <w:snapToGrid/>
        <w:spacing w:line="500" w:lineRule="atLeast"/>
        <w:ind w:left="708" w:leftChars="337" w:firstLine="480" w:firstLineChars="200"/>
        <w:rPr>
          <w:rFonts w:ascii="仿宋_GB2312" w:hAnsi="宋体"/>
          <w:snapToGrid w:val="0"/>
          <w:kern w:val="0"/>
          <w:sz w:val="24"/>
        </w:rPr>
      </w:pPr>
      <w:r>
        <w:rPr>
          <w:rFonts w:hint="eastAsia" w:ascii="仿宋_GB2312" w:hAnsi="宋体"/>
          <w:snapToGrid w:val="0"/>
          <w:kern w:val="0"/>
          <w:sz w:val="24"/>
        </w:rPr>
        <w:t>首先确定优先等级的目的是跟踪设备故障对客户的影响。优先等级应由甲方和乙方共同确定。反应时间根据优先等级和对客户的影响决定。行动时间将在优先等级代码所规定的反应时间内，或在通报问题时双方共同决定。</w:t>
      </w:r>
    </w:p>
    <w:p>
      <w:pPr>
        <w:pStyle w:val="49"/>
        <w:numPr>
          <w:ilvl w:val="0"/>
          <w:numId w:val="4"/>
        </w:numPr>
        <w:adjustRightInd/>
        <w:snapToGrid/>
        <w:spacing w:line="500" w:lineRule="atLeast"/>
        <w:ind w:firstLineChars="0"/>
        <w:rPr>
          <w:rFonts w:ascii="仿宋_GB2312" w:hAnsi="宋体"/>
          <w:b/>
          <w:snapToGrid w:val="0"/>
          <w:kern w:val="0"/>
          <w:sz w:val="24"/>
        </w:rPr>
      </w:pPr>
      <w:r>
        <w:rPr>
          <w:rFonts w:hint="eastAsia" w:ascii="仿宋_GB2312" w:hAnsi="宋体"/>
          <w:b/>
          <w:snapToGrid w:val="0"/>
          <w:kern w:val="0"/>
          <w:sz w:val="24"/>
        </w:rPr>
        <w:t>优先等级1</w:t>
      </w:r>
    </w:p>
    <w:p>
      <w:pPr>
        <w:adjustRightInd/>
        <w:snapToGrid/>
        <w:spacing w:line="500" w:lineRule="atLeast"/>
        <w:ind w:left="1268" w:leftChars="604"/>
        <w:rPr>
          <w:snapToGrid w:val="0"/>
          <w:kern w:val="0"/>
          <w:sz w:val="24"/>
        </w:rPr>
      </w:pPr>
      <w:r>
        <w:rPr>
          <w:rFonts w:hint="eastAsia"/>
          <w:snapToGrid w:val="0"/>
          <w:kern w:val="0"/>
          <w:sz w:val="24"/>
        </w:rPr>
        <w:t>对甲方有重大影响，对产品的重要操作，功能或可靠性有重大影响的故障，如：</w:t>
      </w:r>
    </w:p>
    <w:p>
      <w:pPr>
        <w:pStyle w:val="49"/>
        <w:numPr>
          <w:ilvl w:val="0"/>
          <w:numId w:val="5"/>
        </w:numPr>
        <w:adjustRightInd/>
        <w:snapToGrid/>
        <w:spacing w:line="500" w:lineRule="atLeast"/>
        <w:ind w:firstLineChars="0"/>
        <w:rPr>
          <w:snapToGrid w:val="0"/>
          <w:kern w:val="0"/>
          <w:sz w:val="24"/>
        </w:rPr>
      </w:pPr>
      <w:r>
        <w:rPr>
          <w:rFonts w:hint="eastAsia"/>
          <w:snapToGrid w:val="0"/>
          <w:kern w:val="0"/>
          <w:sz w:val="24"/>
        </w:rPr>
        <w:t>系统崩溃；</w:t>
      </w:r>
    </w:p>
    <w:p>
      <w:pPr>
        <w:pStyle w:val="49"/>
        <w:numPr>
          <w:ilvl w:val="0"/>
          <w:numId w:val="5"/>
        </w:numPr>
        <w:adjustRightInd/>
        <w:snapToGrid/>
        <w:spacing w:line="500" w:lineRule="atLeast"/>
        <w:ind w:firstLineChars="0"/>
        <w:rPr>
          <w:rFonts w:ascii="仿宋_GB2312"/>
          <w:snapToGrid w:val="0"/>
          <w:kern w:val="0"/>
          <w:sz w:val="24"/>
        </w:rPr>
      </w:pPr>
      <w:r>
        <w:rPr>
          <w:rFonts w:hint="eastAsia"/>
          <w:snapToGrid w:val="0"/>
          <w:kern w:val="0"/>
          <w:sz w:val="24"/>
        </w:rPr>
        <w:t>软件宕机；</w:t>
      </w:r>
    </w:p>
    <w:p>
      <w:pPr>
        <w:pStyle w:val="49"/>
        <w:numPr>
          <w:ilvl w:val="0"/>
          <w:numId w:val="5"/>
        </w:numPr>
        <w:adjustRightInd/>
        <w:snapToGrid/>
        <w:spacing w:line="500" w:lineRule="atLeast"/>
        <w:ind w:firstLineChars="0"/>
        <w:rPr>
          <w:rFonts w:ascii="仿宋_GB2312"/>
          <w:snapToGrid w:val="0"/>
          <w:kern w:val="0"/>
          <w:sz w:val="24"/>
        </w:rPr>
      </w:pPr>
      <w:r>
        <w:rPr>
          <w:rFonts w:hint="eastAsia" w:ascii="仿宋_GB2312"/>
          <w:snapToGrid w:val="0"/>
          <w:kern w:val="0"/>
          <w:sz w:val="24"/>
        </w:rPr>
        <w:t>功能与合同规格不符；</w:t>
      </w:r>
    </w:p>
    <w:p>
      <w:pPr>
        <w:pStyle w:val="49"/>
        <w:numPr>
          <w:ilvl w:val="0"/>
          <w:numId w:val="5"/>
        </w:numPr>
        <w:adjustRightInd/>
        <w:snapToGrid/>
        <w:spacing w:line="500" w:lineRule="atLeast"/>
        <w:ind w:firstLineChars="0"/>
        <w:rPr>
          <w:rFonts w:ascii="仿宋_GB2312"/>
          <w:snapToGrid w:val="0"/>
          <w:kern w:val="0"/>
          <w:sz w:val="24"/>
        </w:rPr>
      </w:pPr>
      <w:r>
        <w:rPr>
          <w:rFonts w:hint="eastAsia" w:ascii="仿宋_GB2312"/>
          <w:snapToGrid w:val="0"/>
          <w:kern w:val="0"/>
          <w:sz w:val="24"/>
        </w:rPr>
        <w:t>关键功能无法正常使用，对甲方的业务运营有重大影响。</w:t>
      </w:r>
    </w:p>
    <w:p>
      <w:pPr>
        <w:pStyle w:val="49"/>
        <w:numPr>
          <w:ilvl w:val="0"/>
          <w:numId w:val="4"/>
        </w:numPr>
        <w:adjustRightInd/>
        <w:snapToGrid/>
        <w:spacing w:line="500" w:lineRule="atLeast"/>
        <w:ind w:firstLineChars="0"/>
        <w:rPr>
          <w:rFonts w:ascii="仿宋_GB2312" w:hAnsi="宋体"/>
          <w:b/>
          <w:snapToGrid w:val="0"/>
          <w:kern w:val="0"/>
          <w:sz w:val="24"/>
        </w:rPr>
      </w:pPr>
      <w:r>
        <w:rPr>
          <w:rFonts w:hint="eastAsia" w:ascii="仿宋_GB2312" w:hAnsi="宋体"/>
          <w:b/>
          <w:snapToGrid w:val="0"/>
          <w:kern w:val="0"/>
          <w:sz w:val="24"/>
        </w:rPr>
        <w:t>优先等级2</w:t>
      </w:r>
    </w:p>
    <w:p>
      <w:pPr>
        <w:pStyle w:val="49"/>
        <w:adjustRightInd/>
        <w:snapToGrid/>
        <w:spacing w:line="500" w:lineRule="atLeast"/>
        <w:ind w:left="1268" w:firstLine="0" w:firstLineChars="0"/>
        <w:rPr>
          <w:rFonts w:ascii="仿宋_GB2312"/>
          <w:snapToGrid w:val="0"/>
          <w:kern w:val="0"/>
          <w:sz w:val="24"/>
        </w:rPr>
      </w:pPr>
      <w:r>
        <w:rPr>
          <w:rFonts w:hint="eastAsia" w:ascii="仿宋_GB2312"/>
          <w:snapToGrid w:val="0"/>
          <w:kern w:val="0"/>
          <w:sz w:val="24"/>
        </w:rPr>
        <w:t>对甲方影响较小，影响产品功能的问题，如：</w:t>
      </w:r>
    </w:p>
    <w:p>
      <w:pPr>
        <w:pStyle w:val="49"/>
        <w:adjustRightInd/>
        <w:snapToGrid/>
        <w:spacing w:line="500" w:lineRule="atLeast"/>
        <w:ind w:left="1268" w:firstLine="7" w:firstLineChars="3"/>
        <w:rPr>
          <w:rFonts w:ascii="仿宋_GB2312"/>
          <w:snapToGrid w:val="0"/>
          <w:kern w:val="0"/>
          <w:sz w:val="24"/>
        </w:rPr>
      </w:pPr>
      <w:r>
        <w:rPr>
          <w:rFonts w:hint="eastAsia"/>
          <w:snapToGrid w:val="0"/>
          <w:kern w:val="0"/>
          <w:sz w:val="24"/>
        </w:rPr>
        <w:t>(</w:t>
      </w:r>
      <w:r>
        <w:rPr>
          <w:snapToGrid w:val="0"/>
          <w:kern w:val="0"/>
          <w:sz w:val="24"/>
        </w:rPr>
        <w:t>A</w:t>
      </w:r>
      <w:r>
        <w:rPr>
          <w:rFonts w:hint="eastAsia"/>
          <w:snapToGrid w:val="0"/>
          <w:kern w:val="0"/>
          <w:sz w:val="24"/>
        </w:rPr>
        <w:t>)</w:t>
      </w:r>
      <w:r>
        <w:rPr>
          <w:rFonts w:hint="eastAsia" w:ascii="仿宋_GB2312"/>
          <w:snapToGrid w:val="0"/>
          <w:kern w:val="0"/>
          <w:sz w:val="24"/>
        </w:rPr>
        <w:t>对常规功能有影响的故障/干扰；</w:t>
      </w:r>
    </w:p>
    <w:p>
      <w:pPr>
        <w:pStyle w:val="49"/>
        <w:adjustRightInd/>
        <w:snapToGrid/>
        <w:spacing w:line="500" w:lineRule="atLeast"/>
        <w:ind w:left="1268" w:firstLine="0" w:firstLineChars="0"/>
        <w:rPr>
          <w:snapToGrid w:val="0"/>
          <w:kern w:val="0"/>
          <w:sz w:val="24"/>
        </w:rPr>
      </w:pPr>
      <w:r>
        <w:rPr>
          <w:snapToGrid w:val="0"/>
          <w:kern w:val="0"/>
          <w:sz w:val="24"/>
        </w:rPr>
        <w:t>(B)</w:t>
      </w:r>
      <w:r>
        <w:rPr>
          <w:rFonts w:hint="eastAsia"/>
          <w:snapToGrid w:val="0"/>
          <w:kern w:val="0"/>
          <w:sz w:val="24"/>
        </w:rPr>
        <w:t>合同中所规定的功能出现干扰、性能问题。</w:t>
      </w:r>
    </w:p>
    <w:p>
      <w:pPr>
        <w:pStyle w:val="49"/>
        <w:adjustRightInd/>
        <w:snapToGrid/>
        <w:spacing w:line="500" w:lineRule="atLeast"/>
        <w:ind w:firstLine="0" w:firstLineChars="0"/>
        <w:rPr>
          <w:snapToGrid w:val="0"/>
          <w:kern w:val="0"/>
          <w:sz w:val="24"/>
        </w:rPr>
      </w:pPr>
      <w:r>
        <w:rPr>
          <w:rFonts w:hint="eastAsia"/>
          <w:snapToGrid w:val="0"/>
          <w:kern w:val="0"/>
          <w:sz w:val="24"/>
        </w:rPr>
        <w:t>2.2</w:t>
      </w:r>
      <w:r>
        <w:rPr>
          <w:rFonts w:hint="eastAsia"/>
          <w:snapToGrid w:val="0"/>
          <w:kern w:val="0"/>
          <w:sz w:val="24"/>
        </w:rPr>
        <w:tab/>
      </w:r>
      <w:r>
        <w:rPr>
          <w:rFonts w:hint="eastAsia"/>
          <w:snapToGrid w:val="0"/>
          <w:kern w:val="0"/>
          <w:sz w:val="24"/>
        </w:rPr>
        <w:tab/>
      </w:r>
      <w:r>
        <w:rPr>
          <w:rFonts w:hint="eastAsia"/>
          <w:snapToGrid w:val="0"/>
          <w:kern w:val="0"/>
          <w:sz w:val="24"/>
        </w:rPr>
        <w:t>远程服务</w:t>
      </w:r>
    </w:p>
    <w:p>
      <w:pPr>
        <w:pStyle w:val="49"/>
        <w:tabs>
          <w:tab w:val="left" w:pos="567"/>
        </w:tabs>
        <w:adjustRightInd/>
        <w:snapToGrid/>
        <w:spacing w:line="500" w:lineRule="atLeast"/>
        <w:ind w:left="848" w:hanging="566" w:firstLineChars="0"/>
        <w:rPr>
          <w:snapToGrid w:val="0"/>
          <w:kern w:val="0"/>
          <w:sz w:val="24"/>
        </w:rPr>
      </w:pPr>
      <w:r>
        <w:rPr>
          <w:snapToGrid w:val="0"/>
          <w:kern w:val="0"/>
          <w:sz w:val="24"/>
        </w:rPr>
        <w:tab/>
      </w:r>
      <w:r>
        <w:rPr>
          <w:snapToGrid w:val="0"/>
          <w:kern w:val="0"/>
          <w:sz w:val="24"/>
        </w:rPr>
        <w:t xml:space="preserve">       </w:t>
      </w:r>
      <w:r>
        <w:rPr>
          <w:rFonts w:hint="eastAsia"/>
          <w:snapToGrid w:val="0"/>
          <w:kern w:val="0"/>
          <w:sz w:val="24"/>
        </w:rPr>
        <w:t>乙方通过远程询问为甲方提供技术支持，以便排除故障或执行隔离避免程序。为实现此目的，乙方可以不受限制地优先进入远程诊断窗口。如果软件出现故障，乙方提供软件包或升级的旁路办法。</w:t>
      </w:r>
    </w:p>
    <w:p>
      <w:pPr>
        <w:pStyle w:val="49"/>
        <w:adjustRightInd/>
        <w:snapToGrid/>
        <w:spacing w:line="500" w:lineRule="atLeast"/>
        <w:ind w:firstLine="0" w:firstLineChars="0"/>
        <w:rPr>
          <w:snapToGrid w:val="0"/>
          <w:kern w:val="0"/>
          <w:sz w:val="24"/>
        </w:rPr>
      </w:pPr>
      <w:r>
        <w:rPr>
          <w:rFonts w:hint="eastAsia"/>
          <w:snapToGrid w:val="0"/>
          <w:kern w:val="0"/>
          <w:sz w:val="24"/>
        </w:rPr>
        <w:tab/>
      </w:r>
      <w:r>
        <w:rPr>
          <w:rFonts w:hint="eastAsia"/>
          <w:snapToGrid w:val="0"/>
          <w:kern w:val="0"/>
          <w:sz w:val="24"/>
        </w:rPr>
        <w:tab/>
      </w:r>
    </w:p>
    <w:p>
      <w:pPr>
        <w:pStyle w:val="49"/>
        <w:tabs>
          <w:tab w:val="left" w:pos="284"/>
          <w:tab w:val="left" w:pos="567"/>
        </w:tabs>
        <w:adjustRightInd/>
        <w:snapToGrid/>
        <w:spacing w:line="500" w:lineRule="atLeast"/>
        <w:ind w:left="566" w:hanging="566" w:firstLineChars="0"/>
        <w:rPr>
          <w:snapToGrid w:val="0"/>
          <w:kern w:val="0"/>
          <w:sz w:val="24"/>
        </w:rPr>
      </w:pPr>
      <w:r>
        <w:rPr>
          <w:rFonts w:hint="eastAsia"/>
          <w:snapToGrid w:val="0"/>
          <w:kern w:val="0"/>
          <w:sz w:val="24"/>
        </w:rPr>
        <w:t>2</w:t>
      </w:r>
      <w:r>
        <w:rPr>
          <w:snapToGrid w:val="0"/>
          <w:kern w:val="0"/>
          <w:sz w:val="24"/>
        </w:rPr>
        <w:t>.</w:t>
      </w:r>
      <w:r>
        <w:rPr>
          <w:rFonts w:hint="eastAsia"/>
          <w:snapToGrid w:val="0"/>
          <w:kern w:val="0"/>
          <w:sz w:val="24"/>
        </w:rPr>
        <w:t>4</w:t>
      </w:r>
      <w:r>
        <w:rPr>
          <w:snapToGrid w:val="0"/>
          <w:kern w:val="0"/>
          <w:sz w:val="24"/>
        </w:rPr>
        <w:tab/>
      </w:r>
      <w:r>
        <w:rPr>
          <w:rFonts w:hint="eastAsia"/>
          <w:snapToGrid w:val="0"/>
          <w:kern w:val="0"/>
          <w:sz w:val="24"/>
        </w:rPr>
        <w:tab/>
      </w:r>
      <w:r>
        <w:rPr>
          <w:rFonts w:hint="eastAsia"/>
          <w:snapToGrid w:val="0"/>
          <w:kern w:val="0"/>
          <w:sz w:val="24"/>
        </w:rPr>
        <w:tab/>
      </w:r>
      <w:r>
        <w:rPr>
          <w:rFonts w:hint="eastAsia"/>
          <w:snapToGrid w:val="0"/>
          <w:kern w:val="0"/>
          <w:sz w:val="24"/>
        </w:rPr>
        <w:t>远程巡检</w:t>
      </w:r>
    </w:p>
    <w:p>
      <w:pPr>
        <w:pStyle w:val="49"/>
        <w:tabs>
          <w:tab w:val="left" w:pos="284"/>
          <w:tab w:val="left" w:pos="567"/>
        </w:tabs>
        <w:adjustRightInd/>
        <w:snapToGrid/>
        <w:spacing w:line="500" w:lineRule="atLeast"/>
        <w:ind w:left="848" w:hanging="566" w:firstLineChars="0"/>
        <w:rPr>
          <w:snapToGrid w:val="0"/>
          <w:kern w:val="0"/>
          <w:sz w:val="24"/>
        </w:rPr>
      </w:pPr>
      <w:r>
        <w:rPr>
          <w:rFonts w:hint="eastAsia"/>
          <w:snapToGrid w:val="0"/>
          <w:kern w:val="0"/>
          <w:sz w:val="24"/>
        </w:rPr>
        <w:tab/>
      </w:r>
      <w:r>
        <w:rPr>
          <w:rFonts w:hint="eastAsia"/>
          <w:snapToGrid w:val="0"/>
          <w:kern w:val="0"/>
          <w:sz w:val="24"/>
        </w:rPr>
        <w:tab/>
      </w:r>
      <w:r>
        <w:rPr>
          <w:rFonts w:hint="eastAsia"/>
          <w:snapToGrid w:val="0"/>
          <w:kern w:val="0"/>
          <w:sz w:val="24"/>
        </w:rPr>
        <w:tab/>
      </w:r>
      <w:r>
        <w:rPr>
          <w:rFonts w:hint="eastAsia"/>
          <w:snapToGrid w:val="0"/>
          <w:kern w:val="0"/>
          <w:sz w:val="24"/>
        </w:rPr>
        <w:tab/>
      </w:r>
      <w:r>
        <w:rPr>
          <w:rFonts w:hint="eastAsia"/>
          <w:snapToGrid w:val="0"/>
          <w:kern w:val="0"/>
          <w:sz w:val="24"/>
        </w:rPr>
        <w:t>乙方安排工程师通过远程进入系统，对报警、错误进行检测和检查，以确保系统的正常运行，具体诊断内容如下：</w:t>
      </w:r>
    </w:p>
    <w:p>
      <w:pPr>
        <w:pStyle w:val="49"/>
        <w:numPr>
          <w:ilvl w:val="0"/>
          <w:numId w:val="4"/>
        </w:numPr>
        <w:tabs>
          <w:tab w:val="left" w:pos="284"/>
          <w:tab w:val="left" w:pos="567"/>
        </w:tabs>
        <w:adjustRightInd/>
        <w:snapToGrid/>
        <w:spacing w:line="500" w:lineRule="atLeast"/>
        <w:ind w:firstLineChars="0"/>
        <w:rPr>
          <w:snapToGrid w:val="0"/>
          <w:kern w:val="0"/>
          <w:sz w:val="24"/>
        </w:rPr>
      </w:pPr>
      <w:r>
        <w:rPr>
          <w:rFonts w:hint="eastAsia"/>
          <w:snapToGrid w:val="0"/>
          <w:kern w:val="0"/>
          <w:sz w:val="24"/>
        </w:rPr>
        <w:t>查看系统报警日志</w:t>
      </w:r>
    </w:p>
    <w:p>
      <w:pPr>
        <w:pStyle w:val="49"/>
        <w:numPr>
          <w:ilvl w:val="0"/>
          <w:numId w:val="4"/>
        </w:numPr>
        <w:tabs>
          <w:tab w:val="left" w:pos="284"/>
          <w:tab w:val="left" w:pos="567"/>
        </w:tabs>
        <w:adjustRightInd/>
        <w:snapToGrid/>
        <w:spacing w:line="500" w:lineRule="atLeast"/>
        <w:ind w:firstLineChars="0"/>
        <w:rPr>
          <w:snapToGrid w:val="0"/>
          <w:kern w:val="0"/>
          <w:sz w:val="24"/>
        </w:rPr>
      </w:pPr>
      <w:r>
        <w:rPr>
          <w:rFonts w:hint="eastAsia"/>
          <w:snapToGrid w:val="0"/>
          <w:kern w:val="0"/>
          <w:sz w:val="24"/>
        </w:rPr>
        <w:t>查看故障错误信息</w:t>
      </w:r>
    </w:p>
    <w:p>
      <w:pPr>
        <w:pStyle w:val="49"/>
        <w:numPr>
          <w:ilvl w:val="0"/>
          <w:numId w:val="4"/>
        </w:numPr>
        <w:tabs>
          <w:tab w:val="left" w:pos="284"/>
          <w:tab w:val="left" w:pos="567"/>
        </w:tabs>
        <w:adjustRightInd/>
        <w:snapToGrid/>
        <w:spacing w:line="500" w:lineRule="atLeast"/>
        <w:ind w:firstLineChars="0"/>
        <w:rPr>
          <w:snapToGrid w:val="0"/>
          <w:kern w:val="0"/>
          <w:sz w:val="24"/>
        </w:rPr>
      </w:pPr>
      <w:r>
        <w:rPr>
          <w:rFonts w:hint="eastAsia"/>
          <w:snapToGrid w:val="0"/>
          <w:kern w:val="0"/>
          <w:sz w:val="24"/>
        </w:rPr>
        <w:t>查看系统历史记录</w:t>
      </w:r>
    </w:p>
    <w:p>
      <w:pPr>
        <w:pStyle w:val="49"/>
        <w:numPr>
          <w:ilvl w:val="0"/>
          <w:numId w:val="4"/>
        </w:numPr>
        <w:tabs>
          <w:tab w:val="left" w:pos="284"/>
          <w:tab w:val="left" w:pos="567"/>
        </w:tabs>
        <w:adjustRightInd/>
        <w:snapToGrid/>
        <w:spacing w:line="500" w:lineRule="atLeast"/>
        <w:ind w:firstLineChars="0"/>
        <w:rPr>
          <w:snapToGrid w:val="0"/>
          <w:kern w:val="0"/>
          <w:sz w:val="24"/>
        </w:rPr>
      </w:pPr>
      <w:r>
        <w:rPr>
          <w:rFonts w:hint="eastAsia"/>
          <w:snapToGrid w:val="0"/>
          <w:kern w:val="0"/>
          <w:sz w:val="24"/>
        </w:rPr>
        <w:t>查看系统状态</w:t>
      </w:r>
    </w:p>
    <w:p>
      <w:pPr>
        <w:pStyle w:val="49"/>
        <w:numPr>
          <w:ilvl w:val="0"/>
          <w:numId w:val="4"/>
        </w:numPr>
        <w:tabs>
          <w:tab w:val="left" w:pos="284"/>
          <w:tab w:val="left" w:pos="567"/>
        </w:tabs>
        <w:adjustRightInd/>
        <w:snapToGrid/>
        <w:ind w:firstLineChars="0"/>
        <w:rPr>
          <w:snapToGrid w:val="0"/>
          <w:kern w:val="0"/>
          <w:sz w:val="24"/>
        </w:rPr>
      </w:pPr>
      <w:r>
        <w:rPr>
          <w:rFonts w:hint="eastAsia"/>
          <w:snapToGrid w:val="0"/>
          <w:kern w:val="0"/>
          <w:sz w:val="24"/>
        </w:rPr>
        <w:t>查看历史记录（24小时内）</w:t>
      </w:r>
    </w:p>
    <w:p>
      <w:pPr>
        <w:tabs>
          <w:tab w:val="left" w:pos="567"/>
        </w:tabs>
        <w:rPr>
          <w:snapToGrid w:val="0"/>
          <w:kern w:val="0"/>
          <w:sz w:val="24"/>
        </w:rPr>
      </w:pPr>
      <w:r>
        <w:rPr>
          <w:snapToGrid w:val="0"/>
          <w:kern w:val="0"/>
          <w:sz w:val="24"/>
        </w:rPr>
        <w:t xml:space="preserve"> </w:t>
      </w:r>
    </w:p>
    <w:p>
      <w:pPr>
        <w:tabs>
          <w:tab w:val="left" w:pos="567"/>
        </w:tabs>
        <w:rPr>
          <w:snapToGrid w:val="0"/>
          <w:kern w:val="0"/>
          <w:sz w:val="24"/>
        </w:rPr>
      </w:pPr>
      <w:r>
        <w:rPr>
          <w:snapToGrid w:val="0"/>
          <w:kern w:val="0"/>
          <w:sz w:val="24"/>
        </w:rPr>
        <w:t>2.6</w:t>
      </w:r>
      <w:r>
        <w:rPr>
          <w:snapToGrid w:val="0"/>
          <w:kern w:val="0"/>
          <w:sz w:val="24"/>
        </w:rPr>
        <w:tab/>
      </w:r>
      <w:r>
        <w:rPr>
          <w:snapToGrid w:val="0"/>
          <w:kern w:val="0"/>
          <w:sz w:val="24"/>
        </w:rPr>
        <w:t>系统</w:t>
      </w:r>
      <w:r>
        <w:rPr>
          <w:rFonts w:hint="eastAsia"/>
          <w:snapToGrid w:val="0"/>
          <w:kern w:val="0"/>
          <w:sz w:val="24"/>
        </w:rPr>
        <w:t>软件</w:t>
      </w:r>
      <w:r>
        <w:rPr>
          <w:snapToGrid w:val="0"/>
          <w:kern w:val="0"/>
          <w:sz w:val="24"/>
        </w:rPr>
        <w:t>升级</w:t>
      </w:r>
    </w:p>
    <w:p>
      <w:pPr>
        <w:tabs>
          <w:tab w:val="left" w:pos="1050"/>
        </w:tabs>
        <w:ind w:left="567"/>
        <w:rPr>
          <w:snapToGrid w:val="0"/>
          <w:kern w:val="0"/>
          <w:sz w:val="24"/>
        </w:rPr>
      </w:pPr>
      <w:r>
        <w:rPr>
          <w:snapToGrid w:val="0"/>
          <w:kern w:val="0"/>
          <w:sz w:val="24"/>
        </w:rPr>
        <w:tab/>
      </w:r>
      <w:r>
        <w:rPr>
          <w:snapToGrid w:val="0"/>
          <w:kern w:val="0"/>
          <w:sz w:val="24"/>
        </w:rPr>
        <w:t>针对不定期发布的免费软件更新、升级</w:t>
      </w:r>
      <w:r>
        <w:rPr>
          <w:rFonts w:hint="eastAsia"/>
          <w:snapToGrid w:val="0"/>
          <w:kern w:val="0"/>
          <w:sz w:val="24"/>
        </w:rPr>
        <w:t>，乙方会</w:t>
      </w:r>
      <w:r>
        <w:rPr>
          <w:snapToGrid w:val="0"/>
          <w:kern w:val="0"/>
          <w:sz w:val="24"/>
        </w:rPr>
        <w:t>在争得甲方的许可的前提下更新、升级。</w:t>
      </w:r>
    </w:p>
    <w:p>
      <w:pPr>
        <w:pStyle w:val="55"/>
        <w:spacing w:after="190"/>
      </w:pPr>
      <w:bookmarkStart w:id="6" w:name="_Toc300069491"/>
      <w:bookmarkStart w:id="7" w:name="_Toc344668790"/>
      <w:bookmarkStart w:id="8" w:name="_Toc65848072"/>
      <w:r>
        <w:rPr>
          <w:rFonts w:hint="eastAsia"/>
        </w:rPr>
        <w:t>收费标准</w:t>
      </w:r>
      <w:bookmarkEnd w:id="6"/>
      <w:bookmarkEnd w:id="7"/>
      <w:bookmarkEnd w:id="8"/>
    </w:p>
    <w:p>
      <w:pPr>
        <w:tabs>
          <w:tab w:val="left" w:pos="567"/>
        </w:tabs>
        <w:rPr>
          <w:snapToGrid w:val="0"/>
          <w:kern w:val="0"/>
          <w:sz w:val="24"/>
        </w:rPr>
      </w:pPr>
      <w:r>
        <w:rPr>
          <w:rFonts w:hint="eastAsia"/>
          <w:snapToGrid w:val="0"/>
          <w:kern w:val="0"/>
          <w:sz w:val="24"/>
        </w:rPr>
        <w:t>3.1</w:t>
      </w:r>
      <w:r>
        <w:rPr>
          <w:rFonts w:hint="eastAsia"/>
          <w:snapToGrid w:val="0"/>
          <w:kern w:val="0"/>
          <w:sz w:val="24"/>
        </w:rPr>
        <w:tab/>
      </w:r>
      <w:r>
        <w:rPr>
          <w:rFonts w:hint="eastAsia"/>
          <w:snapToGrid w:val="0"/>
          <w:kern w:val="0"/>
          <w:sz w:val="24"/>
        </w:rPr>
        <w:t>客户服务协议方式</w:t>
      </w:r>
    </w:p>
    <w:p>
      <w:pPr>
        <w:tabs>
          <w:tab w:val="left" w:pos="567"/>
        </w:tabs>
        <w:rPr>
          <w:snapToGrid w:val="0"/>
          <w:kern w:val="0"/>
          <w:sz w:val="24"/>
        </w:rPr>
      </w:pPr>
      <w:r>
        <w:rPr>
          <w:rFonts w:hint="eastAsia"/>
          <w:snapToGrid w:val="0"/>
          <w:kern w:val="0"/>
          <w:sz w:val="24"/>
        </w:rPr>
        <w:tab/>
      </w:r>
      <w:r>
        <w:rPr>
          <w:rFonts w:hint="eastAsia"/>
          <w:snapToGrid w:val="0"/>
          <w:kern w:val="0"/>
          <w:sz w:val="24"/>
        </w:rPr>
        <w:t xml:space="preserve">北京创联致信科技有限公司的服务方式为 </w:t>
      </w:r>
      <w:r>
        <w:rPr>
          <w:rFonts w:hint="eastAsia"/>
          <w:snapToGrid w:val="0"/>
          <w:kern w:val="0"/>
          <w:sz w:val="24"/>
          <w:u w:val="single"/>
        </w:rPr>
        <w:t xml:space="preserve">按年 </w:t>
      </w:r>
      <w:r>
        <w:rPr>
          <w:rFonts w:hint="eastAsia"/>
          <w:snapToGrid w:val="0"/>
          <w:kern w:val="0"/>
          <w:sz w:val="24"/>
        </w:rPr>
        <w:t>签订服务协议方式。</w:t>
      </w:r>
    </w:p>
    <w:p>
      <w:pPr>
        <w:tabs>
          <w:tab w:val="left" w:pos="567"/>
        </w:tabs>
        <w:rPr>
          <w:snapToGrid w:val="0"/>
          <w:kern w:val="0"/>
          <w:sz w:val="24"/>
        </w:rPr>
      </w:pPr>
      <w:r>
        <w:rPr>
          <w:rFonts w:hint="eastAsia"/>
          <w:snapToGrid w:val="0"/>
          <w:kern w:val="0"/>
          <w:sz w:val="24"/>
        </w:rPr>
        <w:t>3.2</w:t>
      </w:r>
      <w:r>
        <w:rPr>
          <w:rFonts w:hint="eastAsia"/>
          <w:snapToGrid w:val="0"/>
          <w:kern w:val="0"/>
          <w:sz w:val="24"/>
        </w:rPr>
        <w:tab/>
      </w:r>
      <w:r>
        <w:rPr>
          <w:rFonts w:hint="eastAsia"/>
          <w:snapToGrid w:val="0"/>
          <w:kern w:val="0"/>
          <w:sz w:val="24"/>
        </w:rPr>
        <w:t>收费标准</w:t>
      </w:r>
    </w:p>
    <w:p>
      <w:pPr>
        <w:tabs>
          <w:tab w:val="left" w:pos="567"/>
        </w:tabs>
        <w:ind w:left="567"/>
        <w:rPr>
          <w:snapToGrid w:val="0"/>
          <w:kern w:val="0"/>
          <w:sz w:val="24"/>
        </w:rPr>
      </w:pPr>
      <w:r>
        <w:rPr>
          <w:rFonts w:hint="eastAsia"/>
          <w:snapToGrid w:val="0"/>
          <w:kern w:val="0"/>
          <w:sz w:val="24"/>
        </w:rPr>
        <w:tab/>
      </w:r>
      <w:r>
        <w:rPr>
          <w:rFonts w:hint="eastAsia"/>
          <w:snapToGrid w:val="0"/>
          <w:kern w:val="0"/>
          <w:sz w:val="24"/>
        </w:rPr>
        <w:t>甲方需在协议签订后5个工作日内向乙方付清相应款项，乙方收到全额款项后开具相应的等额</w:t>
      </w:r>
      <w:r>
        <w:rPr>
          <w:rFonts w:hint="eastAsia"/>
          <w:snapToGrid w:val="0"/>
          <w:kern w:val="0"/>
          <w:sz w:val="24"/>
          <w:u w:val="single"/>
        </w:rPr>
        <w:t>（增值税专用发票）</w:t>
      </w:r>
      <w:r>
        <w:rPr>
          <w:rFonts w:hint="eastAsia"/>
          <w:snapToGrid w:val="0"/>
          <w:kern w:val="0"/>
          <w:sz w:val="24"/>
        </w:rPr>
        <w:t>且启动维护服务，开票信息见《第七章签字页》中甲方提供的信息</w:t>
      </w:r>
      <w:r>
        <w:rPr>
          <w:snapToGrid w:val="0"/>
          <w:kern w:val="0"/>
          <w:sz w:val="24"/>
        </w:rPr>
        <w:t>。</w:t>
      </w:r>
    </w:p>
    <w:p>
      <w:pPr>
        <w:tabs>
          <w:tab w:val="left" w:pos="567"/>
        </w:tabs>
        <w:ind w:firstLine="840" w:firstLineChars="350"/>
        <w:rPr>
          <w:snapToGrid w:val="0"/>
          <w:kern w:val="0"/>
          <w:sz w:val="24"/>
        </w:rPr>
      </w:pPr>
      <w:r>
        <w:rPr>
          <w:rFonts w:hint="eastAsia"/>
          <w:snapToGrid w:val="0"/>
          <w:kern w:val="0"/>
          <w:sz w:val="24"/>
        </w:rPr>
        <w:t>持续购买维保服务续保</w:t>
      </w:r>
      <w:r>
        <w:rPr>
          <w:snapToGrid w:val="0"/>
          <w:kern w:val="0"/>
          <w:sz w:val="24"/>
        </w:rPr>
        <w:t>收费标准如下：</w:t>
      </w:r>
    </w:p>
    <w:tbl>
      <w:tblPr>
        <w:tblStyle w:val="36"/>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43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1" w:type="dxa"/>
            <w:tcBorders>
              <w:tl2br w:val="single" w:color="auto" w:sz="4" w:space="0"/>
            </w:tcBorders>
            <w:shd w:val="clear" w:color="auto" w:fill="95B3D7" w:themeFill="accent1" w:themeFillTint="99"/>
            <w:vAlign w:val="center"/>
          </w:tcPr>
          <w:p>
            <w:pPr>
              <w:widowControl/>
              <w:jc w:val="center"/>
              <w:rPr>
                <w:rFonts w:ascii="仿宋_GB2312" w:hAnsi="宋体" w:cs="宋体"/>
                <w:b/>
                <w:bCs/>
                <w:color w:val="000000"/>
                <w:kern w:val="0"/>
                <w:szCs w:val="21"/>
              </w:rPr>
            </w:pPr>
          </w:p>
        </w:tc>
        <w:tc>
          <w:tcPr>
            <w:tcW w:w="7688" w:type="dxa"/>
            <w:gridSpan w:val="2"/>
            <w:shd w:val="clear" w:color="auto" w:fill="95B3D7" w:themeFill="accent1" w:themeFillTint="99"/>
            <w:vAlign w:val="center"/>
          </w:tcPr>
          <w:p>
            <w:pPr>
              <w:widowControl/>
              <w:jc w:val="center"/>
              <w:rPr>
                <w:rFonts w:ascii="仿宋_GB2312" w:hAnsi="宋体" w:cs="宋体"/>
                <w:b/>
                <w:bCs/>
                <w:color w:val="000000"/>
                <w:kern w:val="0"/>
                <w:szCs w:val="21"/>
              </w:rPr>
            </w:pPr>
            <w:r>
              <w:rPr>
                <w:rFonts w:hint="eastAsia"/>
                <w:b/>
                <w:bCs/>
                <w:snapToGrid w:val="0"/>
                <w:kern w:val="0"/>
                <w:sz w:val="24"/>
              </w:rPr>
              <w:t>持续购买维保服务</w:t>
            </w:r>
            <w:r>
              <w:rPr>
                <w:rFonts w:hint="eastAsia"/>
                <w:b/>
                <w:bCs/>
                <w:snapToGrid w:val="0"/>
                <w:kern w:val="0"/>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1" w:type="dxa"/>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维护级别</w:t>
            </w:r>
          </w:p>
        </w:tc>
        <w:tc>
          <w:tcPr>
            <w:tcW w:w="3435" w:type="dxa"/>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本地</w:t>
            </w:r>
          </w:p>
        </w:tc>
        <w:tc>
          <w:tcPr>
            <w:tcW w:w="4253" w:type="dxa"/>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1" w:type="dxa"/>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基础级</w:t>
            </w:r>
          </w:p>
        </w:tc>
        <w:tc>
          <w:tcPr>
            <w:tcW w:w="3435"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每年按合同成交价的</w:t>
            </w:r>
            <w:r>
              <w:rPr>
                <w:color w:val="000000"/>
                <w:kern w:val="0"/>
                <w:szCs w:val="21"/>
              </w:rPr>
              <w:t>1</w:t>
            </w:r>
            <w:r>
              <w:rPr>
                <w:rFonts w:hint="eastAsia"/>
                <w:color w:val="000000"/>
                <w:kern w:val="0"/>
                <w:szCs w:val="21"/>
              </w:rPr>
              <w:t>0</w:t>
            </w:r>
            <w:r>
              <w:rPr>
                <w:color w:val="000000"/>
                <w:kern w:val="0"/>
                <w:szCs w:val="21"/>
              </w:rPr>
              <w:t>％</w:t>
            </w:r>
            <w:r>
              <w:rPr>
                <w:rFonts w:hint="eastAsia" w:ascii="仿宋_GB2312" w:hAnsi="宋体" w:cs="宋体"/>
                <w:color w:val="000000"/>
                <w:kern w:val="0"/>
                <w:szCs w:val="21"/>
              </w:rPr>
              <w:t>收取（注：不足</w:t>
            </w:r>
            <w:r>
              <w:rPr>
                <w:rFonts w:hint="eastAsia"/>
                <w:color w:val="000000"/>
                <w:kern w:val="0"/>
                <w:szCs w:val="21"/>
              </w:rPr>
              <w:t>12000</w:t>
            </w:r>
            <w:r>
              <w:rPr>
                <w:rFonts w:hint="eastAsia" w:ascii="仿宋_GB2312" w:hAnsi="宋体" w:cs="宋体"/>
                <w:color w:val="000000"/>
                <w:kern w:val="0"/>
                <w:szCs w:val="21"/>
              </w:rPr>
              <w:t>元的按最低</w:t>
            </w:r>
            <w:r>
              <w:rPr>
                <w:rFonts w:hint="eastAsia"/>
                <w:color w:val="000000"/>
                <w:kern w:val="0"/>
                <w:szCs w:val="21"/>
              </w:rPr>
              <w:t>12000</w:t>
            </w:r>
            <w:r>
              <w:rPr>
                <w:rFonts w:hint="eastAsia" w:ascii="仿宋_GB2312" w:hAnsi="宋体" w:cs="宋体"/>
                <w:color w:val="000000"/>
                <w:kern w:val="0"/>
                <w:szCs w:val="21"/>
              </w:rPr>
              <w:t>元收取）</w:t>
            </w:r>
          </w:p>
        </w:tc>
        <w:tc>
          <w:tcPr>
            <w:tcW w:w="4253"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每年按合同成交价的</w:t>
            </w:r>
            <w:r>
              <w:rPr>
                <w:rFonts w:hint="eastAsia"/>
                <w:color w:val="000000"/>
                <w:kern w:val="0"/>
                <w:szCs w:val="21"/>
              </w:rPr>
              <w:t>15％</w:t>
            </w:r>
            <w:r>
              <w:rPr>
                <w:rFonts w:hint="eastAsia" w:ascii="仿宋_GB2312" w:hAnsi="宋体" w:cs="宋体"/>
                <w:color w:val="000000"/>
                <w:kern w:val="0"/>
                <w:szCs w:val="21"/>
              </w:rPr>
              <w:t>收取（注：不足</w:t>
            </w:r>
            <w:r>
              <w:rPr>
                <w:rFonts w:hint="eastAsia"/>
                <w:color w:val="000000"/>
                <w:kern w:val="0"/>
                <w:szCs w:val="21"/>
              </w:rPr>
              <w:t>18000</w:t>
            </w:r>
            <w:r>
              <w:rPr>
                <w:rFonts w:hint="eastAsia" w:ascii="仿宋_GB2312" w:hAnsi="宋体" w:cs="宋体"/>
                <w:color w:val="000000"/>
                <w:kern w:val="0"/>
                <w:szCs w:val="21"/>
              </w:rPr>
              <w:t>元的按最低</w:t>
            </w:r>
            <w:r>
              <w:rPr>
                <w:rFonts w:hint="eastAsia"/>
                <w:color w:val="000000"/>
                <w:kern w:val="0"/>
                <w:szCs w:val="21"/>
              </w:rPr>
              <w:t>18000</w:t>
            </w:r>
            <w:r>
              <w:rPr>
                <w:rFonts w:hint="eastAsia" w:ascii="仿宋_GB2312" w:hAnsi="宋体" w:cs="宋体"/>
                <w:color w:val="000000"/>
                <w:kern w:val="0"/>
                <w:szCs w:val="21"/>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1" w:type="dxa"/>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常规级</w:t>
            </w:r>
          </w:p>
        </w:tc>
        <w:tc>
          <w:tcPr>
            <w:tcW w:w="3435"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每年按合同成交价的</w:t>
            </w:r>
            <w:r>
              <w:rPr>
                <w:rFonts w:hint="eastAsia"/>
                <w:color w:val="000000"/>
                <w:kern w:val="0"/>
                <w:szCs w:val="21"/>
              </w:rPr>
              <w:t>15％</w:t>
            </w:r>
            <w:r>
              <w:rPr>
                <w:rFonts w:hint="eastAsia" w:ascii="仿宋_GB2312" w:hAnsi="宋体" w:cs="宋体"/>
                <w:color w:val="000000"/>
                <w:kern w:val="0"/>
                <w:szCs w:val="21"/>
              </w:rPr>
              <w:t>收取（注：不足</w:t>
            </w:r>
            <w:r>
              <w:rPr>
                <w:rFonts w:hint="eastAsia"/>
                <w:color w:val="000000"/>
                <w:kern w:val="0"/>
                <w:szCs w:val="21"/>
              </w:rPr>
              <w:t>18000</w:t>
            </w:r>
            <w:r>
              <w:rPr>
                <w:rFonts w:hint="eastAsia" w:ascii="仿宋_GB2312" w:hAnsi="宋体" w:cs="宋体"/>
                <w:color w:val="000000"/>
                <w:kern w:val="0"/>
                <w:szCs w:val="21"/>
              </w:rPr>
              <w:t>元的按最低</w:t>
            </w:r>
            <w:r>
              <w:rPr>
                <w:rFonts w:hint="eastAsia"/>
                <w:color w:val="000000"/>
                <w:kern w:val="0"/>
                <w:szCs w:val="21"/>
              </w:rPr>
              <w:t>18000</w:t>
            </w:r>
            <w:r>
              <w:rPr>
                <w:rFonts w:hint="eastAsia" w:ascii="仿宋_GB2312" w:hAnsi="宋体" w:cs="宋体"/>
                <w:color w:val="000000"/>
                <w:kern w:val="0"/>
                <w:szCs w:val="21"/>
              </w:rPr>
              <w:t>元收取）</w:t>
            </w:r>
          </w:p>
        </w:tc>
        <w:tc>
          <w:tcPr>
            <w:tcW w:w="4253"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每年按合同成交价的</w:t>
            </w:r>
            <w:r>
              <w:rPr>
                <w:rFonts w:hint="eastAsia"/>
                <w:color w:val="000000"/>
                <w:kern w:val="0"/>
                <w:szCs w:val="21"/>
              </w:rPr>
              <w:t>20％</w:t>
            </w:r>
            <w:r>
              <w:rPr>
                <w:rFonts w:hint="eastAsia" w:ascii="仿宋_GB2312" w:hAnsi="宋体" w:cs="宋体"/>
                <w:color w:val="000000"/>
                <w:kern w:val="0"/>
                <w:szCs w:val="21"/>
              </w:rPr>
              <w:t>收取（注：不足</w:t>
            </w:r>
            <w:r>
              <w:rPr>
                <w:rFonts w:hint="eastAsia"/>
                <w:color w:val="000000"/>
                <w:kern w:val="0"/>
                <w:szCs w:val="21"/>
              </w:rPr>
              <w:t>25000</w:t>
            </w:r>
            <w:r>
              <w:rPr>
                <w:rFonts w:hint="eastAsia" w:ascii="仿宋_GB2312" w:hAnsi="宋体" w:cs="宋体"/>
                <w:color w:val="000000"/>
                <w:kern w:val="0"/>
                <w:szCs w:val="21"/>
              </w:rPr>
              <w:t>元的按最低</w:t>
            </w:r>
            <w:r>
              <w:rPr>
                <w:rFonts w:hint="eastAsia"/>
                <w:color w:val="000000"/>
                <w:kern w:val="0"/>
                <w:szCs w:val="21"/>
              </w:rPr>
              <w:t>25000</w:t>
            </w:r>
            <w:r>
              <w:rPr>
                <w:rFonts w:hint="eastAsia" w:ascii="仿宋_GB2312" w:hAnsi="宋体" w:cs="宋体"/>
                <w:color w:val="000000"/>
                <w:kern w:val="0"/>
                <w:szCs w:val="21"/>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1" w:type="dxa"/>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增强级</w:t>
            </w:r>
          </w:p>
        </w:tc>
        <w:tc>
          <w:tcPr>
            <w:tcW w:w="3435"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w:t>
            </w:r>
            <w:r>
              <w:rPr>
                <w:rFonts w:hint="eastAsia"/>
                <w:color w:val="000000"/>
                <w:kern w:val="0"/>
                <w:szCs w:val="21"/>
              </w:rPr>
              <w:t>20000</w:t>
            </w:r>
            <w:r>
              <w:rPr>
                <w:rFonts w:hint="eastAsia" w:ascii="仿宋_GB2312" w:hAnsi="宋体" w:cs="宋体"/>
                <w:color w:val="000000"/>
                <w:kern w:val="0"/>
                <w:szCs w:val="21"/>
              </w:rPr>
              <w:t>元/人月收取</w:t>
            </w:r>
          </w:p>
        </w:tc>
        <w:tc>
          <w:tcPr>
            <w:tcW w:w="4253"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w:t>
            </w:r>
            <w:r>
              <w:rPr>
                <w:rFonts w:hint="eastAsia"/>
                <w:color w:val="000000"/>
                <w:kern w:val="0"/>
                <w:szCs w:val="21"/>
              </w:rPr>
              <w:t>35000</w:t>
            </w:r>
            <w:r>
              <w:rPr>
                <w:rFonts w:hint="eastAsia" w:ascii="仿宋_GB2312" w:hAnsi="宋体" w:cs="宋体"/>
                <w:color w:val="000000"/>
                <w:kern w:val="0"/>
                <w:szCs w:val="21"/>
              </w:rPr>
              <w:t>元/人月收取</w:t>
            </w:r>
          </w:p>
        </w:tc>
      </w:tr>
    </w:tbl>
    <w:p>
      <w:pPr>
        <w:tabs>
          <w:tab w:val="left" w:pos="567"/>
        </w:tabs>
        <w:rPr>
          <w:snapToGrid w:val="0"/>
          <w:kern w:val="0"/>
          <w:sz w:val="24"/>
        </w:rPr>
      </w:pPr>
    </w:p>
    <w:p>
      <w:pPr>
        <w:tabs>
          <w:tab w:val="left" w:pos="567"/>
        </w:tabs>
        <w:ind w:firstLine="480" w:firstLineChars="200"/>
        <w:rPr>
          <w:snapToGrid w:val="0"/>
          <w:kern w:val="0"/>
          <w:sz w:val="24"/>
        </w:rPr>
      </w:pPr>
      <w:r>
        <w:rPr>
          <w:rFonts w:hint="eastAsia"/>
          <w:snapToGrid w:val="0"/>
          <w:kern w:val="0"/>
          <w:sz w:val="24"/>
        </w:rPr>
        <w:t>维保服务中断情况下首次续保</w:t>
      </w:r>
      <w:r>
        <w:rPr>
          <w:snapToGrid w:val="0"/>
          <w:kern w:val="0"/>
          <w:sz w:val="24"/>
        </w:rPr>
        <w:t>收费标准如下</w:t>
      </w:r>
      <w:r>
        <w:rPr>
          <w:rFonts w:hint="eastAsia"/>
          <w:snapToGrid w:val="0"/>
          <w:kern w:val="0"/>
          <w:sz w:val="24"/>
        </w:rPr>
        <w:t>，后续持续续保按《持续购买维保服务收费标准》进行收取。</w:t>
      </w:r>
    </w:p>
    <w:tbl>
      <w:tblPr>
        <w:tblStyle w:val="36"/>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342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10" w:type="dxa"/>
            <w:tcBorders>
              <w:tl2br w:val="single" w:color="auto" w:sz="4" w:space="0"/>
            </w:tcBorders>
            <w:shd w:val="clear" w:color="auto" w:fill="95B3D7" w:themeFill="accent1" w:themeFillTint="99"/>
            <w:vAlign w:val="center"/>
          </w:tcPr>
          <w:p>
            <w:pPr>
              <w:widowControl/>
              <w:jc w:val="center"/>
              <w:rPr>
                <w:rFonts w:ascii="仿宋_GB2312" w:hAnsi="宋体" w:cs="宋体"/>
                <w:b/>
                <w:bCs/>
                <w:color w:val="000000"/>
                <w:kern w:val="0"/>
                <w:szCs w:val="21"/>
              </w:rPr>
            </w:pPr>
          </w:p>
        </w:tc>
        <w:tc>
          <w:tcPr>
            <w:tcW w:w="7537" w:type="dxa"/>
            <w:gridSpan w:val="2"/>
            <w:shd w:val="clear" w:color="auto" w:fill="95B3D7" w:themeFill="accent1" w:themeFillTint="99"/>
            <w:vAlign w:val="center"/>
          </w:tcPr>
          <w:p>
            <w:pPr>
              <w:widowControl/>
              <w:jc w:val="center"/>
              <w:rPr>
                <w:rFonts w:ascii="仿宋_GB2312" w:hAnsi="宋体" w:cs="宋体"/>
                <w:b/>
                <w:bCs/>
                <w:color w:val="000000"/>
                <w:kern w:val="0"/>
                <w:szCs w:val="21"/>
              </w:rPr>
            </w:pPr>
            <w:r>
              <w:rPr>
                <w:rFonts w:hint="eastAsia"/>
                <w:b/>
                <w:szCs w:val="21"/>
              </w:rPr>
              <w:t>维保中断首次续保收费标准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10" w:type="dxa"/>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维护级别</w:t>
            </w:r>
          </w:p>
        </w:tc>
        <w:tc>
          <w:tcPr>
            <w:tcW w:w="3426" w:type="dxa"/>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本地</w:t>
            </w:r>
          </w:p>
        </w:tc>
        <w:tc>
          <w:tcPr>
            <w:tcW w:w="4111" w:type="dxa"/>
            <w:shd w:val="clear" w:color="auto" w:fill="auto"/>
            <w:vAlign w:val="center"/>
          </w:tcPr>
          <w:p>
            <w:pPr>
              <w:widowControl/>
              <w:jc w:val="center"/>
              <w:rPr>
                <w:rFonts w:ascii="仿宋_GB2312" w:hAnsi="宋体" w:cs="宋体"/>
                <w:b/>
                <w:bCs/>
                <w:color w:val="000000"/>
                <w:kern w:val="0"/>
                <w:szCs w:val="21"/>
              </w:rPr>
            </w:pPr>
            <w:r>
              <w:rPr>
                <w:rFonts w:hint="eastAsia" w:ascii="仿宋_GB2312" w:hAnsi="宋体" w:cs="宋体"/>
                <w:b/>
                <w:bCs/>
                <w:color w:val="000000"/>
                <w:kern w:val="0"/>
                <w:szCs w:val="21"/>
              </w:rPr>
              <w:t>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10" w:type="dxa"/>
            <w:shd w:val="clear" w:color="auto" w:fill="auto"/>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基础级</w:t>
            </w:r>
          </w:p>
        </w:tc>
        <w:tc>
          <w:tcPr>
            <w:tcW w:w="3426" w:type="dxa"/>
            <w:shd w:val="clear" w:color="auto" w:fill="auto"/>
            <w:vAlign w:val="center"/>
          </w:tcPr>
          <w:p>
            <w:pPr>
              <w:widowControl/>
              <w:rPr>
                <w:rFonts w:ascii="仿宋_GB2312" w:hAnsi="宋体" w:cs="宋体"/>
                <w:b/>
                <w:bCs/>
                <w:color w:val="000000"/>
                <w:kern w:val="0"/>
                <w:szCs w:val="21"/>
              </w:rPr>
            </w:pPr>
            <w:r>
              <w:rPr>
                <w:rFonts w:hint="eastAsia" w:ascii="仿宋_GB2312" w:hAnsi="宋体" w:cs="宋体"/>
                <w:color w:val="000000"/>
                <w:kern w:val="0"/>
                <w:szCs w:val="21"/>
              </w:rPr>
              <w:t>每年按合同成交价的</w:t>
            </w:r>
            <w:r>
              <w:rPr>
                <w:color w:val="000000"/>
                <w:kern w:val="0"/>
                <w:szCs w:val="21"/>
              </w:rPr>
              <w:t>1</w:t>
            </w:r>
            <w:r>
              <w:rPr>
                <w:rFonts w:hint="eastAsia"/>
                <w:color w:val="000000"/>
                <w:kern w:val="0"/>
                <w:szCs w:val="21"/>
              </w:rPr>
              <w:t>5</w:t>
            </w:r>
            <w:r>
              <w:rPr>
                <w:color w:val="000000"/>
                <w:kern w:val="0"/>
                <w:szCs w:val="21"/>
              </w:rPr>
              <w:t>％</w:t>
            </w:r>
            <w:r>
              <w:rPr>
                <w:rFonts w:hint="eastAsia" w:ascii="仿宋_GB2312" w:hAnsi="宋体" w:cs="宋体"/>
                <w:color w:val="000000"/>
                <w:kern w:val="0"/>
                <w:szCs w:val="21"/>
              </w:rPr>
              <w:t>收取（注：不足</w:t>
            </w:r>
            <w:r>
              <w:rPr>
                <w:rFonts w:hint="eastAsia"/>
                <w:color w:val="000000"/>
                <w:kern w:val="0"/>
                <w:szCs w:val="21"/>
              </w:rPr>
              <w:t>12000</w:t>
            </w:r>
            <w:r>
              <w:rPr>
                <w:rFonts w:hint="eastAsia" w:ascii="仿宋_GB2312" w:hAnsi="宋体" w:cs="宋体"/>
                <w:color w:val="000000"/>
                <w:kern w:val="0"/>
                <w:szCs w:val="21"/>
              </w:rPr>
              <w:t>元的按最低</w:t>
            </w:r>
            <w:r>
              <w:rPr>
                <w:rFonts w:hint="eastAsia"/>
                <w:color w:val="000000"/>
                <w:kern w:val="0"/>
                <w:szCs w:val="21"/>
              </w:rPr>
              <w:t>12000</w:t>
            </w:r>
            <w:r>
              <w:rPr>
                <w:rFonts w:hint="eastAsia" w:ascii="仿宋_GB2312" w:hAnsi="宋体" w:cs="宋体"/>
                <w:color w:val="000000"/>
                <w:kern w:val="0"/>
                <w:szCs w:val="21"/>
              </w:rPr>
              <w:t>元收取）</w:t>
            </w:r>
          </w:p>
        </w:tc>
        <w:tc>
          <w:tcPr>
            <w:tcW w:w="4111" w:type="dxa"/>
            <w:shd w:val="clear" w:color="auto" w:fill="auto"/>
            <w:vAlign w:val="center"/>
          </w:tcPr>
          <w:p>
            <w:pPr>
              <w:widowControl/>
              <w:rPr>
                <w:rFonts w:ascii="仿宋_GB2312" w:hAnsi="宋体" w:cs="宋体"/>
                <w:b/>
                <w:bCs/>
                <w:color w:val="000000"/>
                <w:kern w:val="0"/>
                <w:szCs w:val="21"/>
              </w:rPr>
            </w:pPr>
            <w:r>
              <w:rPr>
                <w:rFonts w:hint="eastAsia" w:ascii="仿宋_GB2312" w:hAnsi="宋体" w:cs="宋体"/>
                <w:color w:val="000000"/>
                <w:kern w:val="0"/>
                <w:szCs w:val="21"/>
              </w:rPr>
              <w:t>每年按合同成交价的</w:t>
            </w:r>
            <w:r>
              <w:rPr>
                <w:rFonts w:hint="eastAsia"/>
                <w:color w:val="000000"/>
                <w:kern w:val="0"/>
                <w:szCs w:val="21"/>
              </w:rPr>
              <w:t>20％</w:t>
            </w:r>
            <w:r>
              <w:rPr>
                <w:rFonts w:hint="eastAsia" w:ascii="仿宋_GB2312" w:hAnsi="宋体" w:cs="宋体"/>
                <w:color w:val="000000"/>
                <w:kern w:val="0"/>
                <w:szCs w:val="21"/>
              </w:rPr>
              <w:t>收取（注：不足</w:t>
            </w:r>
            <w:r>
              <w:rPr>
                <w:rFonts w:hint="eastAsia"/>
                <w:color w:val="000000"/>
                <w:kern w:val="0"/>
                <w:szCs w:val="21"/>
              </w:rPr>
              <w:t>18000</w:t>
            </w:r>
            <w:r>
              <w:rPr>
                <w:rFonts w:hint="eastAsia" w:ascii="仿宋_GB2312" w:hAnsi="宋体" w:cs="宋体"/>
                <w:color w:val="000000"/>
                <w:kern w:val="0"/>
                <w:szCs w:val="21"/>
              </w:rPr>
              <w:t>元的按最低</w:t>
            </w:r>
            <w:r>
              <w:rPr>
                <w:rFonts w:hint="eastAsia"/>
                <w:color w:val="000000"/>
                <w:kern w:val="0"/>
                <w:szCs w:val="21"/>
              </w:rPr>
              <w:t>18000</w:t>
            </w:r>
            <w:r>
              <w:rPr>
                <w:rFonts w:hint="eastAsia" w:ascii="仿宋_GB2312" w:hAnsi="宋体" w:cs="宋体"/>
                <w:color w:val="000000"/>
                <w:kern w:val="0"/>
                <w:szCs w:val="21"/>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10" w:type="dxa"/>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常规级</w:t>
            </w:r>
          </w:p>
        </w:tc>
        <w:tc>
          <w:tcPr>
            <w:tcW w:w="3426" w:type="dxa"/>
            <w:shd w:val="clear" w:color="auto" w:fill="auto"/>
            <w:vAlign w:val="center"/>
          </w:tcPr>
          <w:p>
            <w:pPr>
              <w:widowControl/>
              <w:rPr>
                <w:rFonts w:ascii="仿宋_GB2312" w:hAnsi="宋体" w:cs="宋体"/>
                <w:color w:val="000000"/>
                <w:kern w:val="0"/>
                <w:szCs w:val="21"/>
              </w:rPr>
            </w:pPr>
            <w:r>
              <w:rPr>
                <w:rFonts w:hint="eastAsia"/>
                <w:szCs w:val="21"/>
              </w:rPr>
              <w:t>首次</w:t>
            </w:r>
            <w:r>
              <w:rPr>
                <w:rFonts w:hint="eastAsia" w:ascii="仿宋_GB2312" w:hAnsi="宋体" w:cs="宋体"/>
                <w:color w:val="000000"/>
                <w:kern w:val="0"/>
                <w:szCs w:val="21"/>
              </w:rPr>
              <w:t>按合同成交价的</w:t>
            </w:r>
            <w:r>
              <w:rPr>
                <w:rFonts w:hint="eastAsia"/>
                <w:color w:val="000000"/>
                <w:kern w:val="0"/>
                <w:szCs w:val="21"/>
              </w:rPr>
              <w:t>20％</w:t>
            </w:r>
            <w:r>
              <w:rPr>
                <w:rFonts w:hint="eastAsia" w:ascii="仿宋_GB2312" w:hAnsi="宋体" w:cs="宋体"/>
                <w:color w:val="000000"/>
                <w:kern w:val="0"/>
                <w:szCs w:val="21"/>
              </w:rPr>
              <w:t>收取（注：不足</w:t>
            </w:r>
            <w:r>
              <w:rPr>
                <w:rFonts w:hint="eastAsia"/>
                <w:color w:val="000000"/>
                <w:kern w:val="0"/>
                <w:szCs w:val="21"/>
              </w:rPr>
              <w:t>18000</w:t>
            </w:r>
            <w:r>
              <w:rPr>
                <w:rFonts w:hint="eastAsia" w:ascii="仿宋_GB2312" w:hAnsi="宋体" w:cs="宋体"/>
                <w:color w:val="000000"/>
                <w:kern w:val="0"/>
                <w:szCs w:val="21"/>
              </w:rPr>
              <w:t>元的按最低</w:t>
            </w:r>
            <w:r>
              <w:rPr>
                <w:rFonts w:hint="eastAsia"/>
                <w:color w:val="000000"/>
                <w:kern w:val="0"/>
                <w:szCs w:val="21"/>
              </w:rPr>
              <w:t>18000</w:t>
            </w:r>
            <w:r>
              <w:rPr>
                <w:rFonts w:hint="eastAsia" w:ascii="仿宋_GB2312" w:hAnsi="宋体" w:cs="宋体"/>
                <w:color w:val="000000"/>
                <w:kern w:val="0"/>
                <w:szCs w:val="21"/>
              </w:rPr>
              <w:t>元收取）</w:t>
            </w:r>
          </w:p>
        </w:tc>
        <w:tc>
          <w:tcPr>
            <w:tcW w:w="4111" w:type="dxa"/>
            <w:shd w:val="clear" w:color="auto" w:fill="auto"/>
            <w:vAlign w:val="center"/>
          </w:tcPr>
          <w:p>
            <w:pPr>
              <w:widowControl/>
              <w:rPr>
                <w:rFonts w:ascii="仿宋_GB2312" w:hAnsi="宋体" w:cs="宋体"/>
                <w:color w:val="000000"/>
                <w:kern w:val="0"/>
                <w:szCs w:val="21"/>
              </w:rPr>
            </w:pPr>
            <w:r>
              <w:rPr>
                <w:rFonts w:hint="eastAsia"/>
                <w:szCs w:val="21"/>
              </w:rPr>
              <w:t>首次</w:t>
            </w:r>
            <w:r>
              <w:rPr>
                <w:rFonts w:hint="eastAsia" w:ascii="仿宋_GB2312" w:hAnsi="宋体" w:cs="宋体"/>
                <w:color w:val="000000"/>
                <w:kern w:val="0"/>
                <w:szCs w:val="21"/>
              </w:rPr>
              <w:t>按合同成交价的</w:t>
            </w:r>
            <w:r>
              <w:rPr>
                <w:rFonts w:hint="eastAsia"/>
                <w:color w:val="000000"/>
                <w:kern w:val="0"/>
                <w:szCs w:val="21"/>
              </w:rPr>
              <w:t>25％</w:t>
            </w:r>
            <w:r>
              <w:rPr>
                <w:rFonts w:hint="eastAsia" w:ascii="仿宋_GB2312" w:hAnsi="宋体" w:cs="宋体"/>
                <w:color w:val="000000"/>
                <w:kern w:val="0"/>
                <w:szCs w:val="21"/>
              </w:rPr>
              <w:t>收取（注：不足</w:t>
            </w:r>
            <w:r>
              <w:rPr>
                <w:rFonts w:hint="eastAsia"/>
                <w:color w:val="000000"/>
                <w:kern w:val="0"/>
                <w:szCs w:val="21"/>
              </w:rPr>
              <w:t>25000</w:t>
            </w:r>
            <w:r>
              <w:rPr>
                <w:rFonts w:hint="eastAsia" w:ascii="仿宋_GB2312" w:hAnsi="宋体" w:cs="宋体"/>
                <w:color w:val="000000"/>
                <w:kern w:val="0"/>
                <w:szCs w:val="21"/>
              </w:rPr>
              <w:t>元的按最低</w:t>
            </w:r>
            <w:r>
              <w:rPr>
                <w:rFonts w:hint="eastAsia"/>
                <w:color w:val="000000"/>
                <w:kern w:val="0"/>
                <w:szCs w:val="21"/>
              </w:rPr>
              <w:t>25000</w:t>
            </w:r>
            <w:r>
              <w:rPr>
                <w:rFonts w:hint="eastAsia" w:ascii="仿宋_GB2312" w:hAnsi="宋体" w:cs="宋体"/>
                <w:color w:val="000000"/>
                <w:kern w:val="0"/>
                <w:szCs w:val="21"/>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10" w:type="dxa"/>
            <w:shd w:val="clear" w:color="000000" w:fill="FFFFFF"/>
            <w:vAlign w:val="center"/>
          </w:tcPr>
          <w:p>
            <w:pPr>
              <w:widowControl/>
              <w:rPr>
                <w:rFonts w:ascii="仿宋_GB2312" w:hAnsi="宋体" w:cs="宋体"/>
                <w:b/>
                <w:bCs/>
                <w:color w:val="000000"/>
                <w:kern w:val="0"/>
                <w:szCs w:val="21"/>
              </w:rPr>
            </w:pPr>
            <w:r>
              <w:rPr>
                <w:rFonts w:hint="eastAsia" w:ascii="仿宋_GB2312" w:hAnsi="宋体" w:cs="宋体"/>
                <w:b/>
                <w:bCs/>
                <w:color w:val="000000"/>
                <w:kern w:val="0"/>
                <w:szCs w:val="21"/>
              </w:rPr>
              <w:t>增强级</w:t>
            </w:r>
          </w:p>
        </w:tc>
        <w:tc>
          <w:tcPr>
            <w:tcW w:w="3426"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w:t>
            </w:r>
            <w:r>
              <w:rPr>
                <w:rFonts w:hint="eastAsia"/>
                <w:color w:val="000000"/>
                <w:kern w:val="0"/>
                <w:szCs w:val="21"/>
              </w:rPr>
              <w:t>25000</w:t>
            </w:r>
            <w:r>
              <w:rPr>
                <w:rFonts w:hint="eastAsia" w:ascii="仿宋_GB2312" w:hAnsi="宋体" w:cs="宋体"/>
                <w:color w:val="000000"/>
                <w:kern w:val="0"/>
                <w:szCs w:val="21"/>
              </w:rPr>
              <w:t>元/人月收取</w:t>
            </w:r>
          </w:p>
        </w:tc>
        <w:tc>
          <w:tcPr>
            <w:tcW w:w="4111" w:type="dxa"/>
            <w:shd w:val="clear" w:color="auto" w:fill="auto"/>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按</w:t>
            </w:r>
            <w:r>
              <w:rPr>
                <w:rFonts w:hint="eastAsia"/>
                <w:color w:val="000000"/>
                <w:kern w:val="0"/>
                <w:szCs w:val="21"/>
              </w:rPr>
              <w:t>35000</w:t>
            </w:r>
            <w:r>
              <w:rPr>
                <w:rFonts w:hint="eastAsia" w:ascii="仿宋_GB2312" w:hAnsi="宋体" w:cs="宋体"/>
                <w:color w:val="000000"/>
                <w:kern w:val="0"/>
                <w:szCs w:val="21"/>
              </w:rPr>
              <w:t>元/人月收取</w:t>
            </w:r>
          </w:p>
        </w:tc>
      </w:tr>
    </w:tbl>
    <w:p>
      <w:pPr>
        <w:tabs>
          <w:tab w:val="left" w:pos="567"/>
        </w:tabs>
        <w:rPr>
          <w:snapToGrid w:val="0"/>
          <w:kern w:val="0"/>
          <w:sz w:val="24"/>
        </w:rPr>
      </w:pPr>
    </w:p>
    <w:p>
      <w:pPr>
        <w:pStyle w:val="55"/>
        <w:spacing w:after="190"/>
      </w:pPr>
      <w:bookmarkStart w:id="9" w:name="_Toc65848073"/>
      <w:bookmarkStart w:id="10" w:name="_Toc344668791"/>
      <w:bookmarkStart w:id="11" w:name="_Toc300069492"/>
      <w:r>
        <w:rPr>
          <w:rFonts w:hint="eastAsia"/>
        </w:rPr>
        <w:t>结论</w:t>
      </w:r>
      <w:bookmarkEnd w:id="9"/>
      <w:bookmarkEnd w:id="10"/>
      <w:bookmarkEnd w:id="11"/>
    </w:p>
    <w:p>
      <w:pPr>
        <w:rPr>
          <w:snapToGrid w:val="0"/>
          <w:kern w:val="0"/>
          <w:sz w:val="24"/>
        </w:rPr>
      </w:pPr>
      <w:r>
        <w:rPr>
          <w:rFonts w:hint="eastAsia"/>
          <w:snapToGrid w:val="0"/>
          <w:kern w:val="0"/>
          <w:sz w:val="24"/>
        </w:rPr>
        <w:tab/>
      </w:r>
      <w:r>
        <w:rPr>
          <w:rFonts w:hint="eastAsia"/>
          <w:snapToGrid w:val="0"/>
          <w:kern w:val="0"/>
          <w:sz w:val="24"/>
        </w:rPr>
        <w:t xml:space="preserve">经过双方讨论，甲方同意购买 </w:t>
      </w:r>
      <w:r>
        <w:rPr>
          <w:rFonts w:hint="eastAsia"/>
          <w:b/>
          <w:bCs/>
          <w:snapToGrid w:val="0"/>
          <w:kern w:val="0"/>
          <w:sz w:val="24"/>
          <w:u w:val="single"/>
        </w:rPr>
        <w:t>本地/</w:t>
      </w:r>
      <w:r>
        <w:rPr>
          <w:rFonts w:hint="eastAsia"/>
          <w:b/>
          <w:bCs/>
          <w:snapToGrid w:val="0"/>
          <w:kern w:val="0"/>
          <w:sz w:val="24"/>
          <w:u w:val="single"/>
          <w:lang w:val="en-US" w:eastAsia="zh-CN"/>
        </w:rPr>
        <w:t>基础</w:t>
      </w:r>
      <w:r>
        <w:rPr>
          <w:rFonts w:hint="eastAsia"/>
          <w:b/>
          <w:bCs/>
          <w:snapToGrid w:val="0"/>
          <w:kern w:val="0"/>
          <w:sz w:val="24"/>
          <w:u w:val="single"/>
        </w:rPr>
        <w:t xml:space="preserve">级别（持续） </w:t>
      </w:r>
      <w:r>
        <w:rPr>
          <w:rFonts w:hint="eastAsia"/>
          <w:snapToGrid w:val="0"/>
          <w:kern w:val="0"/>
          <w:sz w:val="24"/>
        </w:rPr>
        <w:t xml:space="preserve">服务，购买时长为 </w:t>
      </w:r>
      <w:r>
        <w:rPr>
          <w:rFonts w:hint="eastAsia"/>
          <w:snapToGrid w:val="0"/>
          <w:kern w:val="0"/>
          <w:sz w:val="24"/>
          <w:u w:val="single"/>
        </w:rPr>
        <w:t>自合同签署后</w:t>
      </w:r>
      <w:r>
        <w:rPr>
          <w:rFonts w:hint="eastAsia"/>
          <w:b/>
          <w:bCs/>
          <w:snapToGrid w:val="0"/>
          <w:kern w:val="0"/>
          <w:sz w:val="24"/>
          <w:u w:val="single"/>
        </w:rPr>
        <w:t xml:space="preserve"> 1年</w:t>
      </w:r>
      <w:r>
        <w:rPr>
          <w:rFonts w:hint="eastAsia"/>
          <w:snapToGrid w:val="0"/>
          <w:kern w:val="0"/>
          <w:sz w:val="24"/>
          <w:u w:val="single"/>
        </w:rPr>
        <w:t>（或 </w:t>
      </w:r>
      <w:r>
        <w:rPr>
          <w:snapToGrid w:val="0"/>
          <w:kern w:val="0"/>
          <w:sz w:val="24"/>
          <w:u w:val="single"/>
        </w:rPr>
        <w:t xml:space="preserve">202 </w:t>
      </w:r>
      <w:r>
        <w:rPr>
          <w:rFonts w:hint="eastAsia"/>
          <w:snapToGrid w:val="0"/>
          <w:kern w:val="0"/>
          <w:sz w:val="24"/>
          <w:u w:val="single"/>
        </w:rPr>
        <w:t>年</w:t>
      </w:r>
      <w:r>
        <w:rPr>
          <w:snapToGrid w:val="0"/>
          <w:kern w:val="0"/>
          <w:sz w:val="24"/>
          <w:u w:val="single"/>
        </w:rPr>
        <w:t xml:space="preserve"> </w:t>
      </w:r>
      <w:r>
        <w:rPr>
          <w:rFonts w:hint="eastAsia"/>
          <w:snapToGrid w:val="0"/>
          <w:kern w:val="0"/>
          <w:sz w:val="24"/>
          <w:u w:val="single"/>
        </w:rPr>
        <w:t>月</w:t>
      </w:r>
      <w:r>
        <w:rPr>
          <w:snapToGrid w:val="0"/>
          <w:kern w:val="0"/>
          <w:sz w:val="24"/>
          <w:u w:val="single"/>
        </w:rPr>
        <w:t xml:space="preserve">  </w:t>
      </w:r>
      <w:r>
        <w:rPr>
          <w:rFonts w:hint="eastAsia"/>
          <w:snapToGrid w:val="0"/>
          <w:kern w:val="0"/>
          <w:sz w:val="24"/>
          <w:u w:val="single"/>
        </w:rPr>
        <w:t xml:space="preserve">日至 </w:t>
      </w:r>
      <w:r>
        <w:rPr>
          <w:snapToGrid w:val="0"/>
          <w:kern w:val="0"/>
          <w:sz w:val="24"/>
          <w:u w:val="single"/>
        </w:rPr>
        <w:t xml:space="preserve">202  </w:t>
      </w:r>
      <w:r>
        <w:rPr>
          <w:rFonts w:hint="eastAsia"/>
          <w:snapToGrid w:val="0"/>
          <w:kern w:val="0"/>
          <w:sz w:val="24"/>
          <w:u w:val="single"/>
        </w:rPr>
        <w:t xml:space="preserve">年 </w:t>
      </w:r>
      <w:r>
        <w:rPr>
          <w:snapToGrid w:val="0"/>
          <w:kern w:val="0"/>
          <w:sz w:val="24"/>
          <w:u w:val="single"/>
        </w:rPr>
        <w:t xml:space="preserve"> </w:t>
      </w:r>
      <w:r>
        <w:rPr>
          <w:rFonts w:hint="eastAsia"/>
          <w:snapToGrid w:val="0"/>
          <w:kern w:val="0"/>
          <w:sz w:val="24"/>
          <w:u w:val="single"/>
        </w:rPr>
        <w:t>月  </w:t>
      </w:r>
      <w:r>
        <w:rPr>
          <w:snapToGrid w:val="0"/>
          <w:kern w:val="0"/>
          <w:sz w:val="24"/>
          <w:u w:val="single"/>
        </w:rPr>
        <w:t xml:space="preserve"> </w:t>
      </w:r>
      <w:r>
        <w:rPr>
          <w:rFonts w:hint="eastAsia"/>
          <w:snapToGrid w:val="0"/>
          <w:kern w:val="0"/>
          <w:sz w:val="24"/>
          <w:u w:val="single"/>
        </w:rPr>
        <w:t>日为止）</w:t>
      </w:r>
      <w:r>
        <w:rPr>
          <w:rFonts w:hint="eastAsia"/>
          <w:snapToGrid w:val="0"/>
          <w:kern w:val="0"/>
          <w:sz w:val="24"/>
        </w:rPr>
        <w:t>，具体类别为：</w:t>
      </w:r>
    </w:p>
    <w:p>
      <w:pPr>
        <w:tabs>
          <w:tab w:val="left" w:pos="567"/>
        </w:tabs>
        <w:rPr>
          <w:snapToGrid w:val="0"/>
          <w:kern w:val="0"/>
          <w:sz w:val="24"/>
        </w:rPr>
      </w:pPr>
      <w:bookmarkStart w:id="17" w:name="_GoBack"/>
      <w:bookmarkEnd w:id="17"/>
    </w:p>
    <w:p>
      <w:pPr>
        <w:ind w:firstLine="482" w:firstLineChars="200"/>
        <w:rPr>
          <w:b/>
          <w:bCs/>
          <w:snapToGrid w:val="0"/>
          <w:kern w:val="0"/>
          <w:sz w:val="24"/>
        </w:rPr>
      </w:pPr>
      <w:r>
        <w:rPr>
          <w:rFonts w:hint="eastAsia"/>
          <w:b/>
          <w:bCs/>
          <w:snapToGrid w:val="0"/>
          <w:kern w:val="0"/>
          <w:sz w:val="24"/>
        </w:rPr>
        <w:t>本次服务费用总计人民币￥12000元（人民币大写：壹万俩仟元整）。</w:t>
      </w:r>
    </w:p>
    <w:p>
      <w:pPr>
        <w:pStyle w:val="55"/>
        <w:spacing w:after="190"/>
      </w:pPr>
      <w:bookmarkStart w:id="12" w:name="_Toc65848074"/>
      <w:bookmarkStart w:id="13" w:name="_Toc300069493"/>
      <w:bookmarkStart w:id="14" w:name="_Toc344668792"/>
      <w:r>
        <w:rPr>
          <w:rFonts w:hint="eastAsia"/>
        </w:rPr>
        <w:t>违约责任</w:t>
      </w:r>
      <w:bookmarkEnd w:id="12"/>
      <w:bookmarkEnd w:id="13"/>
      <w:bookmarkEnd w:id="14"/>
    </w:p>
    <w:p>
      <w:pPr>
        <w:numPr>
          <w:ilvl w:val="1"/>
          <w:numId w:val="6"/>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合同执行过程中一方违反合同，另一方有权要求违约方立即停止违约行为并负违约责任。如甲方不能按本合同的规定向乙方付款，每逾期一天，甲方按合同额的0.1%向乙方支付违约金。如乙方不能按本合同的规定</w:t>
      </w:r>
      <w:r>
        <w:rPr>
          <w:rFonts w:hint="eastAsia"/>
          <w:snapToGrid w:val="0"/>
          <w:kern w:val="0"/>
          <w:sz w:val="24"/>
        </w:rPr>
        <w:t>履行维保服务</w:t>
      </w:r>
      <w:r>
        <w:rPr>
          <w:snapToGrid w:val="0"/>
          <w:kern w:val="0"/>
          <w:sz w:val="24"/>
        </w:rPr>
        <w:t>，每逾期一天，乙方按合同额的0.1%向买方支付违约金。违约金额超过合同</w:t>
      </w:r>
      <w:r>
        <w:rPr>
          <w:rFonts w:hint="eastAsia"/>
          <w:snapToGrid w:val="0"/>
          <w:kern w:val="0"/>
          <w:sz w:val="24"/>
        </w:rPr>
        <w:t>总</w:t>
      </w:r>
      <w:r>
        <w:rPr>
          <w:snapToGrid w:val="0"/>
          <w:kern w:val="0"/>
          <w:sz w:val="24"/>
        </w:rPr>
        <w:t>金额的20％时合同即告终止。</w:t>
      </w:r>
    </w:p>
    <w:p>
      <w:pPr>
        <w:numPr>
          <w:ilvl w:val="1"/>
          <w:numId w:val="6"/>
        </w:numPr>
        <w:tabs>
          <w:tab w:val="left" w:pos="567"/>
          <w:tab w:val="clear" w:pos="1035"/>
        </w:tabs>
        <w:ind w:left="567" w:hanging="567"/>
        <w:rPr>
          <w:snapToGrid w:val="0"/>
          <w:kern w:val="0"/>
          <w:sz w:val="24"/>
        </w:rPr>
      </w:pPr>
      <w:r>
        <w:rPr>
          <w:snapToGrid w:val="0"/>
          <w:kern w:val="0"/>
          <w:sz w:val="24"/>
        </w:rPr>
        <w:t>5.2</w:t>
      </w:r>
      <w:r>
        <w:rPr>
          <w:rFonts w:hint="eastAsia"/>
          <w:snapToGrid w:val="0"/>
          <w:kern w:val="0"/>
          <w:sz w:val="24"/>
        </w:rPr>
        <w:t>合同已经</w:t>
      </w:r>
      <w:r>
        <w:rPr>
          <w:snapToGrid w:val="0"/>
          <w:kern w:val="0"/>
          <w:sz w:val="24"/>
        </w:rPr>
        <w:t>双方盖章签订后，</w:t>
      </w:r>
      <w:r>
        <w:rPr>
          <w:rFonts w:hint="eastAsia"/>
          <w:snapToGrid w:val="0"/>
          <w:kern w:val="0"/>
          <w:sz w:val="24"/>
        </w:rPr>
        <w:t>我司承诺严格遵守信息保密义务，</w:t>
      </w:r>
      <w:r>
        <w:rPr>
          <w:snapToGrid w:val="0"/>
          <w:kern w:val="0"/>
          <w:sz w:val="24"/>
        </w:rPr>
        <w:t>不将</w:t>
      </w:r>
      <w:r>
        <w:rPr>
          <w:rFonts w:hint="eastAsia"/>
          <w:snapToGrid w:val="0"/>
          <w:kern w:val="0"/>
          <w:sz w:val="24"/>
        </w:rPr>
        <w:t>贵公司</w:t>
      </w:r>
      <w:r>
        <w:rPr>
          <w:snapToGrid w:val="0"/>
          <w:kern w:val="0"/>
          <w:sz w:val="24"/>
        </w:rPr>
        <w:t>信息泄露给第三方或竞争对手，</w:t>
      </w:r>
      <w:r>
        <w:rPr>
          <w:rFonts w:hint="eastAsia"/>
          <w:snapToGrid w:val="0"/>
          <w:kern w:val="0"/>
          <w:sz w:val="24"/>
        </w:rPr>
        <w:t>保密</w:t>
      </w:r>
      <w:r>
        <w:rPr>
          <w:snapToGrid w:val="0"/>
          <w:kern w:val="0"/>
          <w:sz w:val="24"/>
        </w:rPr>
        <w:t>信息包括但不限于因合作而了解或接触到的机密资料或信息、商业秘密、技术秘密，以及其他财务、商务、用户数据、个人隐私等信息，或履行过程中形成的所有信息、数据、资料、意见、建议、阶段性执行成果和最终执行成果等</w:t>
      </w:r>
      <w:r>
        <w:rPr>
          <w:rFonts w:hint="eastAsia"/>
          <w:snapToGrid w:val="0"/>
          <w:kern w:val="0"/>
          <w:sz w:val="24"/>
        </w:rPr>
        <w:t>。</w:t>
      </w:r>
    </w:p>
    <w:p>
      <w:pPr>
        <w:pStyle w:val="55"/>
        <w:spacing w:after="190"/>
      </w:pPr>
      <w:bookmarkStart w:id="15" w:name="_Toc65848075"/>
      <w:r>
        <w:rPr>
          <w:rFonts w:hint="eastAsia"/>
        </w:rPr>
        <w:t>其他</w:t>
      </w:r>
      <w:bookmarkEnd w:id="15"/>
    </w:p>
    <w:p>
      <w:pPr>
        <w:numPr>
          <w:ilvl w:val="1"/>
          <w:numId w:val="7"/>
        </w:numPr>
        <w:rPr>
          <w:snapToGrid w:val="0"/>
          <w:kern w:val="0"/>
          <w:sz w:val="24"/>
        </w:rPr>
      </w:pPr>
      <w:r>
        <w:rPr>
          <w:rFonts w:hint="eastAsia"/>
          <w:snapToGrid w:val="0"/>
          <w:kern w:val="0"/>
          <w:sz w:val="24"/>
        </w:rPr>
        <w:t>本合同中未尽事宜，双方协商解决。</w:t>
      </w:r>
    </w:p>
    <w:p>
      <w:pPr>
        <w:numPr>
          <w:ilvl w:val="1"/>
          <w:numId w:val="7"/>
        </w:numPr>
        <w:rPr>
          <w:snapToGrid w:val="0"/>
          <w:kern w:val="0"/>
          <w:sz w:val="24"/>
        </w:rPr>
      </w:pPr>
      <w:r>
        <w:rPr>
          <w:rFonts w:hint="eastAsia"/>
          <w:snapToGrid w:val="0"/>
          <w:kern w:val="0"/>
          <w:sz w:val="24"/>
        </w:rPr>
        <w:t>本合同自甲乙双方签字并盖章时生效本合同</w:t>
      </w:r>
      <w:r>
        <w:rPr>
          <w:rFonts w:hint="eastAsia"/>
          <w:snapToGrid w:val="0"/>
          <w:kern w:val="0"/>
          <w:sz w:val="24"/>
          <w:u w:val="single"/>
        </w:rPr>
        <w:t>一式肆份</w:t>
      </w:r>
      <w:r>
        <w:rPr>
          <w:rFonts w:hint="eastAsia"/>
          <w:snapToGrid w:val="0"/>
          <w:kern w:val="0"/>
          <w:sz w:val="24"/>
        </w:rPr>
        <w:t>，双方各执贰份正本。</w:t>
      </w:r>
    </w:p>
    <w:p>
      <w:pPr>
        <w:numPr>
          <w:ilvl w:val="1"/>
          <w:numId w:val="7"/>
        </w:numPr>
        <w:rPr>
          <w:snapToGrid w:val="0"/>
          <w:kern w:val="0"/>
          <w:sz w:val="24"/>
        </w:rPr>
      </w:pPr>
      <w:r>
        <w:rPr>
          <w:snapToGrid w:val="0"/>
          <w:kern w:val="0"/>
          <w:sz w:val="24"/>
        </w:rPr>
        <w:t>本合同某一条款的变动不影响本合同其它条款的有效性。</w:t>
      </w:r>
    </w:p>
    <w:p>
      <w:pPr>
        <w:numPr>
          <w:ilvl w:val="1"/>
          <w:numId w:val="7"/>
        </w:numPr>
        <w:rPr>
          <w:snapToGrid w:val="0"/>
          <w:kern w:val="0"/>
          <w:sz w:val="24"/>
        </w:rPr>
      </w:pPr>
      <w:r>
        <w:rPr>
          <w:rFonts w:hint="eastAsia"/>
          <w:snapToGrid w:val="0"/>
          <w:kern w:val="0"/>
          <w:sz w:val="24"/>
        </w:rPr>
        <w:t>对本合同的任何修改和补充，只有得到双方授权代表在本合同最后一页签字页上的书面签字认可后方能生效</w:t>
      </w:r>
      <w:r>
        <w:rPr>
          <w:snapToGrid w:val="0"/>
          <w:kern w:val="0"/>
          <w:sz w:val="24"/>
        </w:rPr>
        <w:t>,</w:t>
      </w:r>
      <w:r>
        <w:rPr>
          <w:rFonts w:hint="eastAsia"/>
          <w:snapToGrid w:val="0"/>
          <w:kern w:val="0"/>
          <w:sz w:val="24"/>
        </w:rPr>
        <w:t>并作为本合同不可分割的组成部分。</w:t>
      </w:r>
    </w:p>
    <w:p/>
    <w:p>
      <w:pPr>
        <w:widowControl/>
        <w:adjustRightInd/>
        <w:snapToGrid/>
        <w:spacing w:line="240" w:lineRule="auto"/>
        <w:jc w:val="left"/>
      </w:pPr>
      <w:r>
        <w:br w:type="page"/>
      </w:r>
    </w:p>
    <w:p/>
    <w:p>
      <w:pPr>
        <w:jc w:val="center"/>
        <w:rPr>
          <w:b/>
          <w:bCs/>
          <w:sz w:val="40"/>
          <w:szCs w:val="36"/>
        </w:rPr>
      </w:pPr>
      <w:bookmarkStart w:id="16" w:name="_Toc344668793"/>
      <w:r>
        <w:rPr>
          <w:rFonts w:hint="eastAsia"/>
          <w:b/>
          <w:bCs/>
          <w:sz w:val="40"/>
          <w:szCs w:val="36"/>
        </w:rPr>
        <w:t>签字页</w:t>
      </w:r>
      <w:bookmarkEnd w:id="16"/>
    </w:p>
    <w:p>
      <w:pPr>
        <w:jc w:val="center"/>
        <w:rPr>
          <w:bCs/>
        </w:rPr>
      </w:pPr>
    </w:p>
    <w:p>
      <w:pPr>
        <w:pBdr>
          <w:bottom w:val="dotted" w:color="auto" w:sz="4" w:space="1"/>
        </w:pBdr>
        <w:spacing w:line="360" w:lineRule="atLeast"/>
        <w:rPr>
          <w:rFonts w:ascii="宋体" w:hAnsi="宋体"/>
          <w:b/>
          <w:sz w:val="24"/>
        </w:rPr>
      </w:pPr>
      <w:r>
        <w:rPr>
          <w:rFonts w:hint="eastAsia" w:ascii="宋体" w:hAnsi="宋体"/>
          <w:b/>
          <w:sz w:val="24"/>
        </w:rPr>
        <w:t>【甲方】</w:t>
      </w:r>
    </w:p>
    <w:p>
      <w:pPr>
        <w:pBdr>
          <w:bottom w:val="dotted" w:color="auto" w:sz="4" w:space="1"/>
        </w:pBdr>
        <w:spacing w:line="360" w:lineRule="atLeast"/>
        <w:ind w:firstLine="424"/>
      </w:pPr>
      <w:r>
        <w:rPr>
          <w:b/>
          <w:sz w:val="24"/>
        </w:rPr>
        <w:t>单位名称（</w:t>
      </w:r>
      <w:r>
        <w:rPr>
          <w:rFonts w:hint="eastAsia"/>
          <w:b/>
          <w:sz w:val="24"/>
        </w:rPr>
        <w:t>合同专用章）</w:t>
      </w:r>
      <w:r>
        <w:rPr>
          <w:b/>
          <w:sz w:val="24"/>
        </w:rPr>
        <w:t>：</w:t>
      </w:r>
      <w:r>
        <w:rPr>
          <w:rFonts w:hint="eastAsia"/>
          <w:b/>
          <w:sz w:val="24"/>
        </w:rPr>
        <w:t>北京东联网格科技有限公司</w:t>
      </w:r>
    </w:p>
    <w:p>
      <w:pPr>
        <w:pBdr>
          <w:bottom w:val="dotted" w:color="auto" w:sz="4" w:space="1"/>
        </w:pBdr>
        <w:spacing w:line="360" w:lineRule="atLeast"/>
        <w:ind w:firstLine="424"/>
      </w:pPr>
      <w:r>
        <w:rPr>
          <w:b/>
          <w:sz w:val="24"/>
        </w:rPr>
        <w:t>开户银行：</w:t>
      </w:r>
      <w:r>
        <w:t xml:space="preserve"> </w:t>
      </w:r>
      <w:r>
        <w:rPr>
          <w:rFonts w:hint="eastAsia"/>
          <w:b/>
          <w:bCs/>
          <w:sz w:val="24"/>
          <w:szCs w:val="24"/>
        </w:rPr>
        <w:t>中国工商银行北京上地支行</w:t>
      </w:r>
    </w:p>
    <w:p>
      <w:pPr>
        <w:pBdr>
          <w:bottom w:val="dotted" w:color="auto" w:sz="4" w:space="1"/>
        </w:pBdr>
        <w:spacing w:line="360" w:lineRule="atLeast"/>
        <w:ind w:firstLine="424"/>
      </w:pPr>
      <w:r>
        <w:rPr>
          <w:b/>
          <w:sz w:val="24"/>
        </w:rPr>
        <w:t>银行帐号：0200 3363 1910 0033362</w:t>
      </w:r>
    </w:p>
    <w:p>
      <w:pPr>
        <w:pBdr>
          <w:bottom w:val="dotted" w:color="auto" w:sz="4" w:space="1"/>
        </w:pBdr>
        <w:spacing w:line="360" w:lineRule="atLeast"/>
        <w:ind w:firstLine="424"/>
        <w:rPr>
          <w:b/>
          <w:sz w:val="24"/>
        </w:rPr>
      </w:pPr>
      <w:r>
        <w:rPr>
          <w:b/>
          <w:sz w:val="24"/>
        </w:rPr>
        <w:t>公司税号：911101087577125607 </w:t>
      </w:r>
    </w:p>
    <w:p>
      <w:pPr>
        <w:pBdr>
          <w:bottom w:val="dotted" w:color="auto" w:sz="4" w:space="1"/>
        </w:pBdr>
        <w:spacing w:line="360" w:lineRule="atLeast"/>
        <w:ind w:firstLine="424"/>
        <w:rPr>
          <w:b/>
          <w:sz w:val="24"/>
        </w:rPr>
      </w:pPr>
      <w:r>
        <w:rPr>
          <w:rFonts w:hint="eastAsia"/>
          <w:b/>
          <w:sz w:val="24"/>
        </w:rPr>
        <w:t>地址电话</w:t>
      </w:r>
      <w:r>
        <w:rPr>
          <w:b/>
          <w:sz w:val="24"/>
        </w:rPr>
        <w:t>：</w:t>
      </w:r>
      <w:r>
        <w:rPr>
          <w:rFonts w:hint="eastAsia"/>
          <w:b/>
          <w:sz w:val="24"/>
        </w:rPr>
        <w:t>北京市昌平区回龙观镇龙域中街</w:t>
      </w:r>
      <w:r>
        <w:rPr>
          <w:b/>
          <w:sz w:val="24"/>
        </w:rPr>
        <w:t>1</w:t>
      </w:r>
      <w:r>
        <w:rPr>
          <w:rFonts w:hint="eastAsia"/>
          <w:b/>
          <w:sz w:val="24"/>
        </w:rPr>
        <w:t>号院</w:t>
      </w:r>
      <w:r>
        <w:rPr>
          <w:b/>
          <w:sz w:val="24"/>
        </w:rPr>
        <w:t>1</w:t>
      </w:r>
      <w:r>
        <w:rPr>
          <w:rFonts w:hint="eastAsia"/>
          <w:b/>
          <w:sz w:val="24"/>
        </w:rPr>
        <w:t>号楼</w:t>
      </w:r>
      <w:r>
        <w:rPr>
          <w:b/>
          <w:sz w:val="24"/>
        </w:rPr>
        <w:t>1</w:t>
      </w:r>
      <w:r>
        <w:rPr>
          <w:rFonts w:hint="eastAsia"/>
          <w:b/>
          <w:sz w:val="24"/>
        </w:rPr>
        <w:t>单元</w:t>
      </w:r>
      <w:r>
        <w:rPr>
          <w:b/>
          <w:sz w:val="24"/>
        </w:rPr>
        <w:t>604 62667900</w:t>
      </w:r>
    </w:p>
    <w:p>
      <w:pPr>
        <w:pBdr>
          <w:bottom w:val="dotted" w:color="auto" w:sz="4" w:space="1"/>
        </w:pBdr>
        <w:spacing w:line="360" w:lineRule="atLeast"/>
        <w:ind w:firstLine="424"/>
        <w:rPr>
          <w:rFonts w:ascii="宋体" w:hAnsi="宋体"/>
          <w:b/>
          <w:sz w:val="24"/>
        </w:rPr>
      </w:pPr>
    </w:p>
    <w:p>
      <w:pPr>
        <w:pBdr>
          <w:bottom w:val="dotted" w:color="auto" w:sz="4" w:space="1"/>
        </w:pBdr>
        <w:spacing w:line="360" w:lineRule="atLeast"/>
        <w:ind w:firstLine="424"/>
        <w:rPr>
          <w:rFonts w:ascii="宋体" w:hAnsi="宋体"/>
          <w:b/>
          <w:sz w:val="24"/>
        </w:rPr>
      </w:pPr>
      <w:r>
        <w:rPr>
          <w:rFonts w:hint="eastAsia" w:ascii="宋体" w:hAnsi="宋体"/>
          <w:b/>
          <w:sz w:val="24"/>
        </w:rPr>
        <w:t>授权代表姓名（印刷体）：</w:t>
      </w:r>
    </w:p>
    <w:p>
      <w:pPr>
        <w:pBdr>
          <w:bottom w:val="dotted" w:color="auto" w:sz="4" w:space="1"/>
        </w:pBdr>
        <w:spacing w:line="360" w:lineRule="atLeast"/>
        <w:ind w:firstLine="424"/>
        <w:rPr>
          <w:rFonts w:ascii="宋体" w:hAnsi="宋体"/>
          <w:b/>
          <w:sz w:val="24"/>
        </w:rPr>
      </w:pPr>
      <w:r>
        <w:rPr>
          <w:rFonts w:hint="eastAsia" w:ascii="宋体" w:hAnsi="宋体"/>
          <w:b/>
          <w:sz w:val="24"/>
        </w:rPr>
        <w:t>授权代表签字（手写体）：</w:t>
      </w:r>
    </w:p>
    <w:p>
      <w:pPr>
        <w:pBdr>
          <w:bottom w:val="dotted" w:color="auto" w:sz="4" w:space="1"/>
        </w:pBdr>
        <w:spacing w:line="360" w:lineRule="atLeast"/>
        <w:ind w:firstLine="424"/>
        <w:rPr>
          <w:rFonts w:ascii="宋体" w:hAnsi="宋体"/>
          <w:b/>
          <w:sz w:val="24"/>
        </w:rPr>
      </w:pPr>
      <w:r>
        <w:rPr>
          <w:rFonts w:hint="eastAsia" w:ascii="宋体" w:hAnsi="宋体"/>
          <w:b/>
          <w:sz w:val="24"/>
        </w:rPr>
        <w:t>签字日期：</w:t>
      </w:r>
    </w:p>
    <w:p>
      <w:pPr>
        <w:pBdr>
          <w:bottom w:val="dotted" w:color="auto" w:sz="4" w:space="1"/>
        </w:pBdr>
        <w:spacing w:line="360" w:lineRule="atLeast"/>
        <w:rPr>
          <w:rFonts w:ascii="宋体" w:hAnsi="宋体"/>
          <w:b/>
          <w:sz w:val="24"/>
        </w:rPr>
      </w:pPr>
    </w:p>
    <w:p>
      <w:pPr>
        <w:spacing w:line="360" w:lineRule="atLeast"/>
        <w:rPr>
          <w:rFonts w:ascii="宋体" w:hAnsi="宋体"/>
          <w:b/>
          <w:sz w:val="24"/>
        </w:rPr>
      </w:pPr>
    </w:p>
    <w:p>
      <w:pPr>
        <w:spacing w:line="360" w:lineRule="atLeast"/>
        <w:rPr>
          <w:rFonts w:ascii="宋体" w:hAnsi="宋体"/>
          <w:b/>
          <w:sz w:val="24"/>
        </w:rPr>
      </w:pPr>
      <w:r>
        <w:rPr>
          <w:rFonts w:hint="eastAsia" w:ascii="宋体" w:hAnsi="宋体"/>
          <w:b/>
          <w:sz w:val="24"/>
        </w:rPr>
        <w:t>【乙方】</w:t>
      </w:r>
    </w:p>
    <w:p>
      <w:pPr>
        <w:spacing w:line="360" w:lineRule="atLeast"/>
        <w:ind w:firstLine="424"/>
      </w:pPr>
      <w:r>
        <w:rPr>
          <w:b/>
          <w:sz w:val="24"/>
        </w:rPr>
        <w:t>单位名称（</w:t>
      </w:r>
      <w:r>
        <w:rPr>
          <w:rFonts w:hint="eastAsia"/>
          <w:b/>
          <w:sz w:val="24"/>
        </w:rPr>
        <w:t>合同专用章）</w:t>
      </w:r>
      <w:r>
        <w:rPr>
          <w:b/>
          <w:sz w:val="24"/>
        </w:rPr>
        <w:t>：北京创联致信科技有限公司</w:t>
      </w:r>
    </w:p>
    <w:p>
      <w:pPr>
        <w:spacing w:line="360" w:lineRule="atLeast"/>
        <w:ind w:firstLine="424"/>
      </w:pPr>
      <w:r>
        <w:rPr>
          <w:b/>
          <w:sz w:val="24"/>
        </w:rPr>
        <w:t>开户银行：</w:t>
      </w:r>
      <w:r>
        <w:rPr>
          <w:rFonts w:hint="eastAsia"/>
          <w:b/>
          <w:sz w:val="24"/>
        </w:rPr>
        <w:t>中国民生银行股份有限公司北京东二环支行</w:t>
      </w:r>
    </w:p>
    <w:p>
      <w:pPr>
        <w:spacing w:line="360" w:lineRule="atLeast"/>
        <w:ind w:firstLine="424"/>
      </w:pPr>
      <w:r>
        <w:rPr>
          <w:b/>
          <w:sz w:val="24"/>
        </w:rPr>
        <w:t>银行帐号：0148012830000756</w:t>
      </w:r>
    </w:p>
    <w:p>
      <w:pPr>
        <w:spacing w:line="360" w:lineRule="atLeast"/>
        <w:ind w:firstLine="424"/>
      </w:pPr>
      <w:r>
        <w:rPr>
          <w:b/>
          <w:sz w:val="24"/>
        </w:rPr>
        <w:t>公司税号：91110108596007659D</w:t>
      </w:r>
    </w:p>
    <w:p>
      <w:pPr>
        <w:spacing w:line="360" w:lineRule="atLeast"/>
        <w:ind w:firstLine="424"/>
        <w:rPr>
          <w:rFonts w:ascii="宋体" w:hAnsi="宋体"/>
          <w:sz w:val="24"/>
        </w:rPr>
      </w:pPr>
      <w:r>
        <w:rPr>
          <w:rFonts w:hint="eastAsia"/>
          <w:b/>
          <w:sz w:val="24"/>
        </w:rPr>
        <w:t>地址电话</w:t>
      </w:r>
      <w:r>
        <w:rPr>
          <w:b/>
          <w:sz w:val="24"/>
        </w:rPr>
        <w:t>：</w:t>
      </w:r>
      <w:r>
        <w:rPr>
          <w:rFonts w:hint="eastAsia"/>
          <w:b/>
          <w:sz w:val="24"/>
        </w:rPr>
        <w:t>北京市海淀区苏州街3号509-36、</w:t>
      </w:r>
      <w:r>
        <w:rPr>
          <w:b/>
          <w:sz w:val="24"/>
        </w:rPr>
        <w:t>010-82746952</w:t>
      </w:r>
    </w:p>
    <w:p>
      <w:pPr>
        <w:spacing w:line="360" w:lineRule="atLeast"/>
        <w:ind w:firstLine="424"/>
        <w:rPr>
          <w:rFonts w:ascii="宋体" w:hAnsi="宋体"/>
          <w:b/>
          <w:sz w:val="24"/>
        </w:rPr>
      </w:pPr>
    </w:p>
    <w:p>
      <w:pPr>
        <w:spacing w:line="360" w:lineRule="atLeast"/>
        <w:ind w:firstLine="424"/>
        <w:rPr>
          <w:rFonts w:ascii="宋体" w:hAnsi="宋体"/>
          <w:sz w:val="24"/>
        </w:rPr>
      </w:pPr>
      <w:r>
        <w:rPr>
          <w:rFonts w:hint="eastAsia" w:ascii="宋体" w:hAnsi="宋体"/>
          <w:b/>
          <w:sz w:val="24"/>
        </w:rPr>
        <w:t>授权代表姓名（印刷体）：</w:t>
      </w:r>
    </w:p>
    <w:p>
      <w:pPr>
        <w:spacing w:line="360" w:lineRule="atLeast"/>
        <w:ind w:firstLine="424"/>
        <w:rPr>
          <w:rFonts w:ascii="宋体" w:hAnsi="宋体"/>
          <w:sz w:val="24"/>
        </w:rPr>
      </w:pPr>
      <w:r>
        <w:rPr>
          <w:rFonts w:hint="eastAsia" w:ascii="宋体" w:hAnsi="宋体"/>
          <w:b/>
          <w:sz w:val="24"/>
        </w:rPr>
        <w:t>授权代表签字（手写体）：</w:t>
      </w:r>
    </w:p>
    <w:p>
      <w:pPr>
        <w:spacing w:line="360" w:lineRule="atLeast"/>
        <w:ind w:firstLine="424"/>
        <w:rPr>
          <w:rFonts w:ascii="宋体" w:hAnsi="宋体"/>
          <w:sz w:val="24"/>
        </w:rPr>
      </w:pPr>
      <w:r>
        <w:rPr>
          <w:rFonts w:hint="eastAsia" w:ascii="宋体" w:hAnsi="宋体"/>
          <w:b/>
          <w:sz w:val="24"/>
        </w:rPr>
        <w:t>签字日期：</w:t>
      </w:r>
    </w:p>
    <w:p/>
    <w:sectPr>
      <w:headerReference r:id="rId6" w:type="default"/>
      <w:footerReference r:id="rId7" w:type="default"/>
      <w:pgSz w:w="11907" w:h="16840"/>
      <w:pgMar w:top="1418" w:right="1418" w:bottom="1418" w:left="1418" w:header="851"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7</w:t>
    </w:r>
    <w:r>
      <w:fldChar w:fldCharType="end"/>
    </w:r>
    <w:r>
      <w:rPr>
        <w:rFonts w:hint="eastAsia" w:ascii="仿宋_GB2312"/>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12" w:space="1"/>
      </w:pBdr>
      <w:spacing w:line="240" w:lineRule="auto"/>
      <w:jc w:val="left"/>
      <w:rPr>
        <w:szCs w:val="18"/>
      </w:rPr>
    </w:pPr>
    <w:r>
      <w:rPr>
        <w:szCs w:val="18"/>
      </w:rPr>
      <w:pict>
        <v:shape id="_x0000_s2059" o:spid="_x0000_s2059" o:spt="202" type="#_x0000_t202" style="position:absolute;left:0pt;margin-left:326.35pt;margin-top:-2.9pt;height:27.05pt;width:144pt;z-index:251657216;mso-width-relative:margin;mso-height-relative:margin;" filled="f" stroked="f" coordsize="21600,21600">
          <v:path/>
          <v:fill on="f" focussize="0,0"/>
          <v:stroke on="f" joinstyle="miter"/>
          <v:imagedata o:title=""/>
          <o:lock v:ext="edit"/>
          <v:textbox>
            <w:txbxContent>
              <w:p>
                <w:pPr>
                  <w:rPr>
                    <w:sz w:val="18"/>
                    <w:szCs w:val="18"/>
                  </w:rPr>
                </w:pPr>
              </w:p>
            </w:txbxContent>
          </v:textbox>
        </v:shape>
      </w:pict>
    </w:r>
    <w:r>
      <w:rPr>
        <w:rFonts w:hint="eastAsia" w:ascii="仿宋_GB2312" w:hAnsi="宋体"/>
        <w:szCs w:val="18"/>
      </w:rPr>
      <w:t>产品维保合同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12" w:space="1"/>
      </w:pBdr>
      <w:spacing w:line="240" w:lineRule="auto"/>
      <w:jc w:val="left"/>
      <w:rPr>
        <w:szCs w:val="18"/>
      </w:rPr>
    </w:pPr>
    <w:r>
      <w:rPr>
        <w:szCs w:val="18"/>
      </w:rPr>
      <w:pict>
        <v:shape id="_x0000_s2062" o:spid="_x0000_s2062" o:spt="202" type="#_x0000_t202" style="position:absolute;left:0pt;margin-left:326.35pt;margin-top:-2.9pt;height:27.05pt;width:144pt;z-index:251658240;mso-width-relative:margin;mso-height-relative:margin;" filled="f" stroked="f" coordsize="21600,21600">
          <v:path/>
          <v:fill on="f" focussize="0,0"/>
          <v:stroke on="f" joinstyle="miter"/>
          <v:imagedata o:title=""/>
          <o:lock v:ext="edit"/>
          <v:textbox>
            <w:txbxContent>
              <w:p>
                <w:pPr>
                  <w:rPr>
                    <w:sz w:val="18"/>
                    <w:szCs w:val="18"/>
                  </w:rPr>
                </w:pPr>
              </w:p>
            </w:txbxContent>
          </v:textbox>
        </v:shape>
      </w:pict>
    </w:r>
    <w:r>
      <w:rPr>
        <w:rFonts w:hint="eastAsia" w:ascii="仿宋_GB2312" w:hAnsi="宋体"/>
        <w:szCs w:val="18"/>
      </w:rPr>
      <w:t>产品维保合同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751"/>
    <w:multiLevelType w:val="multilevel"/>
    <w:tmpl w:val="04F14751"/>
    <w:lvl w:ilvl="0" w:tentative="0">
      <w:start w:val="1"/>
      <w:numFmt w:val="bullet"/>
      <w:lvlText w:val=""/>
      <w:lvlJc w:val="left"/>
      <w:pPr>
        <w:ind w:left="1268" w:hanging="420"/>
      </w:pPr>
      <w:rPr>
        <w:rFonts w:hint="default" w:ascii="Wingdings" w:hAnsi="Wingdings"/>
      </w:rPr>
    </w:lvl>
    <w:lvl w:ilvl="1" w:tentative="0">
      <w:start w:val="1"/>
      <w:numFmt w:val="bullet"/>
      <w:lvlText w:val=""/>
      <w:lvlJc w:val="left"/>
      <w:pPr>
        <w:ind w:left="1688" w:hanging="420"/>
      </w:pPr>
      <w:rPr>
        <w:rFonts w:hint="default" w:ascii="Wingdings" w:hAnsi="Wingdings"/>
      </w:rPr>
    </w:lvl>
    <w:lvl w:ilvl="2" w:tentative="0">
      <w:start w:val="1"/>
      <w:numFmt w:val="bullet"/>
      <w:lvlText w:val=""/>
      <w:lvlJc w:val="left"/>
      <w:pPr>
        <w:ind w:left="2108" w:hanging="420"/>
      </w:pPr>
      <w:rPr>
        <w:rFonts w:hint="default" w:ascii="Wingdings" w:hAnsi="Wingdings"/>
      </w:rPr>
    </w:lvl>
    <w:lvl w:ilvl="3" w:tentative="0">
      <w:start w:val="1"/>
      <w:numFmt w:val="bullet"/>
      <w:lvlText w:val=""/>
      <w:lvlJc w:val="left"/>
      <w:pPr>
        <w:ind w:left="2528" w:hanging="420"/>
      </w:pPr>
      <w:rPr>
        <w:rFonts w:hint="default" w:ascii="Wingdings" w:hAnsi="Wingdings"/>
      </w:rPr>
    </w:lvl>
    <w:lvl w:ilvl="4" w:tentative="0">
      <w:start w:val="1"/>
      <w:numFmt w:val="bullet"/>
      <w:lvlText w:val=""/>
      <w:lvlJc w:val="left"/>
      <w:pPr>
        <w:ind w:left="2948" w:hanging="420"/>
      </w:pPr>
      <w:rPr>
        <w:rFonts w:hint="default" w:ascii="Wingdings" w:hAnsi="Wingdings"/>
      </w:rPr>
    </w:lvl>
    <w:lvl w:ilvl="5" w:tentative="0">
      <w:start w:val="1"/>
      <w:numFmt w:val="bullet"/>
      <w:lvlText w:val=""/>
      <w:lvlJc w:val="left"/>
      <w:pPr>
        <w:ind w:left="3368" w:hanging="420"/>
      </w:pPr>
      <w:rPr>
        <w:rFonts w:hint="default" w:ascii="Wingdings" w:hAnsi="Wingdings"/>
      </w:rPr>
    </w:lvl>
    <w:lvl w:ilvl="6" w:tentative="0">
      <w:start w:val="1"/>
      <w:numFmt w:val="bullet"/>
      <w:lvlText w:val=""/>
      <w:lvlJc w:val="left"/>
      <w:pPr>
        <w:ind w:left="3788" w:hanging="420"/>
      </w:pPr>
      <w:rPr>
        <w:rFonts w:hint="default" w:ascii="Wingdings" w:hAnsi="Wingdings"/>
      </w:rPr>
    </w:lvl>
    <w:lvl w:ilvl="7" w:tentative="0">
      <w:start w:val="1"/>
      <w:numFmt w:val="bullet"/>
      <w:lvlText w:val=""/>
      <w:lvlJc w:val="left"/>
      <w:pPr>
        <w:ind w:left="4208" w:hanging="420"/>
      </w:pPr>
      <w:rPr>
        <w:rFonts w:hint="default" w:ascii="Wingdings" w:hAnsi="Wingdings"/>
      </w:rPr>
    </w:lvl>
    <w:lvl w:ilvl="8" w:tentative="0">
      <w:start w:val="1"/>
      <w:numFmt w:val="bullet"/>
      <w:lvlText w:val=""/>
      <w:lvlJc w:val="left"/>
      <w:pPr>
        <w:ind w:left="4628" w:hanging="420"/>
      </w:pPr>
      <w:rPr>
        <w:rFonts w:hint="default" w:ascii="Wingdings" w:hAnsi="Wingdings"/>
      </w:rPr>
    </w:lvl>
  </w:abstractNum>
  <w:abstractNum w:abstractNumId="1">
    <w:nsid w:val="15547542"/>
    <w:multiLevelType w:val="multilevel"/>
    <w:tmpl w:val="15547542"/>
    <w:lvl w:ilvl="0" w:tentative="0">
      <w:start w:val="1"/>
      <w:numFmt w:val="upperLetter"/>
      <w:lvlText w:val="(%1)"/>
      <w:lvlJc w:val="left"/>
      <w:pPr>
        <w:ind w:left="1718" w:hanging="450"/>
      </w:pPr>
      <w:rPr>
        <w:rFonts w:hint="default" w:ascii="Times New Roman" w:hAnsi="Times New Roman" w:cs="Times New Roman"/>
      </w:rPr>
    </w:lvl>
    <w:lvl w:ilvl="1" w:tentative="0">
      <w:start w:val="1"/>
      <w:numFmt w:val="lowerLetter"/>
      <w:lvlText w:val="%2)"/>
      <w:lvlJc w:val="left"/>
      <w:pPr>
        <w:ind w:left="2108" w:hanging="420"/>
      </w:pPr>
    </w:lvl>
    <w:lvl w:ilvl="2" w:tentative="0">
      <w:start w:val="1"/>
      <w:numFmt w:val="lowerRoman"/>
      <w:lvlText w:val="%3."/>
      <w:lvlJc w:val="right"/>
      <w:pPr>
        <w:ind w:left="2528" w:hanging="420"/>
      </w:pPr>
    </w:lvl>
    <w:lvl w:ilvl="3" w:tentative="0">
      <w:start w:val="1"/>
      <w:numFmt w:val="decimal"/>
      <w:lvlText w:val="%4."/>
      <w:lvlJc w:val="left"/>
      <w:pPr>
        <w:ind w:left="2948" w:hanging="420"/>
      </w:pPr>
    </w:lvl>
    <w:lvl w:ilvl="4" w:tentative="0">
      <w:start w:val="1"/>
      <w:numFmt w:val="lowerLetter"/>
      <w:lvlText w:val="%5)"/>
      <w:lvlJc w:val="left"/>
      <w:pPr>
        <w:ind w:left="3368" w:hanging="420"/>
      </w:pPr>
    </w:lvl>
    <w:lvl w:ilvl="5" w:tentative="0">
      <w:start w:val="1"/>
      <w:numFmt w:val="lowerRoman"/>
      <w:lvlText w:val="%6."/>
      <w:lvlJc w:val="right"/>
      <w:pPr>
        <w:ind w:left="3788" w:hanging="420"/>
      </w:pPr>
    </w:lvl>
    <w:lvl w:ilvl="6" w:tentative="0">
      <w:start w:val="1"/>
      <w:numFmt w:val="decimal"/>
      <w:lvlText w:val="%7."/>
      <w:lvlJc w:val="left"/>
      <w:pPr>
        <w:ind w:left="4208" w:hanging="420"/>
      </w:pPr>
    </w:lvl>
    <w:lvl w:ilvl="7" w:tentative="0">
      <w:start w:val="1"/>
      <w:numFmt w:val="lowerLetter"/>
      <w:lvlText w:val="%8)"/>
      <w:lvlJc w:val="left"/>
      <w:pPr>
        <w:ind w:left="4628" w:hanging="420"/>
      </w:pPr>
    </w:lvl>
    <w:lvl w:ilvl="8" w:tentative="0">
      <w:start w:val="1"/>
      <w:numFmt w:val="lowerRoman"/>
      <w:lvlText w:val="%9."/>
      <w:lvlJc w:val="right"/>
      <w:pPr>
        <w:ind w:left="5048" w:hanging="420"/>
      </w:pPr>
    </w:lvl>
  </w:abstractNum>
  <w:abstractNum w:abstractNumId="2">
    <w:nsid w:val="1B7E5C89"/>
    <w:multiLevelType w:val="multilevel"/>
    <w:tmpl w:val="1B7E5C89"/>
    <w:lvl w:ilvl="0" w:tentative="0">
      <w:start w:val="1"/>
      <w:numFmt w:val="bullet"/>
      <w:pStyle w:val="48"/>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3">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4">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5.%2"/>
      <w:lvlJc w:val="left"/>
      <w:pPr>
        <w:tabs>
          <w:tab w:val="left" w:pos="1035"/>
        </w:tabs>
        <w:ind w:left="1035" w:hanging="720"/>
      </w:pPr>
      <w:rPr>
        <w:rFonts w:hint="default" w:ascii="Times New Roman" w:hAnsi="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5">
    <w:nsid w:val="67C829EF"/>
    <w:multiLevelType w:val="multilevel"/>
    <w:tmpl w:val="67C829EF"/>
    <w:lvl w:ilvl="0" w:tentative="0">
      <w:start w:val="1"/>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F0838FD"/>
    <w:multiLevelType w:val="multilevel"/>
    <w:tmpl w:val="7F0838FD"/>
    <w:lvl w:ilvl="0" w:tentative="0">
      <w:start w:val="1"/>
      <w:numFmt w:val="chineseCountingThousand"/>
      <w:pStyle w:val="55"/>
      <w:lvlText w:val="第%1章"/>
      <w:lvlJc w:val="left"/>
      <w:pPr>
        <w:tabs>
          <w:tab w:val="left" w:pos="1156"/>
        </w:tabs>
        <w:ind w:left="1156" w:hanging="1701"/>
      </w:pPr>
      <w:rPr>
        <w:rFonts w:hint="eastAsia"/>
        <w:b/>
        <w:i w:val="0"/>
        <w:color w:val="FF0000"/>
        <w:sz w:val="32"/>
      </w:rPr>
    </w:lvl>
    <w:lvl w:ilvl="1" w:tentative="0">
      <w:start w:val="1"/>
      <w:numFmt w:val="lowerLetter"/>
      <w:lvlText w:val="%2)"/>
      <w:lvlJc w:val="left"/>
      <w:pPr>
        <w:tabs>
          <w:tab w:val="left" w:pos="295"/>
        </w:tabs>
        <w:ind w:left="295" w:hanging="420"/>
      </w:pPr>
      <w:rPr>
        <w:rFonts w:hint="eastAsia"/>
      </w:rPr>
    </w:lvl>
    <w:lvl w:ilvl="2" w:tentative="0">
      <w:start w:val="1"/>
      <w:numFmt w:val="lowerRoman"/>
      <w:lvlText w:val="%3."/>
      <w:lvlJc w:val="right"/>
      <w:pPr>
        <w:tabs>
          <w:tab w:val="left" w:pos="715"/>
        </w:tabs>
        <w:ind w:left="715" w:hanging="420"/>
      </w:pPr>
      <w:rPr>
        <w:rFonts w:hint="eastAsia"/>
      </w:rPr>
    </w:lvl>
    <w:lvl w:ilvl="3" w:tentative="0">
      <w:start w:val="1"/>
      <w:numFmt w:val="decimal"/>
      <w:lvlText w:val="%4."/>
      <w:lvlJc w:val="left"/>
      <w:pPr>
        <w:tabs>
          <w:tab w:val="left" w:pos="1135"/>
        </w:tabs>
        <w:ind w:left="1135" w:hanging="420"/>
      </w:pPr>
      <w:rPr>
        <w:rFonts w:hint="eastAsia"/>
      </w:rPr>
    </w:lvl>
    <w:lvl w:ilvl="4" w:tentative="0">
      <w:start w:val="1"/>
      <w:numFmt w:val="lowerLetter"/>
      <w:lvlText w:val="%5)"/>
      <w:lvlJc w:val="left"/>
      <w:pPr>
        <w:tabs>
          <w:tab w:val="left" w:pos="1555"/>
        </w:tabs>
        <w:ind w:left="1555" w:hanging="420"/>
      </w:pPr>
      <w:rPr>
        <w:rFonts w:hint="eastAsia"/>
      </w:rPr>
    </w:lvl>
    <w:lvl w:ilvl="5" w:tentative="0">
      <w:start w:val="1"/>
      <w:numFmt w:val="lowerRoman"/>
      <w:lvlText w:val="%6."/>
      <w:lvlJc w:val="right"/>
      <w:pPr>
        <w:tabs>
          <w:tab w:val="left" w:pos="1975"/>
        </w:tabs>
        <w:ind w:left="1975" w:hanging="420"/>
      </w:pPr>
      <w:rPr>
        <w:rFonts w:hint="eastAsia"/>
      </w:rPr>
    </w:lvl>
    <w:lvl w:ilvl="6" w:tentative="0">
      <w:start w:val="1"/>
      <w:numFmt w:val="decimal"/>
      <w:lvlText w:val="%7."/>
      <w:lvlJc w:val="left"/>
      <w:pPr>
        <w:tabs>
          <w:tab w:val="left" w:pos="2395"/>
        </w:tabs>
        <w:ind w:left="2395" w:hanging="420"/>
      </w:pPr>
      <w:rPr>
        <w:rFonts w:hint="eastAsia"/>
      </w:rPr>
    </w:lvl>
    <w:lvl w:ilvl="7" w:tentative="0">
      <w:start w:val="1"/>
      <w:numFmt w:val="lowerLetter"/>
      <w:lvlText w:val="%8)"/>
      <w:lvlJc w:val="left"/>
      <w:pPr>
        <w:tabs>
          <w:tab w:val="left" w:pos="2815"/>
        </w:tabs>
        <w:ind w:left="2815" w:hanging="420"/>
      </w:pPr>
      <w:rPr>
        <w:rFonts w:hint="eastAsia"/>
      </w:rPr>
    </w:lvl>
    <w:lvl w:ilvl="8" w:tentative="0">
      <w:start w:val="1"/>
      <w:numFmt w:val="lowerRoman"/>
      <w:lvlText w:val="%9."/>
      <w:lvlJc w:val="right"/>
      <w:pPr>
        <w:tabs>
          <w:tab w:val="left" w:pos="3235"/>
        </w:tabs>
        <w:ind w:left="3235" w:hanging="420"/>
      </w:pPr>
      <w:rPr>
        <w:rFonts w:hint="eastAsia"/>
      </w:r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033ED5"/>
    <w:rsid w:val="000008DF"/>
    <w:rsid w:val="00005AB5"/>
    <w:rsid w:val="00005BDF"/>
    <w:rsid w:val="00006651"/>
    <w:rsid w:val="000069D3"/>
    <w:rsid w:val="00007547"/>
    <w:rsid w:val="00007F91"/>
    <w:rsid w:val="000122FF"/>
    <w:rsid w:val="00013B85"/>
    <w:rsid w:val="00013F91"/>
    <w:rsid w:val="000147D1"/>
    <w:rsid w:val="00015683"/>
    <w:rsid w:val="00015B3E"/>
    <w:rsid w:val="000172AA"/>
    <w:rsid w:val="00020742"/>
    <w:rsid w:val="00022E5E"/>
    <w:rsid w:val="000235FF"/>
    <w:rsid w:val="00023AE6"/>
    <w:rsid w:val="000265EE"/>
    <w:rsid w:val="00026F11"/>
    <w:rsid w:val="000329CA"/>
    <w:rsid w:val="00032B01"/>
    <w:rsid w:val="00033718"/>
    <w:rsid w:val="00033ED5"/>
    <w:rsid w:val="00037AF6"/>
    <w:rsid w:val="00041AE5"/>
    <w:rsid w:val="00042A6B"/>
    <w:rsid w:val="00043040"/>
    <w:rsid w:val="00054379"/>
    <w:rsid w:val="00054CCC"/>
    <w:rsid w:val="00055385"/>
    <w:rsid w:val="00055990"/>
    <w:rsid w:val="0006490E"/>
    <w:rsid w:val="00066598"/>
    <w:rsid w:val="000670E4"/>
    <w:rsid w:val="00071F9A"/>
    <w:rsid w:val="00073045"/>
    <w:rsid w:val="00073FEE"/>
    <w:rsid w:val="00076A0A"/>
    <w:rsid w:val="00077A21"/>
    <w:rsid w:val="00083319"/>
    <w:rsid w:val="00085495"/>
    <w:rsid w:val="00086D87"/>
    <w:rsid w:val="00090D7C"/>
    <w:rsid w:val="00092654"/>
    <w:rsid w:val="00092E6F"/>
    <w:rsid w:val="00095AD7"/>
    <w:rsid w:val="000A0A29"/>
    <w:rsid w:val="000A1AD4"/>
    <w:rsid w:val="000A1E83"/>
    <w:rsid w:val="000A2D50"/>
    <w:rsid w:val="000A4BD2"/>
    <w:rsid w:val="000A59FB"/>
    <w:rsid w:val="000B0BA7"/>
    <w:rsid w:val="000C1AB7"/>
    <w:rsid w:val="000C22C0"/>
    <w:rsid w:val="000C2F54"/>
    <w:rsid w:val="000C3ECF"/>
    <w:rsid w:val="000C6D60"/>
    <w:rsid w:val="000C7691"/>
    <w:rsid w:val="000E0AA8"/>
    <w:rsid w:val="000F1411"/>
    <w:rsid w:val="000F3D32"/>
    <w:rsid w:val="000F4D5A"/>
    <w:rsid w:val="00104667"/>
    <w:rsid w:val="00113510"/>
    <w:rsid w:val="00113D20"/>
    <w:rsid w:val="001145F6"/>
    <w:rsid w:val="00114864"/>
    <w:rsid w:val="00114EBA"/>
    <w:rsid w:val="00116FB0"/>
    <w:rsid w:val="00120965"/>
    <w:rsid w:val="00120CEE"/>
    <w:rsid w:val="00121534"/>
    <w:rsid w:val="001261BC"/>
    <w:rsid w:val="0012789A"/>
    <w:rsid w:val="00130B9D"/>
    <w:rsid w:val="0013529D"/>
    <w:rsid w:val="00137BDF"/>
    <w:rsid w:val="0014431E"/>
    <w:rsid w:val="00144FA8"/>
    <w:rsid w:val="00150345"/>
    <w:rsid w:val="00153273"/>
    <w:rsid w:val="00153E59"/>
    <w:rsid w:val="0016666E"/>
    <w:rsid w:val="0017419D"/>
    <w:rsid w:val="0017722E"/>
    <w:rsid w:val="00177FE0"/>
    <w:rsid w:val="00184EBD"/>
    <w:rsid w:val="001910EA"/>
    <w:rsid w:val="00191C8D"/>
    <w:rsid w:val="00197390"/>
    <w:rsid w:val="001A146A"/>
    <w:rsid w:val="001A33A3"/>
    <w:rsid w:val="001B1CBD"/>
    <w:rsid w:val="001B63CB"/>
    <w:rsid w:val="001C17EC"/>
    <w:rsid w:val="001D19FF"/>
    <w:rsid w:val="001E2669"/>
    <w:rsid w:val="001E4C77"/>
    <w:rsid w:val="001F0C51"/>
    <w:rsid w:val="001F2EBC"/>
    <w:rsid w:val="0020264C"/>
    <w:rsid w:val="00203150"/>
    <w:rsid w:val="00211040"/>
    <w:rsid w:val="0021194B"/>
    <w:rsid w:val="00213694"/>
    <w:rsid w:val="00221926"/>
    <w:rsid w:val="0022255D"/>
    <w:rsid w:val="00241C90"/>
    <w:rsid w:val="0024436B"/>
    <w:rsid w:val="0025411A"/>
    <w:rsid w:val="00255E1C"/>
    <w:rsid w:val="00256B86"/>
    <w:rsid w:val="00257254"/>
    <w:rsid w:val="002678FB"/>
    <w:rsid w:val="00274174"/>
    <w:rsid w:val="0027459B"/>
    <w:rsid w:val="00276047"/>
    <w:rsid w:val="0027608B"/>
    <w:rsid w:val="00277467"/>
    <w:rsid w:val="00282CA0"/>
    <w:rsid w:val="0028340B"/>
    <w:rsid w:val="00292B57"/>
    <w:rsid w:val="002A2862"/>
    <w:rsid w:val="002A2938"/>
    <w:rsid w:val="002A30BA"/>
    <w:rsid w:val="002A500A"/>
    <w:rsid w:val="002B1C0E"/>
    <w:rsid w:val="002B2C82"/>
    <w:rsid w:val="002B5CEB"/>
    <w:rsid w:val="002B5FB6"/>
    <w:rsid w:val="002C1C5A"/>
    <w:rsid w:val="002C3F32"/>
    <w:rsid w:val="002C47E7"/>
    <w:rsid w:val="002C4949"/>
    <w:rsid w:val="002D00D9"/>
    <w:rsid w:val="002D7B7B"/>
    <w:rsid w:val="002E7E3B"/>
    <w:rsid w:val="002F1ABD"/>
    <w:rsid w:val="002F1F20"/>
    <w:rsid w:val="002F4C4E"/>
    <w:rsid w:val="002F6762"/>
    <w:rsid w:val="00306454"/>
    <w:rsid w:val="00306B63"/>
    <w:rsid w:val="00307799"/>
    <w:rsid w:val="003079C5"/>
    <w:rsid w:val="003122F1"/>
    <w:rsid w:val="00312323"/>
    <w:rsid w:val="00313643"/>
    <w:rsid w:val="003202C1"/>
    <w:rsid w:val="003217E8"/>
    <w:rsid w:val="00322080"/>
    <w:rsid w:val="0032492E"/>
    <w:rsid w:val="00324D03"/>
    <w:rsid w:val="0032584E"/>
    <w:rsid w:val="0032589C"/>
    <w:rsid w:val="003263CC"/>
    <w:rsid w:val="00331A02"/>
    <w:rsid w:val="003338FC"/>
    <w:rsid w:val="00334CD9"/>
    <w:rsid w:val="00341385"/>
    <w:rsid w:val="003419CB"/>
    <w:rsid w:val="00341D5A"/>
    <w:rsid w:val="0034306A"/>
    <w:rsid w:val="00345908"/>
    <w:rsid w:val="003505F7"/>
    <w:rsid w:val="003576E0"/>
    <w:rsid w:val="00357FC0"/>
    <w:rsid w:val="00367920"/>
    <w:rsid w:val="00375F8A"/>
    <w:rsid w:val="0037684C"/>
    <w:rsid w:val="0038071C"/>
    <w:rsid w:val="003860FD"/>
    <w:rsid w:val="00392A6D"/>
    <w:rsid w:val="0039343C"/>
    <w:rsid w:val="003934F2"/>
    <w:rsid w:val="003A3060"/>
    <w:rsid w:val="003A61DC"/>
    <w:rsid w:val="003A6436"/>
    <w:rsid w:val="003B0248"/>
    <w:rsid w:val="003B3219"/>
    <w:rsid w:val="003B41C5"/>
    <w:rsid w:val="003B753D"/>
    <w:rsid w:val="003B79B3"/>
    <w:rsid w:val="003D04DC"/>
    <w:rsid w:val="003D06C0"/>
    <w:rsid w:val="003D0EBC"/>
    <w:rsid w:val="003D23A6"/>
    <w:rsid w:val="003D3BA9"/>
    <w:rsid w:val="003E0C6E"/>
    <w:rsid w:val="003E1C0A"/>
    <w:rsid w:val="003E67C5"/>
    <w:rsid w:val="004007DD"/>
    <w:rsid w:val="0040139C"/>
    <w:rsid w:val="0040618A"/>
    <w:rsid w:val="00407EB6"/>
    <w:rsid w:val="00410EBA"/>
    <w:rsid w:val="00413D11"/>
    <w:rsid w:val="0042341B"/>
    <w:rsid w:val="00423D35"/>
    <w:rsid w:val="004251EE"/>
    <w:rsid w:val="004262AF"/>
    <w:rsid w:val="0042780C"/>
    <w:rsid w:val="00427A7B"/>
    <w:rsid w:val="00430374"/>
    <w:rsid w:val="00430A03"/>
    <w:rsid w:val="004311C1"/>
    <w:rsid w:val="004312AC"/>
    <w:rsid w:val="0044078B"/>
    <w:rsid w:val="00446DD1"/>
    <w:rsid w:val="00462039"/>
    <w:rsid w:val="004630C3"/>
    <w:rsid w:val="0047335A"/>
    <w:rsid w:val="0047347D"/>
    <w:rsid w:val="004759EC"/>
    <w:rsid w:val="00475AFE"/>
    <w:rsid w:val="004810B2"/>
    <w:rsid w:val="0048632B"/>
    <w:rsid w:val="00493513"/>
    <w:rsid w:val="004A12BC"/>
    <w:rsid w:val="004A2830"/>
    <w:rsid w:val="004A499B"/>
    <w:rsid w:val="004A736F"/>
    <w:rsid w:val="004A7CC3"/>
    <w:rsid w:val="004B1B9D"/>
    <w:rsid w:val="004B3176"/>
    <w:rsid w:val="004C1D16"/>
    <w:rsid w:val="004C3BC6"/>
    <w:rsid w:val="004C7FA7"/>
    <w:rsid w:val="004D20CE"/>
    <w:rsid w:val="004D516F"/>
    <w:rsid w:val="004D535F"/>
    <w:rsid w:val="004D5609"/>
    <w:rsid w:val="004D6443"/>
    <w:rsid w:val="004E0A34"/>
    <w:rsid w:val="004E48AF"/>
    <w:rsid w:val="004E5687"/>
    <w:rsid w:val="004F1496"/>
    <w:rsid w:val="004F236B"/>
    <w:rsid w:val="004F453A"/>
    <w:rsid w:val="004F5B58"/>
    <w:rsid w:val="004F5D2C"/>
    <w:rsid w:val="004F6552"/>
    <w:rsid w:val="00503F96"/>
    <w:rsid w:val="00510860"/>
    <w:rsid w:val="00514B2A"/>
    <w:rsid w:val="00514B8C"/>
    <w:rsid w:val="00515BF5"/>
    <w:rsid w:val="00516478"/>
    <w:rsid w:val="00521053"/>
    <w:rsid w:val="00522B41"/>
    <w:rsid w:val="00523F4C"/>
    <w:rsid w:val="005250B6"/>
    <w:rsid w:val="005265FD"/>
    <w:rsid w:val="005329D4"/>
    <w:rsid w:val="00535C4B"/>
    <w:rsid w:val="00536B3C"/>
    <w:rsid w:val="00543FE7"/>
    <w:rsid w:val="00554175"/>
    <w:rsid w:val="00561024"/>
    <w:rsid w:val="00561B2E"/>
    <w:rsid w:val="0056342F"/>
    <w:rsid w:val="0056380B"/>
    <w:rsid w:val="00570A7F"/>
    <w:rsid w:val="005714BB"/>
    <w:rsid w:val="00572977"/>
    <w:rsid w:val="00574A28"/>
    <w:rsid w:val="00574D1E"/>
    <w:rsid w:val="00574FAD"/>
    <w:rsid w:val="0057597F"/>
    <w:rsid w:val="00576EB0"/>
    <w:rsid w:val="005800A8"/>
    <w:rsid w:val="005827A1"/>
    <w:rsid w:val="00591831"/>
    <w:rsid w:val="00593F0D"/>
    <w:rsid w:val="00595B84"/>
    <w:rsid w:val="005A0EE9"/>
    <w:rsid w:val="005A27DA"/>
    <w:rsid w:val="005A5973"/>
    <w:rsid w:val="005B6862"/>
    <w:rsid w:val="005C0515"/>
    <w:rsid w:val="005C587E"/>
    <w:rsid w:val="005D01EE"/>
    <w:rsid w:val="005D0D0B"/>
    <w:rsid w:val="005D48E6"/>
    <w:rsid w:val="005E0E4D"/>
    <w:rsid w:val="005E3434"/>
    <w:rsid w:val="005E3C06"/>
    <w:rsid w:val="005E7623"/>
    <w:rsid w:val="005F3B9A"/>
    <w:rsid w:val="00607F59"/>
    <w:rsid w:val="00614BD7"/>
    <w:rsid w:val="00614F08"/>
    <w:rsid w:val="0062275A"/>
    <w:rsid w:val="00625E1D"/>
    <w:rsid w:val="00626C37"/>
    <w:rsid w:val="00633061"/>
    <w:rsid w:val="00633B26"/>
    <w:rsid w:val="00634323"/>
    <w:rsid w:val="006365A6"/>
    <w:rsid w:val="006400C8"/>
    <w:rsid w:val="00641869"/>
    <w:rsid w:val="00641B28"/>
    <w:rsid w:val="00642FEF"/>
    <w:rsid w:val="00645371"/>
    <w:rsid w:val="0064701D"/>
    <w:rsid w:val="00650A3D"/>
    <w:rsid w:val="006522C0"/>
    <w:rsid w:val="00657628"/>
    <w:rsid w:val="006645A5"/>
    <w:rsid w:val="00666F3E"/>
    <w:rsid w:val="00667726"/>
    <w:rsid w:val="00673201"/>
    <w:rsid w:val="00674A51"/>
    <w:rsid w:val="00675AF9"/>
    <w:rsid w:val="0067650B"/>
    <w:rsid w:val="00677326"/>
    <w:rsid w:val="00680BA5"/>
    <w:rsid w:val="00681B06"/>
    <w:rsid w:val="00683D6D"/>
    <w:rsid w:val="006928B3"/>
    <w:rsid w:val="00692FAF"/>
    <w:rsid w:val="00694469"/>
    <w:rsid w:val="00697032"/>
    <w:rsid w:val="006A02D6"/>
    <w:rsid w:val="006A1490"/>
    <w:rsid w:val="006A35B4"/>
    <w:rsid w:val="006A398F"/>
    <w:rsid w:val="006B2EB7"/>
    <w:rsid w:val="006B6AA3"/>
    <w:rsid w:val="006C015C"/>
    <w:rsid w:val="006C057F"/>
    <w:rsid w:val="006C1C55"/>
    <w:rsid w:val="006C39FB"/>
    <w:rsid w:val="006C5E66"/>
    <w:rsid w:val="006D0D1C"/>
    <w:rsid w:val="006D3EDC"/>
    <w:rsid w:val="006D6AD9"/>
    <w:rsid w:val="006D6E9A"/>
    <w:rsid w:val="006D736D"/>
    <w:rsid w:val="006D7806"/>
    <w:rsid w:val="006E4FC8"/>
    <w:rsid w:val="006F0DF9"/>
    <w:rsid w:val="006F5B54"/>
    <w:rsid w:val="006F7D85"/>
    <w:rsid w:val="00705956"/>
    <w:rsid w:val="00705DEC"/>
    <w:rsid w:val="0071319C"/>
    <w:rsid w:val="00717E15"/>
    <w:rsid w:val="00721595"/>
    <w:rsid w:val="00721897"/>
    <w:rsid w:val="00722753"/>
    <w:rsid w:val="00724455"/>
    <w:rsid w:val="00724FAD"/>
    <w:rsid w:val="00731330"/>
    <w:rsid w:val="007315D1"/>
    <w:rsid w:val="00743370"/>
    <w:rsid w:val="00745172"/>
    <w:rsid w:val="0075030C"/>
    <w:rsid w:val="0075632C"/>
    <w:rsid w:val="0076645D"/>
    <w:rsid w:val="007667EC"/>
    <w:rsid w:val="00767011"/>
    <w:rsid w:val="00771234"/>
    <w:rsid w:val="00777929"/>
    <w:rsid w:val="00781C7D"/>
    <w:rsid w:val="0078660F"/>
    <w:rsid w:val="00786F10"/>
    <w:rsid w:val="0079001F"/>
    <w:rsid w:val="0079223E"/>
    <w:rsid w:val="007930C1"/>
    <w:rsid w:val="0079710D"/>
    <w:rsid w:val="007A1FFA"/>
    <w:rsid w:val="007A329D"/>
    <w:rsid w:val="007A51D7"/>
    <w:rsid w:val="007A5404"/>
    <w:rsid w:val="007B2AFE"/>
    <w:rsid w:val="007C140C"/>
    <w:rsid w:val="007C23FC"/>
    <w:rsid w:val="007C3E98"/>
    <w:rsid w:val="007C5331"/>
    <w:rsid w:val="007D1C1B"/>
    <w:rsid w:val="007D219C"/>
    <w:rsid w:val="007D5693"/>
    <w:rsid w:val="007E1CB1"/>
    <w:rsid w:val="007F4835"/>
    <w:rsid w:val="007F5A81"/>
    <w:rsid w:val="007F788F"/>
    <w:rsid w:val="008009E6"/>
    <w:rsid w:val="008046C9"/>
    <w:rsid w:val="00805292"/>
    <w:rsid w:val="00806224"/>
    <w:rsid w:val="0081266E"/>
    <w:rsid w:val="00813DE3"/>
    <w:rsid w:val="00814A76"/>
    <w:rsid w:val="0082471C"/>
    <w:rsid w:val="0082584C"/>
    <w:rsid w:val="00830497"/>
    <w:rsid w:val="008346A2"/>
    <w:rsid w:val="00835B96"/>
    <w:rsid w:val="00841D2E"/>
    <w:rsid w:val="00843CB2"/>
    <w:rsid w:val="00847264"/>
    <w:rsid w:val="008501A1"/>
    <w:rsid w:val="008625E7"/>
    <w:rsid w:val="00865FBD"/>
    <w:rsid w:val="0086763E"/>
    <w:rsid w:val="00867E55"/>
    <w:rsid w:val="00873386"/>
    <w:rsid w:val="00883999"/>
    <w:rsid w:val="00884411"/>
    <w:rsid w:val="00884AAC"/>
    <w:rsid w:val="00886F1E"/>
    <w:rsid w:val="008919EF"/>
    <w:rsid w:val="00893325"/>
    <w:rsid w:val="00893501"/>
    <w:rsid w:val="008949EA"/>
    <w:rsid w:val="00895E8D"/>
    <w:rsid w:val="008A42CA"/>
    <w:rsid w:val="008A56CD"/>
    <w:rsid w:val="008A6A82"/>
    <w:rsid w:val="008B005E"/>
    <w:rsid w:val="008B1866"/>
    <w:rsid w:val="008B1C37"/>
    <w:rsid w:val="008B361A"/>
    <w:rsid w:val="008B67FE"/>
    <w:rsid w:val="008C3A3A"/>
    <w:rsid w:val="008C5935"/>
    <w:rsid w:val="008C73AD"/>
    <w:rsid w:val="008D3883"/>
    <w:rsid w:val="008D75E4"/>
    <w:rsid w:val="008D7EB8"/>
    <w:rsid w:val="008E04CD"/>
    <w:rsid w:val="008F19D6"/>
    <w:rsid w:val="00900592"/>
    <w:rsid w:val="0090405E"/>
    <w:rsid w:val="0091249D"/>
    <w:rsid w:val="00913A2C"/>
    <w:rsid w:val="00915318"/>
    <w:rsid w:val="00922281"/>
    <w:rsid w:val="00925CF0"/>
    <w:rsid w:val="00926F35"/>
    <w:rsid w:val="009274DC"/>
    <w:rsid w:val="00927BF9"/>
    <w:rsid w:val="009321ED"/>
    <w:rsid w:val="00933833"/>
    <w:rsid w:val="00934B7B"/>
    <w:rsid w:val="00935A1C"/>
    <w:rsid w:val="00940B5A"/>
    <w:rsid w:val="009449F8"/>
    <w:rsid w:val="00963F4B"/>
    <w:rsid w:val="00967614"/>
    <w:rsid w:val="00970248"/>
    <w:rsid w:val="00975A89"/>
    <w:rsid w:val="0097648F"/>
    <w:rsid w:val="0098264A"/>
    <w:rsid w:val="00984E6B"/>
    <w:rsid w:val="00985FB4"/>
    <w:rsid w:val="00993E89"/>
    <w:rsid w:val="00994F15"/>
    <w:rsid w:val="009A11EE"/>
    <w:rsid w:val="009A4362"/>
    <w:rsid w:val="009A4950"/>
    <w:rsid w:val="009A56A0"/>
    <w:rsid w:val="009A6F8F"/>
    <w:rsid w:val="009C22F5"/>
    <w:rsid w:val="009C2D1F"/>
    <w:rsid w:val="009C5EF4"/>
    <w:rsid w:val="009D297D"/>
    <w:rsid w:val="009D73FF"/>
    <w:rsid w:val="009D7FFA"/>
    <w:rsid w:val="009E06EC"/>
    <w:rsid w:val="009E2F50"/>
    <w:rsid w:val="009E355A"/>
    <w:rsid w:val="009E61BE"/>
    <w:rsid w:val="009E75C5"/>
    <w:rsid w:val="009F0EEB"/>
    <w:rsid w:val="009F36E9"/>
    <w:rsid w:val="00A02628"/>
    <w:rsid w:val="00A028FB"/>
    <w:rsid w:val="00A06921"/>
    <w:rsid w:val="00A11F6A"/>
    <w:rsid w:val="00A12750"/>
    <w:rsid w:val="00A226C0"/>
    <w:rsid w:val="00A22A2D"/>
    <w:rsid w:val="00A24B27"/>
    <w:rsid w:val="00A35B9B"/>
    <w:rsid w:val="00A36525"/>
    <w:rsid w:val="00A429A1"/>
    <w:rsid w:val="00A43461"/>
    <w:rsid w:val="00A557AE"/>
    <w:rsid w:val="00A55AB4"/>
    <w:rsid w:val="00A5708E"/>
    <w:rsid w:val="00A63B40"/>
    <w:rsid w:val="00A671CB"/>
    <w:rsid w:val="00A67282"/>
    <w:rsid w:val="00A6770C"/>
    <w:rsid w:val="00A70F98"/>
    <w:rsid w:val="00A7384D"/>
    <w:rsid w:val="00A741A1"/>
    <w:rsid w:val="00A76AEF"/>
    <w:rsid w:val="00A77DE6"/>
    <w:rsid w:val="00A8011B"/>
    <w:rsid w:val="00A81EA8"/>
    <w:rsid w:val="00A8275C"/>
    <w:rsid w:val="00A83821"/>
    <w:rsid w:val="00A85027"/>
    <w:rsid w:val="00A86465"/>
    <w:rsid w:val="00A93F44"/>
    <w:rsid w:val="00A96A8A"/>
    <w:rsid w:val="00AA0981"/>
    <w:rsid w:val="00AA0D42"/>
    <w:rsid w:val="00AA1D6F"/>
    <w:rsid w:val="00AA3A86"/>
    <w:rsid w:val="00AA4EED"/>
    <w:rsid w:val="00AA58CD"/>
    <w:rsid w:val="00AA74CC"/>
    <w:rsid w:val="00AA7772"/>
    <w:rsid w:val="00AB14C7"/>
    <w:rsid w:val="00AB4338"/>
    <w:rsid w:val="00AB441B"/>
    <w:rsid w:val="00AB505C"/>
    <w:rsid w:val="00AB6527"/>
    <w:rsid w:val="00AC0C14"/>
    <w:rsid w:val="00AC348E"/>
    <w:rsid w:val="00AC4DC8"/>
    <w:rsid w:val="00AD0FC7"/>
    <w:rsid w:val="00AD1D9C"/>
    <w:rsid w:val="00AD641F"/>
    <w:rsid w:val="00AE064B"/>
    <w:rsid w:val="00AE5876"/>
    <w:rsid w:val="00AE65B9"/>
    <w:rsid w:val="00AF54F4"/>
    <w:rsid w:val="00B008C3"/>
    <w:rsid w:val="00B01526"/>
    <w:rsid w:val="00B20B65"/>
    <w:rsid w:val="00B22A81"/>
    <w:rsid w:val="00B25C1B"/>
    <w:rsid w:val="00B30251"/>
    <w:rsid w:val="00B43E4A"/>
    <w:rsid w:val="00B46C11"/>
    <w:rsid w:val="00B5002D"/>
    <w:rsid w:val="00B539A4"/>
    <w:rsid w:val="00B54C42"/>
    <w:rsid w:val="00B54C6E"/>
    <w:rsid w:val="00B6287D"/>
    <w:rsid w:val="00B67B40"/>
    <w:rsid w:val="00B67F86"/>
    <w:rsid w:val="00B70F66"/>
    <w:rsid w:val="00B71696"/>
    <w:rsid w:val="00B73824"/>
    <w:rsid w:val="00B75F9C"/>
    <w:rsid w:val="00B76BB3"/>
    <w:rsid w:val="00B76DB7"/>
    <w:rsid w:val="00B77AA5"/>
    <w:rsid w:val="00B80691"/>
    <w:rsid w:val="00B84166"/>
    <w:rsid w:val="00B85D23"/>
    <w:rsid w:val="00B93F26"/>
    <w:rsid w:val="00BA03D6"/>
    <w:rsid w:val="00BA15EB"/>
    <w:rsid w:val="00BA1823"/>
    <w:rsid w:val="00BA326F"/>
    <w:rsid w:val="00BA4F97"/>
    <w:rsid w:val="00BA5454"/>
    <w:rsid w:val="00BB406B"/>
    <w:rsid w:val="00BB4A1E"/>
    <w:rsid w:val="00BC140D"/>
    <w:rsid w:val="00BC18D0"/>
    <w:rsid w:val="00BC2819"/>
    <w:rsid w:val="00BC6927"/>
    <w:rsid w:val="00BC7457"/>
    <w:rsid w:val="00BD7716"/>
    <w:rsid w:val="00BD7E8F"/>
    <w:rsid w:val="00BE0AC4"/>
    <w:rsid w:val="00BE5767"/>
    <w:rsid w:val="00BE6172"/>
    <w:rsid w:val="00BF718E"/>
    <w:rsid w:val="00C006C4"/>
    <w:rsid w:val="00C04D94"/>
    <w:rsid w:val="00C11CA7"/>
    <w:rsid w:val="00C1439E"/>
    <w:rsid w:val="00C16AE7"/>
    <w:rsid w:val="00C2114E"/>
    <w:rsid w:val="00C2203B"/>
    <w:rsid w:val="00C259CF"/>
    <w:rsid w:val="00C260EB"/>
    <w:rsid w:val="00C3120F"/>
    <w:rsid w:val="00C32558"/>
    <w:rsid w:val="00C37081"/>
    <w:rsid w:val="00C371FF"/>
    <w:rsid w:val="00C3721C"/>
    <w:rsid w:val="00C37CEE"/>
    <w:rsid w:val="00C400E5"/>
    <w:rsid w:val="00C4078D"/>
    <w:rsid w:val="00C41A4E"/>
    <w:rsid w:val="00C612B8"/>
    <w:rsid w:val="00C6634E"/>
    <w:rsid w:val="00C66CA8"/>
    <w:rsid w:val="00C67E46"/>
    <w:rsid w:val="00C73550"/>
    <w:rsid w:val="00C74D8E"/>
    <w:rsid w:val="00C77EED"/>
    <w:rsid w:val="00C81AD6"/>
    <w:rsid w:val="00C81ED6"/>
    <w:rsid w:val="00C968AD"/>
    <w:rsid w:val="00CA47DE"/>
    <w:rsid w:val="00CA604F"/>
    <w:rsid w:val="00CA66C4"/>
    <w:rsid w:val="00CB060E"/>
    <w:rsid w:val="00CB7B4D"/>
    <w:rsid w:val="00CC025C"/>
    <w:rsid w:val="00CC03DD"/>
    <w:rsid w:val="00CC5110"/>
    <w:rsid w:val="00CD1CE8"/>
    <w:rsid w:val="00CD636E"/>
    <w:rsid w:val="00CE35F9"/>
    <w:rsid w:val="00CF7530"/>
    <w:rsid w:val="00D015DC"/>
    <w:rsid w:val="00D041E1"/>
    <w:rsid w:val="00D07BE1"/>
    <w:rsid w:val="00D14654"/>
    <w:rsid w:val="00D20F8C"/>
    <w:rsid w:val="00D21CA8"/>
    <w:rsid w:val="00D25758"/>
    <w:rsid w:val="00D26444"/>
    <w:rsid w:val="00D27B69"/>
    <w:rsid w:val="00D30FD9"/>
    <w:rsid w:val="00D3383E"/>
    <w:rsid w:val="00D34A8F"/>
    <w:rsid w:val="00D35886"/>
    <w:rsid w:val="00D411C7"/>
    <w:rsid w:val="00D44A6E"/>
    <w:rsid w:val="00D4615E"/>
    <w:rsid w:val="00D501AC"/>
    <w:rsid w:val="00D512D9"/>
    <w:rsid w:val="00D52413"/>
    <w:rsid w:val="00D54786"/>
    <w:rsid w:val="00D5573B"/>
    <w:rsid w:val="00D55F25"/>
    <w:rsid w:val="00D56314"/>
    <w:rsid w:val="00D57049"/>
    <w:rsid w:val="00D57AC6"/>
    <w:rsid w:val="00D670B6"/>
    <w:rsid w:val="00D70814"/>
    <w:rsid w:val="00D713BE"/>
    <w:rsid w:val="00D72D9B"/>
    <w:rsid w:val="00D7325C"/>
    <w:rsid w:val="00D75B13"/>
    <w:rsid w:val="00D80DEE"/>
    <w:rsid w:val="00D81145"/>
    <w:rsid w:val="00D82989"/>
    <w:rsid w:val="00D831C0"/>
    <w:rsid w:val="00D86C42"/>
    <w:rsid w:val="00D90D39"/>
    <w:rsid w:val="00D95602"/>
    <w:rsid w:val="00D95BA2"/>
    <w:rsid w:val="00D972A4"/>
    <w:rsid w:val="00D9760B"/>
    <w:rsid w:val="00D97B53"/>
    <w:rsid w:val="00DA183F"/>
    <w:rsid w:val="00DB1AFD"/>
    <w:rsid w:val="00DB3C4B"/>
    <w:rsid w:val="00DC1E62"/>
    <w:rsid w:val="00DC4A9E"/>
    <w:rsid w:val="00DD3B3F"/>
    <w:rsid w:val="00DD3C12"/>
    <w:rsid w:val="00DD4374"/>
    <w:rsid w:val="00DD5268"/>
    <w:rsid w:val="00DD7D76"/>
    <w:rsid w:val="00DE0A88"/>
    <w:rsid w:val="00DE2A12"/>
    <w:rsid w:val="00DE3826"/>
    <w:rsid w:val="00DE4F9A"/>
    <w:rsid w:val="00DE500C"/>
    <w:rsid w:val="00DF0710"/>
    <w:rsid w:val="00DF0E31"/>
    <w:rsid w:val="00DF5EFB"/>
    <w:rsid w:val="00E025DE"/>
    <w:rsid w:val="00E05EE0"/>
    <w:rsid w:val="00E13E85"/>
    <w:rsid w:val="00E13FBD"/>
    <w:rsid w:val="00E16A93"/>
    <w:rsid w:val="00E17877"/>
    <w:rsid w:val="00E24DC1"/>
    <w:rsid w:val="00E25AE7"/>
    <w:rsid w:val="00E2684D"/>
    <w:rsid w:val="00E26A78"/>
    <w:rsid w:val="00E3565B"/>
    <w:rsid w:val="00E35E84"/>
    <w:rsid w:val="00E439C2"/>
    <w:rsid w:val="00E50933"/>
    <w:rsid w:val="00E50E20"/>
    <w:rsid w:val="00E52ADD"/>
    <w:rsid w:val="00E610DB"/>
    <w:rsid w:val="00E67898"/>
    <w:rsid w:val="00E71A91"/>
    <w:rsid w:val="00E7295A"/>
    <w:rsid w:val="00E76635"/>
    <w:rsid w:val="00E768F1"/>
    <w:rsid w:val="00E76D51"/>
    <w:rsid w:val="00E845C9"/>
    <w:rsid w:val="00E869D9"/>
    <w:rsid w:val="00E86A2B"/>
    <w:rsid w:val="00E876E8"/>
    <w:rsid w:val="00E91A40"/>
    <w:rsid w:val="00E929FB"/>
    <w:rsid w:val="00EA053C"/>
    <w:rsid w:val="00EA1E4D"/>
    <w:rsid w:val="00EA2687"/>
    <w:rsid w:val="00EA4F51"/>
    <w:rsid w:val="00EB4DB4"/>
    <w:rsid w:val="00EB597F"/>
    <w:rsid w:val="00EB5EFD"/>
    <w:rsid w:val="00EC3611"/>
    <w:rsid w:val="00EC44D7"/>
    <w:rsid w:val="00EC4536"/>
    <w:rsid w:val="00EC4AE3"/>
    <w:rsid w:val="00EC4C5B"/>
    <w:rsid w:val="00EC523B"/>
    <w:rsid w:val="00ED008E"/>
    <w:rsid w:val="00ED34BB"/>
    <w:rsid w:val="00ED4BF2"/>
    <w:rsid w:val="00ED5B70"/>
    <w:rsid w:val="00EE314C"/>
    <w:rsid w:val="00EE3454"/>
    <w:rsid w:val="00EE3614"/>
    <w:rsid w:val="00EE4C47"/>
    <w:rsid w:val="00EE5F6F"/>
    <w:rsid w:val="00EE6052"/>
    <w:rsid w:val="00EE76D4"/>
    <w:rsid w:val="00EE787E"/>
    <w:rsid w:val="00EF0951"/>
    <w:rsid w:val="00EF68AD"/>
    <w:rsid w:val="00F00691"/>
    <w:rsid w:val="00F02B71"/>
    <w:rsid w:val="00F0350C"/>
    <w:rsid w:val="00F049B9"/>
    <w:rsid w:val="00F04C40"/>
    <w:rsid w:val="00F06F3B"/>
    <w:rsid w:val="00F110FA"/>
    <w:rsid w:val="00F17AB3"/>
    <w:rsid w:val="00F207B1"/>
    <w:rsid w:val="00F20F90"/>
    <w:rsid w:val="00F2197A"/>
    <w:rsid w:val="00F21CC7"/>
    <w:rsid w:val="00F223BA"/>
    <w:rsid w:val="00F24474"/>
    <w:rsid w:val="00F244F3"/>
    <w:rsid w:val="00F31265"/>
    <w:rsid w:val="00F32F67"/>
    <w:rsid w:val="00F37429"/>
    <w:rsid w:val="00F42A26"/>
    <w:rsid w:val="00F43C6D"/>
    <w:rsid w:val="00F47102"/>
    <w:rsid w:val="00F478FE"/>
    <w:rsid w:val="00F502EE"/>
    <w:rsid w:val="00F53C8A"/>
    <w:rsid w:val="00F53EAB"/>
    <w:rsid w:val="00F55482"/>
    <w:rsid w:val="00F55B5D"/>
    <w:rsid w:val="00F56024"/>
    <w:rsid w:val="00F56035"/>
    <w:rsid w:val="00F66FDD"/>
    <w:rsid w:val="00F720B2"/>
    <w:rsid w:val="00F749D6"/>
    <w:rsid w:val="00F753DF"/>
    <w:rsid w:val="00F77C41"/>
    <w:rsid w:val="00F80B70"/>
    <w:rsid w:val="00F83B72"/>
    <w:rsid w:val="00F83E3F"/>
    <w:rsid w:val="00F84D60"/>
    <w:rsid w:val="00F85E3D"/>
    <w:rsid w:val="00F900E0"/>
    <w:rsid w:val="00F909A0"/>
    <w:rsid w:val="00F94357"/>
    <w:rsid w:val="00F97090"/>
    <w:rsid w:val="00FA4A13"/>
    <w:rsid w:val="00FA6EFB"/>
    <w:rsid w:val="00FB1C65"/>
    <w:rsid w:val="00FC07A3"/>
    <w:rsid w:val="00FC4B99"/>
    <w:rsid w:val="00FC4C52"/>
    <w:rsid w:val="00FC4CD7"/>
    <w:rsid w:val="00FC5AAA"/>
    <w:rsid w:val="00FD11C7"/>
    <w:rsid w:val="00FD390D"/>
    <w:rsid w:val="00FD5405"/>
    <w:rsid w:val="00FD617C"/>
    <w:rsid w:val="00FD6C98"/>
    <w:rsid w:val="00FD7432"/>
    <w:rsid w:val="00FD7765"/>
    <w:rsid w:val="00FE0E36"/>
    <w:rsid w:val="00FE1E29"/>
    <w:rsid w:val="00FE2489"/>
    <w:rsid w:val="00FE38AA"/>
    <w:rsid w:val="00FE64DF"/>
    <w:rsid w:val="00FF064A"/>
    <w:rsid w:val="00FF4BEF"/>
    <w:rsid w:val="00FF5DDB"/>
    <w:rsid w:val="7DBE2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6"/>
    <w:qFormat/>
    <w:uiPriority w:val="0"/>
    <w:pPr>
      <w:keepNext/>
      <w:keepLines/>
      <w:numPr>
        <w:ilvl w:val="1"/>
        <w:numId w:val="1"/>
      </w:numPr>
      <w:spacing w:before="240" w:after="240"/>
      <w:outlineLvl w:val="1"/>
    </w:pPr>
    <w:rPr>
      <w:rFonts w:ascii="Arial" w:hAnsi="Arial"/>
      <w:b/>
      <w:sz w:val="28"/>
    </w:rPr>
  </w:style>
  <w:style w:type="paragraph" w:styleId="7">
    <w:name w:val="heading 3"/>
    <w:basedOn w:val="1"/>
    <w:next w:val="6"/>
    <w:qFormat/>
    <w:uiPriority w:val="0"/>
    <w:pPr>
      <w:keepNext/>
      <w:keepLines/>
      <w:numPr>
        <w:ilvl w:val="2"/>
        <w:numId w:val="1"/>
      </w:numPr>
      <w:spacing w:before="260" w:after="260" w:line="416" w:lineRule="auto"/>
      <w:outlineLvl w:val="2"/>
    </w:pPr>
    <w:rPr>
      <w:b/>
      <w:sz w:val="28"/>
    </w:rPr>
  </w:style>
  <w:style w:type="paragraph" w:styleId="8">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rPr>
  </w:style>
  <w:style w:type="paragraph" w:styleId="9">
    <w:name w:val="heading 5"/>
    <w:basedOn w:val="1"/>
    <w:next w:val="6"/>
    <w:qFormat/>
    <w:uiPriority w:val="0"/>
    <w:pPr>
      <w:keepNext/>
      <w:keepLines/>
      <w:numPr>
        <w:ilvl w:val="4"/>
        <w:numId w:val="1"/>
      </w:numPr>
      <w:spacing w:before="280" w:after="290" w:line="376" w:lineRule="auto"/>
      <w:outlineLvl w:val="4"/>
    </w:pPr>
    <w:rPr>
      <w:b/>
      <w:sz w:val="24"/>
      <w:lang w:val="en-GB"/>
    </w:rPr>
  </w:style>
  <w:style w:type="paragraph" w:styleId="10">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6"/>
    <w:qFormat/>
    <w:uiPriority w:val="0"/>
    <w:pPr>
      <w:keepNext/>
      <w:keepLines/>
      <w:numPr>
        <w:ilvl w:val="6"/>
        <w:numId w:val="1"/>
      </w:numPr>
      <w:spacing w:before="240" w:after="64" w:line="320" w:lineRule="auto"/>
      <w:outlineLvl w:val="6"/>
    </w:pPr>
    <w:rPr>
      <w:b/>
      <w:sz w:val="24"/>
    </w:rPr>
  </w:style>
  <w:style w:type="paragraph" w:styleId="12">
    <w:name w:val="heading 8"/>
    <w:basedOn w:val="5"/>
    <w:next w:val="6"/>
    <w:qFormat/>
    <w:uiPriority w:val="0"/>
    <w:pPr>
      <w:numPr>
        <w:ilvl w:val="7"/>
      </w:numPr>
      <w:spacing w:after="64" w:line="320" w:lineRule="auto"/>
      <w:outlineLvl w:val="7"/>
    </w:pPr>
    <w:rPr>
      <w:rFonts w:eastAsia="黑体"/>
      <w:sz w:val="24"/>
    </w:rPr>
  </w:style>
  <w:style w:type="paragraph" w:styleId="13">
    <w:name w:val="heading 9"/>
    <w:basedOn w:val="1"/>
    <w:next w:val="6"/>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0"/>
    <w:pPr>
      <w:ind w:firstLine="420" w:firstLineChars="200"/>
    </w:pPr>
  </w:style>
  <w:style w:type="paragraph" w:styleId="3">
    <w:name w:val="Body Text Indent"/>
    <w:basedOn w:val="1"/>
    <w:uiPriority w:val="0"/>
    <w:pPr>
      <w:spacing w:before="120"/>
      <w:ind w:firstLine="675"/>
    </w:pPr>
    <w:rPr>
      <w:sz w:val="28"/>
    </w:rPr>
  </w:style>
  <w:style w:type="paragraph" w:styleId="6">
    <w:name w:val="Normal Indent"/>
    <w:basedOn w:val="1"/>
    <w:uiPriority w:val="0"/>
    <w:pPr>
      <w:widowControl/>
      <w:ind w:firstLine="420"/>
      <w:jc w:val="left"/>
    </w:pPr>
    <w:rPr>
      <w:kern w:val="0"/>
    </w:rPr>
  </w:style>
  <w:style w:type="paragraph" w:styleId="14">
    <w:name w:val="toc 7"/>
    <w:basedOn w:val="1"/>
    <w:next w:val="1"/>
    <w:semiHidden/>
    <w:uiPriority w:val="0"/>
    <w:pPr>
      <w:ind w:left="1260"/>
      <w:jc w:val="left"/>
    </w:pPr>
    <w:rPr>
      <w:sz w:val="18"/>
    </w:rPr>
  </w:style>
  <w:style w:type="paragraph" w:styleId="15">
    <w:name w:val="Document Map"/>
    <w:basedOn w:val="1"/>
    <w:semiHidden/>
    <w:uiPriority w:val="0"/>
    <w:pPr>
      <w:shd w:val="clear" w:color="auto" w:fill="000080"/>
    </w:pPr>
  </w:style>
  <w:style w:type="paragraph" w:styleId="16">
    <w:name w:val="annotation text"/>
    <w:basedOn w:val="1"/>
    <w:link w:val="53"/>
    <w:uiPriority w:val="0"/>
    <w:pPr>
      <w:jc w:val="left"/>
    </w:pPr>
  </w:style>
  <w:style w:type="paragraph" w:styleId="17">
    <w:name w:val="Body Text 3"/>
    <w:basedOn w:val="1"/>
    <w:uiPriority w:val="0"/>
    <w:pPr>
      <w:spacing w:before="120"/>
    </w:pPr>
    <w:rPr>
      <w:rFonts w:ascii="宋体"/>
      <w:b/>
      <w:sz w:val="28"/>
    </w:rPr>
  </w:style>
  <w:style w:type="paragraph" w:styleId="18">
    <w:name w:val="Body Text"/>
    <w:basedOn w:val="1"/>
    <w:uiPriority w:val="0"/>
    <w:pPr>
      <w:spacing w:before="120"/>
    </w:pPr>
    <w:rPr>
      <w:sz w:val="28"/>
    </w:rPr>
  </w:style>
  <w:style w:type="paragraph" w:styleId="19">
    <w:name w:val="toc 5"/>
    <w:basedOn w:val="1"/>
    <w:next w:val="1"/>
    <w:semiHidden/>
    <w:uiPriority w:val="0"/>
    <w:pPr>
      <w:ind w:left="840"/>
      <w:jc w:val="left"/>
    </w:pPr>
    <w:rPr>
      <w:sz w:val="18"/>
    </w:rPr>
  </w:style>
  <w:style w:type="paragraph" w:styleId="20">
    <w:name w:val="toc 3"/>
    <w:basedOn w:val="1"/>
    <w:next w:val="1"/>
    <w:semiHidden/>
    <w:uiPriority w:val="0"/>
    <w:pPr>
      <w:ind w:left="420"/>
      <w:jc w:val="left"/>
    </w:pPr>
    <w:rPr>
      <w:i/>
      <w:sz w:val="20"/>
    </w:rPr>
  </w:style>
  <w:style w:type="paragraph" w:styleId="21">
    <w:name w:val="toc 8"/>
    <w:basedOn w:val="1"/>
    <w:next w:val="1"/>
    <w:semiHidden/>
    <w:uiPriority w:val="0"/>
    <w:pPr>
      <w:ind w:left="1470"/>
      <w:jc w:val="left"/>
    </w:pPr>
    <w:rPr>
      <w:sz w:val="18"/>
    </w:rPr>
  </w:style>
  <w:style w:type="paragraph" w:styleId="22">
    <w:name w:val="Date"/>
    <w:basedOn w:val="1"/>
    <w:next w:val="1"/>
    <w:uiPriority w:val="0"/>
    <w:pPr>
      <w:ind w:left="100" w:leftChars="2500"/>
    </w:pPr>
  </w:style>
  <w:style w:type="paragraph" w:styleId="23">
    <w:name w:val="Body Text Indent 2"/>
    <w:basedOn w:val="1"/>
    <w:uiPriority w:val="0"/>
    <w:pPr>
      <w:spacing w:before="60" w:after="60"/>
      <w:ind w:left="1350"/>
    </w:pPr>
    <w:rPr>
      <w:rFonts w:ascii="楷体_GB2312" w:eastAsia="楷体_GB2312"/>
    </w:rPr>
  </w:style>
  <w:style w:type="paragraph" w:styleId="24">
    <w:name w:val="Balloon Text"/>
    <w:basedOn w:val="1"/>
    <w:semiHidden/>
    <w:uiPriority w:val="0"/>
    <w:rPr>
      <w:sz w:val="18"/>
      <w:szCs w:val="18"/>
    </w:rPr>
  </w:style>
  <w:style w:type="paragraph" w:styleId="25">
    <w:name w:val="footer"/>
    <w:basedOn w:val="1"/>
    <w:link w:val="50"/>
    <w:uiPriority w:val="99"/>
    <w:pPr>
      <w:tabs>
        <w:tab w:val="center" w:pos="4153"/>
        <w:tab w:val="right" w:pos="8306"/>
      </w:tabs>
      <w:jc w:val="left"/>
    </w:pPr>
    <w:rPr>
      <w:sz w:val="18"/>
    </w:rPr>
  </w:style>
  <w:style w:type="paragraph" w:styleId="26">
    <w:name w:val="header"/>
    <w:basedOn w:val="1"/>
    <w:uiPriority w:val="0"/>
    <w:pPr>
      <w:pBdr>
        <w:bottom w:val="single" w:color="auto" w:sz="6" w:space="1"/>
      </w:pBdr>
      <w:tabs>
        <w:tab w:val="center" w:pos="4153"/>
        <w:tab w:val="right" w:pos="8306"/>
      </w:tabs>
      <w:jc w:val="center"/>
    </w:pPr>
    <w:rPr>
      <w:sz w:val="18"/>
    </w:rPr>
  </w:style>
  <w:style w:type="paragraph" w:styleId="27">
    <w:name w:val="toc 1"/>
    <w:basedOn w:val="1"/>
    <w:next w:val="1"/>
    <w:uiPriority w:val="39"/>
    <w:pPr>
      <w:tabs>
        <w:tab w:val="left" w:pos="1260"/>
        <w:tab w:val="right" w:leader="dot" w:pos="8789"/>
      </w:tabs>
      <w:spacing w:before="120" w:after="120"/>
      <w:jc w:val="left"/>
    </w:pPr>
    <w:rPr>
      <w:sz w:val="24"/>
      <w:szCs w:val="24"/>
    </w:rPr>
  </w:style>
  <w:style w:type="paragraph" w:styleId="28">
    <w:name w:val="toc 4"/>
    <w:basedOn w:val="1"/>
    <w:next w:val="1"/>
    <w:semiHidden/>
    <w:uiPriority w:val="0"/>
    <w:pPr>
      <w:ind w:left="630"/>
      <w:jc w:val="left"/>
    </w:pPr>
    <w:rPr>
      <w:sz w:val="18"/>
    </w:rPr>
  </w:style>
  <w:style w:type="paragraph" w:styleId="29">
    <w:name w:val="Subtitle"/>
    <w:basedOn w:val="1"/>
    <w:next w:val="1"/>
    <w:link w:val="51"/>
    <w:qFormat/>
    <w:uiPriority w:val="0"/>
    <w:pPr>
      <w:spacing w:before="240" w:after="60" w:line="312" w:lineRule="auto"/>
      <w:jc w:val="left"/>
      <w:outlineLvl w:val="1"/>
    </w:pPr>
    <w:rPr>
      <w:rFonts w:ascii="Cambria" w:hAnsi="Cambria" w:eastAsia="宋体"/>
      <w:b/>
      <w:bCs/>
      <w:kern w:val="28"/>
      <w:sz w:val="32"/>
      <w:szCs w:val="32"/>
    </w:rPr>
  </w:style>
  <w:style w:type="paragraph" w:styleId="30">
    <w:name w:val="toc 6"/>
    <w:basedOn w:val="1"/>
    <w:next w:val="1"/>
    <w:semiHidden/>
    <w:uiPriority w:val="0"/>
    <w:pPr>
      <w:ind w:left="1050"/>
      <w:jc w:val="left"/>
    </w:pPr>
    <w:rPr>
      <w:sz w:val="18"/>
    </w:rPr>
  </w:style>
  <w:style w:type="paragraph" w:styleId="31">
    <w:name w:val="toc 2"/>
    <w:basedOn w:val="1"/>
    <w:next w:val="1"/>
    <w:semiHidden/>
    <w:uiPriority w:val="0"/>
    <w:pPr>
      <w:ind w:left="210"/>
      <w:jc w:val="left"/>
    </w:pPr>
    <w:rPr>
      <w:smallCaps/>
      <w:sz w:val="20"/>
    </w:rPr>
  </w:style>
  <w:style w:type="paragraph" w:styleId="32">
    <w:name w:val="toc 9"/>
    <w:basedOn w:val="1"/>
    <w:next w:val="1"/>
    <w:semiHidden/>
    <w:uiPriority w:val="0"/>
    <w:pPr>
      <w:ind w:left="1680"/>
      <w:jc w:val="left"/>
    </w:pPr>
    <w:rPr>
      <w:sz w:val="18"/>
    </w:rPr>
  </w:style>
  <w:style w:type="paragraph" w:styleId="33">
    <w:name w:val="Body Text 2"/>
    <w:basedOn w:val="1"/>
    <w:uiPriority w:val="0"/>
    <w:rPr>
      <w:rFonts w:ascii="宋体" w:hAnsi="宋体"/>
      <w:sz w:val="24"/>
    </w:rPr>
  </w:style>
  <w:style w:type="paragraph" w:styleId="34">
    <w:name w:val="Title"/>
    <w:basedOn w:val="1"/>
    <w:link w:val="56"/>
    <w:qFormat/>
    <w:uiPriority w:val="0"/>
    <w:pPr>
      <w:widowControl/>
      <w:spacing w:before="240" w:after="60"/>
      <w:jc w:val="center"/>
      <w:outlineLvl w:val="0"/>
    </w:pPr>
    <w:rPr>
      <w:rFonts w:ascii="Arial" w:hAnsi="Arial"/>
      <w:b/>
      <w:kern w:val="0"/>
      <w:sz w:val="32"/>
    </w:rPr>
  </w:style>
  <w:style w:type="paragraph" w:styleId="35">
    <w:name w:val="annotation subject"/>
    <w:basedOn w:val="16"/>
    <w:next w:val="16"/>
    <w:link w:val="54"/>
    <w:uiPriority w:val="0"/>
    <w:rPr>
      <w:b/>
      <w:bCs/>
    </w:rPr>
  </w:style>
  <w:style w:type="table" w:styleId="37">
    <w:name w:val="Table Grid"/>
    <w:basedOn w:val="3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uiPriority w:val="0"/>
  </w:style>
  <w:style w:type="character" w:styleId="41">
    <w:name w:val="FollowedHyperlink"/>
    <w:basedOn w:val="38"/>
    <w:uiPriority w:val="0"/>
    <w:rPr>
      <w:color w:val="800080"/>
      <w:u w:val="single"/>
    </w:rPr>
  </w:style>
  <w:style w:type="character" w:styleId="42">
    <w:name w:val="Hyperlink"/>
    <w:basedOn w:val="38"/>
    <w:uiPriority w:val="99"/>
    <w:rPr>
      <w:color w:val="0000FF"/>
      <w:u w:val="single"/>
    </w:rPr>
  </w:style>
  <w:style w:type="character" w:styleId="43">
    <w:name w:val="annotation reference"/>
    <w:basedOn w:val="38"/>
    <w:uiPriority w:val="0"/>
    <w:rPr>
      <w:sz w:val="21"/>
      <w:szCs w:val="21"/>
    </w:rPr>
  </w:style>
  <w:style w:type="paragraph" w:customStyle="1" w:styleId="44">
    <w:name w:val="Char Char Char Char"/>
    <w:basedOn w:val="1"/>
    <w:uiPriority w:val="0"/>
    <w:pPr>
      <w:spacing w:line="240" w:lineRule="atLeast"/>
      <w:ind w:left="420" w:firstLine="420"/>
    </w:pPr>
    <w:rPr>
      <w:kern w:val="0"/>
      <w:szCs w:val="21"/>
    </w:rPr>
  </w:style>
  <w:style w:type="paragraph" w:customStyle="1" w:styleId="45">
    <w:name w:val="Tex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6">
    <w:name w:val="Char"/>
    <w:basedOn w:val="1"/>
    <w:uiPriority w:val="0"/>
    <w:pPr>
      <w:spacing w:line="240" w:lineRule="atLeast"/>
      <w:ind w:left="420" w:firstLine="420"/>
    </w:pPr>
    <w:rPr>
      <w:kern w:val="0"/>
      <w:szCs w:val="21"/>
    </w:rPr>
  </w:style>
  <w:style w:type="paragraph" w:customStyle="1" w:styleId="47">
    <w:name w:val="无间隔1"/>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8">
    <w:name w:val="Dot Text"/>
    <w:basedOn w:val="1"/>
    <w:uiPriority w:val="0"/>
    <w:pPr>
      <w:numPr>
        <w:ilvl w:val="0"/>
        <w:numId w:val="2"/>
      </w:numPr>
      <w:ind w:left="964"/>
    </w:pPr>
    <w:rPr>
      <w:snapToGrid w:val="0"/>
      <w:sz w:val="24"/>
    </w:rPr>
  </w:style>
  <w:style w:type="paragraph" w:styleId="49">
    <w:name w:val="List Paragraph"/>
    <w:basedOn w:val="1"/>
    <w:qFormat/>
    <w:uiPriority w:val="34"/>
    <w:pPr>
      <w:ind w:firstLine="420" w:firstLineChars="200"/>
    </w:pPr>
  </w:style>
  <w:style w:type="character" w:customStyle="1" w:styleId="50">
    <w:name w:val="页脚 字符"/>
    <w:basedOn w:val="38"/>
    <w:link w:val="25"/>
    <w:uiPriority w:val="99"/>
    <w:rPr>
      <w:rFonts w:ascii="Palatino Linotype" w:hAnsi="Palatino Linotype" w:eastAsia="仿宋_GB2312"/>
      <w:kern w:val="2"/>
      <w:sz w:val="18"/>
    </w:rPr>
  </w:style>
  <w:style w:type="character" w:customStyle="1" w:styleId="51">
    <w:name w:val="副标题 字符"/>
    <w:basedOn w:val="38"/>
    <w:link w:val="29"/>
    <w:uiPriority w:val="0"/>
    <w:rPr>
      <w:rFonts w:ascii="Cambria" w:hAnsi="Cambria" w:cs="Times New Roman"/>
      <w:b/>
      <w:bCs/>
      <w:kern w:val="28"/>
      <w:sz w:val="32"/>
      <w:szCs w:val="32"/>
    </w:rPr>
  </w:style>
  <w:style w:type="character" w:customStyle="1" w:styleId="52">
    <w:name w:val="封面甲乙方 仿宋_GB2312 小四 加粗 黑色"/>
    <w:basedOn w:val="38"/>
    <w:uiPriority w:val="0"/>
    <w:rPr>
      <w:rFonts w:ascii="Times New Roman" w:hAnsi="Times New Roman"/>
      <w:b/>
      <w:bCs/>
      <w:color w:val="000000"/>
      <w:sz w:val="24"/>
    </w:rPr>
  </w:style>
  <w:style w:type="character" w:customStyle="1" w:styleId="53">
    <w:name w:val="批注文字 字符"/>
    <w:basedOn w:val="38"/>
    <w:link w:val="16"/>
    <w:uiPriority w:val="0"/>
    <w:rPr>
      <w:rFonts w:eastAsia="仿宋_GB2312"/>
      <w:kern w:val="2"/>
      <w:sz w:val="21"/>
    </w:rPr>
  </w:style>
  <w:style w:type="character" w:customStyle="1" w:styleId="54">
    <w:name w:val="批注主题 字符"/>
    <w:basedOn w:val="53"/>
    <w:link w:val="35"/>
    <w:uiPriority w:val="0"/>
    <w:rPr>
      <w:rFonts w:eastAsia="仿宋_GB2312"/>
      <w:b/>
      <w:bCs/>
      <w:kern w:val="2"/>
      <w:sz w:val="21"/>
    </w:rPr>
  </w:style>
  <w:style w:type="paragraph" w:customStyle="1" w:styleId="55">
    <w:name w:val="章节标题"/>
    <w:basedOn w:val="34"/>
    <w:link w:val="57"/>
    <w:qFormat/>
    <w:uiPriority w:val="0"/>
    <w:pPr>
      <w:numPr>
        <w:ilvl w:val="0"/>
        <w:numId w:val="3"/>
      </w:numPr>
      <w:spacing w:afterLines="50"/>
    </w:pPr>
    <w:rPr>
      <w:rFonts w:ascii="仿宋_GB2312"/>
      <w:snapToGrid w:val="0"/>
      <w:sz w:val="28"/>
      <w:szCs w:val="28"/>
    </w:rPr>
  </w:style>
  <w:style w:type="character" w:customStyle="1" w:styleId="56">
    <w:name w:val="标题 字符"/>
    <w:basedOn w:val="38"/>
    <w:link w:val="34"/>
    <w:uiPriority w:val="0"/>
    <w:rPr>
      <w:rFonts w:ascii="Arial" w:hAnsi="Arial" w:eastAsia="仿宋_GB2312"/>
      <w:b/>
      <w:sz w:val="32"/>
    </w:rPr>
  </w:style>
  <w:style w:type="character" w:customStyle="1" w:styleId="57">
    <w:name w:val="章节标题 Char"/>
    <w:basedOn w:val="56"/>
    <w:link w:val="55"/>
    <w:uiPriority w:val="0"/>
    <w:rPr>
      <w:rFonts w:ascii="仿宋_GB2312" w:hAnsi="Arial" w:eastAsia="仿宋_GB2312"/>
      <w:snapToGrid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5_BC&#32500;&#20445;&#21512;&#21516;&#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6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3EA14-BC43-4BE0-AFCF-BCED01E29CEE}">
  <ds:schemaRefs/>
</ds:datastoreItem>
</file>

<file path=docProps/app.xml><?xml version="1.0" encoding="utf-8"?>
<Properties xmlns="http://schemas.openxmlformats.org/officeDocument/2006/extended-properties" xmlns:vt="http://schemas.openxmlformats.org/officeDocument/2006/docPropsVTypes">
  <Template>5_BC维保合同模板V2.1.dot</Template>
  <Company>SimPerfect Technology, Ltd.</Company>
  <Pages>8</Pages>
  <Words>528</Words>
  <Characters>3011</Characters>
  <Lines>25</Lines>
  <Paragraphs>7</Paragraphs>
  <TotalTime>377</TotalTime>
  <ScaleCrop>false</ScaleCrop>
  <LinksUpToDate>false</LinksUpToDate>
  <CharactersWithSpaces>3532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2012-12-30T13:52:00Z</dcterms:created>
  <dc:creator>Jane</dc:creator>
  <cp:lastModifiedBy>Faker</cp:lastModifiedBy>
  <cp:lastPrinted>2021-03-23T01:56:00Z</cp:lastPrinted>
  <dcterms:modified xsi:type="dcterms:W3CDTF">2021-03-23T02:55:57Z</dcterms:modified>
  <dc:title>销售合同</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