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仿宋_GBK" w:hAnsi="宋体" w:eastAsia="方正仿宋_GBK"/>
          <w:b/>
          <w:kern w:val="0"/>
          <w:sz w:val="32"/>
        </w:rPr>
      </w:pPr>
      <w:bookmarkStart w:id="273" w:name="_GoBack"/>
      <w:bookmarkEnd w:id="273"/>
    </w:p>
    <w:p>
      <w:pPr>
        <w:snapToGrid w:val="0"/>
        <w:jc w:val="center"/>
        <w:rPr>
          <w:rFonts w:ascii="方正仿宋_GBK" w:hAnsi="宋体" w:eastAsia="方正仿宋_GBK"/>
          <w:b/>
          <w:kern w:val="0"/>
          <w:sz w:val="32"/>
        </w:rPr>
      </w:pPr>
    </w:p>
    <w:p>
      <w:pPr>
        <w:snapToGrid w:val="0"/>
        <w:jc w:val="center"/>
        <w:rPr>
          <w:rFonts w:ascii="方正仿宋_GBK" w:hAnsi="宋体" w:eastAsia="方正仿宋_GBK"/>
          <w:b/>
          <w:kern w:val="0"/>
          <w:sz w:val="32"/>
        </w:rPr>
      </w:pPr>
    </w:p>
    <w:p>
      <w:pPr>
        <w:snapToGrid w:val="0"/>
        <w:jc w:val="center"/>
        <w:rPr>
          <w:rFonts w:ascii="方正仿宋_GBK" w:hAnsi="宋体" w:eastAsia="方正仿宋_GBK"/>
          <w:b/>
          <w:kern w:val="0"/>
          <w:sz w:val="32"/>
        </w:rPr>
      </w:pPr>
    </w:p>
    <w:p>
      <w:pPr>
        <w:snapToGrid w:val="0"/>
        <w:jc w:val="center"/>
        <w:rPr>
          <w:rFonts w:ascii="方正仿宋_GBK" w:hAnsi="宋体" w:eastAsia="方正仿宋_GBK"/>
          <w:b/>
          <w:kern w:val="0"/>
          <w:sz w:val="32"/>
        </w:rPr>
      </w:pPr>
    </w:p>
    <w:p>
      <w:pPr>
        <w:snapToGrid w:val="0"/>
        <w:jc w:val="center"/>
        <w:rPr>
          <w:rFonts w:ascii="华文中宋" w:hAnsi="华文中宋" w:eastAsia="华文中宋"/>
          <w:b/>
          <w:kern w:val="0"/>
          <w:sz w:val="52"/>
          <w:lang w:val="en-GB"/>
        </w:rPr>
      </w:pPr>
      <w:r>
        <w:rPr>
          <w:rFonts w:hint="eastAsia" w:ascii="华文中宋" w:hAnsi="华文中宋" w:eastAsia="华文中宋"/>
          <w:b/>
          <w:kern w:val="0"/>
          <w:sz w:val="52"/>
          <w:lang w:val="en-GB"/>
        </w:rPr>
        <w:t>计算机系统 / 软件实施服务合同</w:t>
      </w:r>
    </w:p>
    <w:p>
      <w:pPr>
        <w:snapToGrid w:val="0"/>
        <w:jc w:val="center"/>
        <w:rPr>
          <w:rFonts w:ascii="方正仿宋_GBK" w:hAnsi="宋体" w:eastAsia="方正仿宋_GBK"/>
          <w:b/>
          <w:kern w:val="0"/>
          <w:sz w:val="32"/>
        </w:rPr>
      </w:pPr>
    </w:p>
    <w:p>
      <w:pPr>
        <w:snapToGrid w:val="0"/>
        <w:jc w:val="center"/>
        <w:rPr>
          <w:rFonts w:ascii="方正仿宋_GBK" w:hAnsi="宋体" w:eastAsia="方正仿宋_GBK"/>
          <w:b/>
          <w:kern w:val="0"/>
          <w:sz w:val="32"/>
        </w:rPr>
      </w:pPr>
    </w:p>
    <w:p>
      <w:pPr>
        <w:snapToGrid w:val="0"/>
        <w:jc w:val="center"/>
        <w:rPr>
          <w:rFonts w:ascii="方正仿宋_GBK" w:hAnsi="宋体" w:eastAsia="方正仿宋_GBK"/>
          <w:b/>
          <w:kern w:val="0"/>
          <w:sz w:val="32"/>
        </w:rPr>
      </w:pPr>
    </w:p>
    <w:p>
      <w:pPr>
        <w:snapToGrid w:val="0"/>
        <w:jc w:val="center"/>
        <w:rPr>
          <w:rFonts w:ascii="方正仿宋_GBK" w:hAnsi="宋体" w:eastAsia="方正仿宋_GBK"/>
          <w:b/>
          <w:kern w:val="0"/>
          <w:sz w:val="32"/>
        </w:rPr>
      </w:pPr>
    </w:p>
    <w:p>
      <w:pPr>
        <w:widowControl/>
        <w:adjustRightInd w:val="0"/>
        <w:snapToGrid w:val="0"/>
        <w:spacing w:line="720" w:lineRule="exact"/>
        <w:ind w:firstLine="1285" w:firstLineChars="400"/>
        <w:rPr>
          <w:rFonts w:ascii="华文中宋" w:hAnsi="华文中宋" w:eastAsia="华文中宋"/>
          <w:b/>
          <w:kern w:val="0"/>
          <w:sz w:val="32"/>
        </w:rPr>
      </w:pPr>
    </w:p>
    <w:p>
      <w:pPr>
        <w:widowControl/>
        <w:adjustRightInd w:val="0"/>
        <w:snapToGrid w:val="0"/>
        <w:spacing w:line="720" w:lineRule="exact"/>
        <w:ind w:firstLine="643" w:firstLineChars="200"/>
        <w:rPr>
          <w:rFonts w:ascii="华文中宋" w:hAnsi="华文中宋" w:eastAsia="华文中宋"/>
          <w:b/>
          <w:kern w:val="0"/>
          <w:sz w:val="32"/>
        </w:rPr>
      </w:pPr>
      <w:r>
        <w:rPr>
          <w:rFonts w:hint="eastAsia" w:ascii="华文中宋" w:hAnsi="华文中宋" w:eastAsia="华文中宋"/>
          <w:b/>
          <w:kern w:val="0"/>
          <w:sz w:val="32"/>
        </w:rPr>
        <w:t>合同编号（甲方）：</w:t>
      </w:r>
    </w:p>
    <w:p>
      <w:pPr>
        <w:widowControl/>
        <w:adjustRightInd w:val="0"/>
        <w:snapToGrid w:val="0"/>
        <w:spacing w:line="720" w:lineRule="exact"/>
        <w:ind w:firstLine="643" w:firstLineChars="200"/>
        <w:rPr>
          <w:rFonts w:ascii="华文中宋" w:hAnsi="华文中宋" w:eastAsia="华文中宋"/>
          <w:b/>
          <w:kern w:val="0"/>
          <w:sz w:val="32"/>
        </w:rPr>
      </w:pPr>
      <w:r>
        <w:rPr>
          <w:rFonts w:hint="eastAsia" w:ascii="华文中宋" w:hAnsi="华文中宋" w:eastAsia="华文中宋"/>
          <w:b/>
          <w:kern w:val="0"/>
          <w:sz w:val="32"/>
        </w:rPr>
        <w:t xml:space="preserve">合同编号（乙方）： </w:t>
      </w:r>
    </w:p>
    <w:p>
      <w:pPr>
        <w:widowControl/>
        <w:adjustRightInd w:val="0"/>
        <w:snapToGrid w:val="0"/>
        <w:spacing w:line="720" w:lineRule="exact"/>
        <w:ind w:firstLine="643" w:firstLineChars="200"/>
        <w:rPr>
          <w:rFonts w:ascii="华文中宋" w:hAnsi="华文中宋" w:eastAsia="华文中宋"/>
          <w:b/>
          <w:kern w:val="0"/>
          <w:sz w:val="32"/>
        </w:rPr>
      </w:pPr>
      <w:r>
        <w:rPr>
          <w:rFonts w:hint="eastAsia" w:ascii="华文中宋" w:hAnsi="华文中宋" w:eastAsia="华文中宋"/>
          <w:b/>
          <w:kern w:val="0"/>
          <w:sz w:val="32"/>
        </w:rPr>
        <w:t>项目名称：结算依据管理等功能优化服务</w:t>
      </w:r>
    </w:p>
    <w:p>
      <w:pPr>
        <w:widowControl/>
        <w:adjustRightInd w:val="0"/>
        <w:snapToGrid w:val="0"/>
        <w:spacing w:line="720" w:lineRule="exact"/>
        <w:ind w:firstLine="643" w:firstLineChars="200"/>
        <w:rPr>
          <w:rFonts w:ascii="华文中宋" w:hAnsi="华文中宋" w:eastAsia="华文中宋"/>
          <w:b/>
          <w:kern w:val="0"/>
          <w:sz w:val="32"/>
        </w:rPr>
      </w:pPr>
      <w:r>
        <w:rPr>
          <w:rFonts w:hint="eastAsia" w:ascii="华文中宋" w:hAnsi="华文中宋" w:eastAsia="华文中宋"/>
          <w:b/>
          <w:kern w:val="0"/>
          <w:sz w:val="32"/>
        </w:rPr>
        <w:t>委托方（甲方）：国网汇通金财（北京）信息科技有限公司</w:t>
      </w:r>
    </w:p>
    <w:p>
      <w:pPr>
        <w:widowControl/>
        <w:adjustRightInd w:val="0"/>
        <w:snapToGrid w:val="0"/>
        <w:spacing w:line="720" w:lineRule="exact"/>
        <w:ind w:firstLine="643" w:firstLineChars="200"/>
        <w:rPr>
          <w:rFonts w:ascii="华文中宋" w:hAnsi="华文中宋" w:eastAsia="华文中宋"/>
          <w:b/>
          <w:kern w:val="0"/>
          <w:sz w:val="32"/>
        </w:rPr>
      </w:pPr>
      <w:r>
        <w:rPr>
          <w:rFonts w:hint="eastAsia" w:ascii="华文中宋" w:hAnsi="华文中宋" w:eastAsia="华文中宋"/>
          <w:b/>
          <w:kern w:val="0"/>
          <w:sz w:val="32"/>
        </w:rPr>
        <w:t>受托方（乙方）：北京创联致信科技有限公司</w:t>
      </w:r>
      <w:r>
        <w:rPr>
          <w:rFonts w:ascii="华文中宋" w:hAnsi="华文中宋" w:eastAsia="华文中宋"/>
          <w:b/>
          <w:kern w:val="0"/>
          <w:sz w:val="32"/>
        </w:rPr>
        <w:t xml:space="preserve"> </w:t>
      </w:r>
    </w:p>
    <w:p>
      <w:pPr>
        <w:widowControl/>
        <w:adjustRightInd w:val="0"/>
        <w:snapToGrid w:val="0"/>
        <w:spacing w:line="720" w:lineRule="exact"/>
        <w:ind w:firstLine="643" w:firstLineChars="200"/>
        <w:rPr>
          <w:rFonts w:ascii="华文中宋" w:hAnsi="华文中宋" w:eastAsia="华文中宋"/>
          <w:b/>
          <w:kern w:val="0"/>
          <w:sz w:val="32"/>
        </w:rPr>
      </w:pPr>
      <w:r>
        <w:rPr>
          <w:rFonts w:hint="eastAsia" w:ascii="华文中宋" w:hAnsi="华文中宋" w:eastAsia="华文中宋"/>
          <w:b/>
          <w:kern w:val="0"/>
          <w:sz w:val="32"/>
        </w:rPr>
        <w:t>签订日期</w:t>
      </w:r>
      <w:r>
        <w:rPr>
          <w:rStyle w:val="21"/>
          <w:rFonts w:ascii="华文中宋" w:hAnsi="华文中宋" w:eastAsia="华文中宋"/>
          <w:b/>
          <w:kern w:val="0"/>
          <w:sz w:val="32"/>
        </w:rPr>
        <w:footnoteReference w:id="0"/>
      </w:r>
      <w:r>
        <w:rPr>
          <w:rFonts w:hint="eastAsia" w:ascii="华文中宋" w:hAnsi="华文中宋" w:eastAsia="华文中宋"/>
          <w:b/>
          <w:kern w:val="0"/>
          <w:sz w:val="32"/>
        </w:rPr>
        <w:t>：</w:t>
      </w:r>
    </w:p>
    <w:p>
      <w:pPr>
        <w:widowControl/>
        <w:adjustRightInd w:val="0"/>
        <w:snapToGrid w:val="0"/>
        <w:spacing w:line="720" w:lineRule="exact"/>
        <w:ind w:firstLine="643" w:firstLineChars="200"/>
        <w:rPr>
          <w:rFonts w:ascii="华文中宋" w:hAnsi="华文中宋" w:eastAsia="华文中宋"/>
          <w:b/>
          <w:kern w:val="0"/>
          <w:sz w:val="32"/>
        </w:rPr>
      </w:pPr>
      <w:r>
        <w:rPr>
          <w:rFonts w:hint="eastAsia" w:ascii="华文中宋" w:hAnsi="华文中宋" w:eastAsia="华文中宋"/>
          <w:b/>
          <w:kern w:val="0"/>
          <w:sz w:val="32"/>
        </w:rPr>
        <w:t>签订地点：北京</w:t>
      </w:r>
    </w:p>
    <w:p>
      <w:pPr>
        <w:snapToGrid w:val="0"/>
        <w:spacing w:after="120" w:afterLines="50" w:line="360" w:lineRule="auto"/>
        <w:ind w:firstLine="851" w:firstLineChars="265"/>
        <w:rPr>
          <w:rFonts w:ascii="方正仿宋_GBK" w:eastAsia="方正仿宋_GBK"/>
          <w:b/>
          <w:sz w:val="32"/>
        </w:rPr>
      </w:pPr>
    </w:p>
    <w:p>
      <w:pPr>
        <w:snapToGrid w:val="0"/>
        <w:jc w:val="left"/>
        <w:rPr>
          <w:rFonts w:ascii="方正仿宋_GBK" w:hAnsi="宋体" w:eastAsia="方正仿宋_GBK"/>
          <w:sz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start="0"/>
          <w:cols w:space="720" w:num="1"/>
          <w:formProt w:val="1"/>
          <w:docGrid w:linePitch="312" w:charSpace="0"/>
        </w:sectPr>
      </w:pPr>
    </w:p>
    <w:p>
      <w:pPr>
        <w:snapToGrid w:val="0"/>
        <w:jc w:val="center"/>
        <w:rPr>
          <w:rFonts w:ascii="华文中宋" w:hAnsi="华文中宋" w:eastAsia="华文中宋"/>
          <w:b/>
          <w:w w:val="101"/>
          <w:kern w:val="0"/>
          <w:sz w:val="32"/>
        </w:rPr>
      </w:pPr>
      <w:r>
        <w:rPr>
          <w:rFonts w:hint="eastAsia" w:ascii="华文中宋" w:hAnsi="华文中宋" w:eastAsia="华文中宋"/>
          <w:b/>
          <w:w w:val="101"/>
          <w:kern w:val="0"/>
          <w:sz w:val="32"/>
        </w:rPr>
        <w:t>使用说明</w:t>
      </w:r>
    </w:p>
    <w:p>
      <w:pPr>
        <w:spacing w:line="480" w:lineRule="exact"/>
        <w:jc w:val="center"/>
        <w:rPr>
          <w:rFonts w:ascii="仿宋" w:hAnsi="仿宋" w:eastAsia="仿宋"/>
          <w:b/>
          <w:sz w:val="28"/>
        </w:rPr>
      </w:pPr>
    </w:p>
    <w:p>
      <w:pPr>
        <w:snapToGrid w:val="0"/>
        <w:spacing w:line="480" w:lineRule="exact"/>
        <w:ind w:firstLine="700" w:firstLineChars="250"/>
        <w:rPr>
          <w:rFonts w:ascii="仿宋" w:hAnsi="仿宋" w:eastAsia="仿宋"/>
          <w:sz w:val="28"/>
        </w:rPr>
      </w:pPr>
      <w:r>
        <w:rPr>
          <w:rFonts w:hint="eastAsia" w:ascii="仿宋" w:hAnsi="仿宋" w:eastAsia="仿宋"/>
          <w:sz w:val="28"/>
        </w:rPr>
        <w:t>1. 本统一合同文本适用于国家电网有限公司各单位签订的计算机系统/软件实施服务合同。</w:t>
      </w:r>
    </w:p>
    <w:p>
      <w:pPr>
        <w:snapToGrid w:val="0"/>
        <w:spacing w:line="480" w:lineRule="exact"/>
        <w:ind w:firstLine="700" w:firstLineChars="250"/>
        <w:rPr>
          <w:rFonts w:ascii="仿宋" w:hAnsi="仿宋" w:eastAsia="仿宋"/>
          <w:kern w:val="0"/>
          <w:sz w:val="28"/>
          <w:lang w:val="zh-CN"/>
        </w:rPr>
      </w:pPr>
      <w:r>
        <w:rPr>
          <w:rFonts w:hint="eastAsia" w:ascii="仿宋" w:hAnsi="仿宋" w:eastAsia="仿宋"/>
          <w:sz w:val="28"/>
        </w:rPr>
        <w:t>2. 对本统一合同文本中需当事人填写之处，如当事人约定无需填写的</w:t>
      </w:r>
      <w:r>
        <w:rPr>
          <w:rFonts w:hint="eastAsia" w:ascii="仿宋" w:hAnsi="仿宋" w:eastAsia="仿宋"/>
          <w:kern w:val="0"/>
          <w:sz w:val="28"/>
          <w:lang w:val="zh-CN"/>
        </w:rPr>
        <w:t>，则应注明“无”或划“/”。</w:t>
      </w:r>
    </w:p>
    <w:p>
      <w:pPr>
        <w:autoSpaceDE w:val="0"/>
        <w:autoSpaceDN w:val="0"/>
        <w:adjustRightInd w:val="0"/>
        <w:snapToGrid w:val="0"/>
        <w:spacing w:line="480" w:lineRule="exact"/>
        <w:ind w:firstLine="700" w:firstLineChars="250"/>
        <w:rPr>
          <w:rFonts w:ascii="仿宋" w:hAnsi="仿宋" w:eastAsia="仿宋"/>
          <w:kern w:val="0"/>
          <w:sz w:val="28"/>
          <w:lang w:val="zh-CN"/>
        </w:rPr>
      </w:pPr>
      <w:r>
        <w:rPr>
          <w:rFonts w:hint="eastAsia" w:ascii="仿宋" w:hAnsi="仿宋" w:eastAsia="仿宋"/>
          <w:kern w:val="0"/>
          <w:sz w:val="28"/>
          <w:lang w:val="zh-CN"/>
        </w:rPr>
        <w:t>3. 对本统一合同文本的任何修改或补充，当事人均应在“特别约定”条款中进行约定，除此之外不得直接对合同文本进行改动。</w:t>
      </w:r>
    </w:p>
    <w:p>
      <w:pPr>
        <w:autoSpaceDE w:val="0"/>
        <w:autoSpaceDN w:val="0"/>
        <w:adjustRightInd w:val="0"/>
        <w:snapToGrid w:val="0"/>
        <w:spacing w:line="480" w:lineRule="exact"/>
        <w:ind w:firstLine="700" w:firstLineChars="250"/>
        <w:rPr>
          <w:rFonts w:ascii="仿宋" w:hAnsi="仿宋" w:eastAsia="仿宋"/>
          <w:sz w:val="28"/>
        </w:rPr>
      </w:pPr>
      <w:r>
        <w:rPr>
          <w:rFonts w:hint="eastAsia" w:ascii="仿宋" w:hAnsi="仿宋" w:eastAsia="仿宋"/>
          <w:sz w:val="28"/>
        </w:rPr>
        <w:t>4. 有关本统一合同文本的其他使用说明见合同文本脚注。</w:t>
      </w:r>
    </w:p>
    <w:p>
      <w:pPr>
        <w:snapToGrid w:val="0"/>
        <w:spacing w:line="480" w:lineRule="exact"/>
        <w:ind w:firstLine="700" w:firstLineChars="250"/>
        <w:rPr>
          <w:rFonts w:ascii="仿宋" w:hAnsi="仿宋" w:eastAsia="仿宋"/>
          <w:sz w:val="28"/>
        </w:rPr>
      </w:pPr>
      <w:r>
        <w:rPr>
          <w:rFonts w:hint="eastAsia" w:ascii="仿宋" w:hAnsi="仿宋" w:eastAsia="仿宋"/>
          <w:sz w:val="28"/>
        </w:rPr>
        <w:t>5. 国家电网有限公司各单位合同承办人员应按照本使用说明起草合同，在合同开始内部审核或提交对方前应删除本使用说明及合同文本脚注。</w:t>
      </w:r>
    </w:p>
    <w:p>
      <w:pPr>
        <w:snapToGrid w:val="0"/>
        <w:spacing w:line="480" w:lineRule="exact"/>
        <w:rPr>
          <w:rFonts w:ascii="仿宋" w:hAnsi="仿宋" w:eastAsia="仿宋"/>
          <w:sz w:val="28"/>
        </w:rPr>
      </w:pPr>
    </w:p>
    <w:p>
      <w:pPr>
        <w:snapToGrid w:val="0"/>
        <w:spacing w:line="480" w:lineRule="exact"/>
        <w:jc w:val="left"/>
        <w:rPr>
          <w:rFonts w:ascii="仿宋" w:hAnsi="仿宋" w:eastAsia="仿宋"/>
          <w:sz w:val="28"/>
        </w:rPr>
        <w:sectPr>
          <w:pgSz w:w="11906" w:h="16838"/>
          <w:pgMar w:top="1440" w:right="1800" w:bottom="1440" w:left="1800" w:header="851" w:footer="992" w:gutter="0"/>
          <w:pgNumType w:start="0"/>
          <w:cols w:space="720" w:num="1"/>
          <w:formProt w:val="1"/>
          <w:docGrid w:linePitch="312" w:charSpace="0"/>
        </w:sectPr>
      </w:pPr>
    </w:p>
    <w:p>
      <w:pPr>
        <w:snapToGrid w:val="0"/>
        <w:jc w:val="center"/>
        <w:rPr>
          <w:rFonts w:ascii="华文中宋" w:hAnsi="华文中宋" w:eastAsia="华文中宋"/>
          <w:b/>
          <w:w w:val="101"/>
          <w:kern w:val="0"/>
          <w:sz w:val="32"/>
        </w:rPr>
      </w:pPr>
      <w:r>
        <w:rPr>
          <w:rFonts w:hint="eastAsia" w:ascii="华文中宋" w:hAnsi="华文中宋" w:eastAsia="华文中宋"/>
          <w:b/>
          <w:w w:val="101"/>
          <w:kern w:val="0"/>
          <w:sz w:val="32"/>
        </w:rPr>
        <w:t>目  录</w:t>
      </w:r>
    </w:p>
    <w:p>
      <w:pPr>
        <w:snapToGrid w:val="0"/>
        <w:spacing w:line="480" w:lineRule="exact"/>
        <w:jc w:val="center"/>
        <w:rPr>
          <w:rFonts w:ascii="仿宋" w:hAnsi="仿宋" w:eastAsia="仿宋"/>
          <w:b/>
          <w:sz w:val="28"/>
        </w:rPr>
      </w:pPr>
    </w:p>
    <w:p>
      <w:pPr>
        <w:pStyle w:val="14"/>
        <w:rPr>
          <w:rFonts w:ascii="仿宋" w:hAnsi="仿宋" w:eastAsia="仿宋"/>
          <w:sz w:val="28"/>
          <w:szCs w:val="28"/>
        </w:rPr>
      </w:pPr>
      <w:r>
        <w:rPr>
          <w:rFonts w:hint="eastAsia" w:ascii="仿宋" w:hAnsi="仿宋" w:eastAsia="仿宋"/>
          <w:kern w:val="44"/>
          <w:sz w:val="28"/>
          <w:szCs w:val="28"/>
        </w:rPr>
        <w:fldChar w:fldCharType="begin"/>
      </w:r>
      <w:r>
        <w:rPr>
          <w:rStyle w:val="20"/>
          <w:rFonts w:hint="eastAsia" w:ascii="仿宋" w:hAnsi="仿宋" w:eastAsia="仿宋"/>
          <w:kern w:val="44"/>
          <w:sz w:val="28"/>
          <w:szCs w:val="28"/>
        </w:rPr>
        <w:instrText xml:space="preserve"> TOC \o "1-1" \h \z \u </w:instrText>
      </w:r>
      <w:r>
        <w:rPr>
          <w:rFonts w:hint="eastAsia" w:ascii="仿宋" w:hAnsi="仿宋" w:eastAsia="仿宋"/>
          <w:kern w:val="44"/>
          <w:sz w:val="28"/>
          <w:szCs w:val="28"/>
        </w:rPr>
        <w:fldChar w:fldCharType="separate"/>
      </w:r>
      <w:r>
        <w:fldChar w:fldCharType="begin"/>
      </w:r>
      <w:r>
        <w:instrText xml:space="preserve"> HYPERLINK \l "_Toc437466573" </w:instrText>
      </w:r>
      <w:r>
        <w:fldChar w:fldCharType="separate"/>
      </w:r>
      <w:r>
        <w:rPr>
          <w:rStyle w:val="20"/>
          <w:rFonts w:ascii="仿宋" w:hAnsi="仿宋" w:eastAsia="仿宋"/>
          <w:sz w:val="28"/>
          <w:szCs w:val="28"/>
        </w:rPr>
        <w:t xml:space="preserve">1.  </w:t>
      </w:r>
      <w:r>
        <w:rPr>
          <w:rStyle w:val="20"/>
          <w:rFonts w:hint="eastAsia" w:ascii="仿宋" w:hAnsi="仿宋" w:eastAsia="仿宋"/>
          <w:sz w:val="28"/>
          <w:szCs w:val="28"/>
        </w:rPr>
        <w:t>定义</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_Toc437466573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"_Toc437466574" </w:instrText>
      </w:r>
      <w:r>
        <w:fldChar w:fldCharType="separate"/>
      </w:r>
      <w:r>
        <w:rPr>
          <w:rStyle w:val="20"/>
          <w:rFonts w:ascii="仿宋" w:hAnsi="仿宋" w:eastAsia="仿宋"/>
          <w:sz w:val="28"/>
          <w:szCs w:val="28"/>
        </w:rPr>
        <w:t xml:space="preserve">2.  </w:t>
      </w:r>
      <w:r>
        <w:rPr>
          <w:rStyle w:val="20"/>
          <w:rFonts w:hint="eastAsia" w:ascii="仿宋" w:hAnsi="仿宋" w:eastAsia="仿宋"/>
          <w:sz w:val="28"/>
          <w:szCs w:val="28"/>
        </w:rPr>
        <w:t>服务范围</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_Toc437466574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"_Toc437466575" </w:instrText>
      </w:r>
      <w:r>
        <w:fldChar w:fldCharType="separate"/>
      </w:r>
      <w:r>
        <w:rPr>
          <w:rStyle w:val="20"/>
          <w:rFonts w:ascii="仿宋" w:hAnsi="仿宋" w:eastAsia="仿宋"/>
          <w:sz w:val="28"/>
          <w:szCs w:val="28"/>
        </w:rPr>
        <w:t xml:space="preserve">3.  </w:t>
      </w:r>
      <w:r>
        <w:rPr>
          <w:rStyle w:val="20"/>
          <w:rFonts w:hint="eastAsia" w:ascii="仿宋" w:hAnsi="仿宋" w:eastAsia="仿宋"/>
          <w:sz w:val="28"/>
          <w:szCs w:val="28"/>
        </w:rPr>
        <w:t>双方的权利和义务</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_Toc437466575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"_Toc437466576" </w:instrText>
      </w:r>
      <w:r>
        <w:fldChar w:fldCharType="separate"/>
      </w:r>
      <w:r>
        <w:rPr>
          <w:rStyle w:val="20"/>
          <w:rFonts w:ascii="仿宋" w:hAnsi="仿宋" w:eastAsia="仿宋"/>
          <w:sz w:val="28"/>
          <w:szCs w:val="28"/>
        </w:rPr>
        <w:t xml:space="preserve">4.  </w:t>
      </w:r>
      <w:r>
        <w:rPr>
          <w:rStyle w:val="20"/>
          <w:rFonts w:hint="eastAsia" w:ascii="仿宋" w:hAnsi="仿宋" w:eastAsia="仿宋"/>
          <w:sz w:val="28"/>
          <w:szCs w:val="28"/>
        </w:rPr>
        <w:t>交付作品</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_Toc437466576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"_Toc437466577" </w:instrText>
      </w:r>
      <w:r>
        <w:fldChar w:fldCharType="separate"/>
      </w:r>
      <w:r>
        <w:rPr>
          <w:rStyle w:val="20"/>
          <w:rFonts w:ascii="仿宋" w:hAnsi="仿宋" w:eastAsia="仿宋"/>
          <w:sz w:val="28"/>
          <w:szCs w:val="28"/>
        </w:rPr>
        <w:t xml:space="preserve">5.  </w:t>
      </w:r>
      <w:r>
        <w:rPr>
          <w:rStyle w:val="20"/>
          <w:rFonts w:hint="eastAsia" w:ascii="仿宋" w:hAnsi="仿宋" w:eastAsia="仿宋"/>
          <w:sz w:val="28"/>
          <w:szCs w:val="28"/>
        </w:rPr>
        <w:t>工作进度</w:t>
      </w:r>
      <w:bookmarkStart w:id="0" w:name="_Hlt437466622"/>
      <w:r>
        <w:rPr>
          <w:rFonts w:ascii="仿宋" w:hAnsi="仿宋" w:eastAsia="仿宋"/>
          <w:sz w:val="28"/>
          <w:szCs w:val="28"/>
        </w:rPr>
        <w:tab/>
      </w:r>
      <w:bookmarkEnd w:id="0"/>
      <w:r>
        <w:rPr>
          <w:rFonts w:ascii="仿宋" w:hAnsi="仿宋" w:eastAsia="仿宋"/>
          <w:sz w:val="28"/>
          <w:szCs w:val="28"/>
        </w:rPr>
        <w:fldChar w:fldCharType="begin"/>
      </w:r>
      <w:r>
        <w:rPr>
          <w:rFonts w:ascii="仿宋" w:hAnsi="仿宋" w:eastAsia="仿宋"/>
          <w:sz w:val="28"/>
          <w:szCs w:val="28"/>
        </w:rPr>
        <w:instrText xml:space="preserve"> PAGEREF _Toc437466577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"_Toc437466578" </w:instrText>
      </w:r>
      <w:r>
        <w:fldChar w:fldCharType="separate"/>
      </w:r>
      <w:r>
        <w:rPr>
          <w:rStyle w:val="20"/>
          <w:rFonts w:ascii="仿宋" w:hAnsi="仿宋" w:eastAsia="仿宋"/>
          <w:sz w:val="28"/>
          <w:szCs w:val="28"/>
        </w:rPr>
        <w:t xml:space="preserve">6.  </w:t>
      </w:r>
      <w:r>
        <w:rPr>
          <w:rStyle w:val="20"/>
          <w:rFonts w:hint="eastAsia" w:ascii="仿宋" w:hAnsi="仿宋" w:eastAsia="仿宋"/>
          <w:sz w:val="28"/>
          <w:szCs w:val="28"/>
        </w:rPr>
        <w:t>确认与验收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_Toc437466578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"_Toc437466579" </w:instrText>
      </w:r>
      <w:r>
        <w:fldChar w:fldCharType="separate"/>
      </w:r>
      <w:r>
        <w:rPr>
          <w:rStyle w:val="20"/>
          <w:rFonts w:ascii="仿宋" w:hAnsi="仿宋" w:eastAsia="仿宋"/>
          <w:sz w:val="28"/>
          <w:szCs w:val="28"/>
        </w:rPr>
        <w:t xml:space="preserve">7.  </w:t>
      </w:r>
      <w:r>
        <w:rPr>
          <w:rStyle w:val="20"/>
          <w:rFonts w:hint="eastAsia" w:ascii="仿宋" w:hAnsi="仿宋" w:eastAsia="仿宋"/>
          <w:sz w:val="28"/>
          <w:szCs w:val="28"/>
        </w:rPr>
        <w:t>保证</w:t>
      </w:r>
      <w:r>
        <w:rPr>
          <w:rFonts w:ascii="仿宋" w:hAnsi="仿宋" w:eastAsia="仿宋"/>
          <w:sz w:val="28"/>
          <w:szCs w:val="28"/>
        </w:rPr>
        <w:tab/>
      </w:r>
      <w:bookmarkStart w:id="1" w:name="_Hlt438806311"/>
      <w:bookmarkStart w:id="2" w:name="_Hlt438806312"/>
      <w:r>
        <w:rPr>
          <w:rFonts w:ascii="仿宋" w:hAnsi="仿宋" w:eastAsia="仿宋"/>
          <w:sz w:val="28"/>
          <w:szCs w:val="28"/>
        </w:rPr>
        <w:fldChar w:fldCharType="begin"/>
      </w:r>
      <w:r>
        <w:rPr>
          <w:rFonts w:ascii="仿宋" w:hAnsi="仿宋" w:eastAsia="仿宋"/>
          <w:sz w:val="28"/>
          <w:szCs w:val="28"/>
        </w:rPr>
        <w:instrText xml:space="preserve"> PAGEREF _Toc437466579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bookmarkEnd w:id="1"/>
      <w:bookmarkEnd w:id="2"/>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"_Toc437466580" </w:instrText>
      </w:r>
      <w:r>
        <w:fldChar w:fldCharType="separate"/>
      </w:r>
      <w:r>
        <w:rPr>
          <w:rStyle w:val="20"/>
          <w:rFonts w:ascii="仿宋" w:hAnsi="仿宋" w:eastAsia="仿宋"/>
          <w:sz w:val="28"/>
          <w:szCs w:val="28"/>
        </w:rPr>
        <w:t xml:space="preserve">8.  </w:t>
      </w:r>
      <w:r>
        <w:rPr>
          <w:rStyle w:val="20"/>
          <w:rFonts w:hint="eastAsia" w:ascii="仿宋" w:hAnsi="仿宋" w:eastAsia="仿宋"/>
          <w:sz w:val="28"/>
          <w:szCs w:val="28"/>
        </w:rPr>
        <w:t>合同价格</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_Toc437466580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"_Toc437466581" </w:instrText>
      </w:r>
      <w:r>
        <w:fldChar w:fldCharType="separate"/>
      </w:r>
      <w:r>
        <w:rPr>
          <w:rStyle w:val="20"/>
          <w:rFonts w:ascii="仿宋" w:hAnsi="仿宋" w:eastAsia="仿宋"/>
          <w:sz w:val="28"/>
          <w:szCs w:val="28"/>
        </w:rPr>
        <w:t xml:space="preserve">9.  </w:t>
      </w:r>
      <w:r>
        <w:rPr>
          <w:rStyle w:val="20"/>
          <w:rFonts w:hint="eastAsia" w:ascii="仿宋" w:hAnsi="仿宋" w:eastAsia="仿宋"/>
          <w:sz w:val="28"/>
          <w:szCs w:val="28"/>
        </w:rPr>
        <w:t>专利权和技术成果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_Toc437466581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"_Toc437466582" </w:instrText>
      </w:r>
      <w:r>
        <w:fldChar w:fldCharType="separate"/>
      </w:r>
      <w:r>
        <w:rPr>
          <w:rStyle w:val="20"/>
          <w:rFonts w:ascii="仿宋" w:hAnsi="仿宋" w:eastAsia="仿宋"/>
          <w:sz w:val="28"/>
          <w:szCs w:val="28"/>
        </w:rPr>
        <w:t xml:space="preserve">10. </w:t>
      </w:r>
      <w:r>
        <w:rPr>
          <w:rStyle w:val="20"/>
          <w:rFonts w:hint="eastAsia" w:ascii="仿宋" w:hAnsi="仿宋" w:eastAsia="仿宋"/>
          <w:sz w:val="28"/>
          <w:szCs w:val="28"/>
        </w:rPr>
        <w:t>保密</w:t>
      </w:r>
      <w:bookmarkStart w:id="3" w:name="_Hlt437466630"/>
      <w:r>
        <w:rPr>
          <w:rFonts w:ascii="仿宋" w:hAnsi="仿宋" w:eastAsia="仿宋"/>
          <w:sz w:val="28"/>
          <w:szCs w:val="28"/>
        </w:rPr>
        <w:tab/>
      </w:r>
      <w:bookmarkEnd w:id="3"/>
      <w:r>
        <w:rPr>
          <w:rFonts w:ascii="仿宋" w:hAnsi="仿宋" w:eastAsia="仿宋"/>
          <w:sz w:val="28"/>
          <w:szCs w:val="28"/>
        </w:rPr>
        <w:fldChar w:fldCharType="begin"/>
      </w:r>
      <w:r>
        <w:rPr>
          <w:rFonts w:ascii="仿宋" w:hAnsi="仿宋" w:eastAsia="仿宋"/>
          <w:sz w:val="28"/>
          <w:szCs w:val="28"/>
        </w:rPr>
        <w:instrText xml:space="preserve"> PAGEREF _Toc437466582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"_Toc437466583" </w:instrText>
      </w:r>
      <w:r>
        <w:fldChar w:fldCharType="separate"/>
      </w:r>
      <w:r>
        <w:rPr>
          <w:rStyle w:val="20"/>
          <w:rFonts w:ascii="仿宋" w:hAnsi="仿宋" w:eastAsia="仿宋"/>
          <w:sz w:val="28"/>
          <w:szCs w:val="28"/>
        </w:rPr>
        <w:t xml:space="preserve">11. </w:t>
      </w:r>
      <w:r>
        <w:rPr>
          <w:rStyle w:val="20"/>
          <w:rFonts w:hint="eastAsia" w:ascii="仿宋" w:hAnsi="仿宋" w:eastAsia="仿宋"/>
          <w:sz w:val="28"/>
          <w:szCs w:val="28"/>
        </w:rPr>
        <w:t>违约责任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_Toc437466583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"_Toc437466584" </w:instrText>
      </w:r>
      <w:r>
        <w:fldChar w:fldCharType="separate"/>
      </w:r>
      <w:r>
        <w:rPr>
          <w:rStyle w:val="20"/>
          <w:rFonts w:ascii="仿宋" w:hAnsi="仿宋" w:eastAsia="仿宋"/>
          <w:sz w:val="28"/>
          <w:szCs w:val="28"/>
        </w:rPr>
        <w:t xml:space="preserve">12. </w:t>
      </w:r>
      <w:r>
        <w:rPr>
          <w:rStyle w:val="20"/>
          <w:rFonts w:hint="eastAsia" w:ascii="仿宋" w:hAnsi="仿宋" w:eastAsia="仿宋"/>
          <w:sz w:val="28"/>
          <w:szCs w:val="28"/>
        </w:rPr>
        <w:t>履约保证金</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_Toc437466584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"_Toc437466585" </w:instrText>
      </w:r>
      <w:r>
        <w:fldChar w:fldCharType="separate"/>
      </w:r>
      <w:r>
        <w:rPr>
          <w:rStyle w:val="20"/>
          <w:rFonts w:ascii="仿宋" w:hAnsi="仿宋" w:eastAsia="仿宋"/>
          <w:sz w:val="28"/>
          <w:szCs w:val="28"/>
        </w:rPr>
        <w:t xml:space="preserve">13. </w:t>
      </w:r>
      <w:r>
        <w:rPr>
          <w:rStyle w:val="20"/>
          <w:rFonts w:hint="eastAsia" w:ascii="仿宋" w:hAnsi="仿宋" w:eastAsia="仿宋"/>
          <w:sz w:val="28"/>
          <w:szCs w:val="28"/>
        </w:rPr>
        <w:t>合同中止履行与解除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_Toc437466585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"_Toc437466586" </w:instrText>
      </w:r>
      <w:r>
        <w:fldChar w:fldCharType="separate"/>
      </w:r>
      <w:r>
        <w:rPr>
          <w:rStyle w:val="20"/>
          <w:rFonts w:ascii="仿宋" w:hAnsi="仿宋" w:eastAsia="仿宋"/>
          <w:sz w:val="28"/>
          <w:szCs w:val="28"/>
        </w:rPr>
        <w:t xml:space="preserve">14. </w:t>
      </w:r>
      <w:r>
        <w:rPr>
          <w:rStyle w:val="20"/>
          <w:rFonts w:hint="eastAsia" w:ascii="仿宋" w:hAnsi="仿宋" w:eastAsia="仿宋"/>
          <w:sz w:val="28"/>
          <w:szCs w:val="28"/>
        </w:rPr>
        <w:t>不可抗力</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_Toc437466586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"_Toc437466587" </w:instrText>
      </w:r>
      <w:r>
        <w:fldChar w:fldCharType="separate"/>
      </w:r>
      <w:r>
        <w:rPr>
          <w:rStyle w:val="20"/>
          <w:rFonts w:ascii="仿宋" w:hAnsi="仿宋" w:eastAsia="仿宋"/>
          <w:sz w:val="28"/>
          <w:szCs w:val="28"/>
        </w:rPr>
        <w:t xml:space="preserve">15. </w:t>
      </w:r>
      <w:r>
        <w:rPr>
          <w:rStyle w:val="20"/>
          <w:rFonts w:hint="eastAsia" w:ascii="仿宋" w:hAnsi="仿宋" w:eastAsia="仿宋"/>
          <w:sz w:val="28"/>
          <w:szCs w:val="28"/>
        </w:rPr>
        <w:t>适用法律</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_Toc437466587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"_Toc437466588" </w:instrText>
      </w:r>
      <w:r>
        <w:fldChar w:fldCharType="separate"/>
      </w:r>
      <w:r>
        <w:rPr>
          <w:rStyle w:val="20"/>
          <w:rFonts w:ascii="仿宋" w:hAnsi="仿宋" w:eastAsia="仿宋"/>
          <w:sz w:val="28"/>
          <w:szCs w:val="28"/>
        </w:rPr>
        <w:t xml:space="preserve">16. </w:t>
      </w:r>
      <w:r>
        <w:rPr>
          <w:rStyle w:val="20"/>
          <w:rFonts w:hint="eastAsia" w:ascii="仿宋" w:hAnsi="仿宋" w:eastAsia="仿宋"/>
          <w:sz w:val="28"/>
          <w:szCs w:val="28"/>
        </w:rPr>
        <w:t>争议解决</w:t>
      </w:r>
      <w:bookmarkStart w:id="4" w:name="_Hlt437466640"/>
      <w:r>
        <w:rPr>
          <w:rFonts w:ascii="仿宋" w:hAnsi="仿宋" w:eastAsia="仿宋"/>
          <w:sz w:val="28"/>
          <w:szCs w:val="28"/>
        </w:rPr>
        <w:tab/>
      </w:r>
      <w:bookmarkEnd w:id="4"/>
      <w:r>
        <w:rPr>
          <w:rFonts w:ascii="仿宋" w:hAnsi="仿宋" w:eastAsia="仿宋"/>
          <w:sz w:val="28"/>
          <w:szCs w:val="28"/>
        </w:rPr>
        <w:fldChar w:fldCharType="begin"/>
      </w:r>
      <w:r>
        <w:rPr>
          <w:rFonts w:ascii="仿宋" w:hAnsi="仿宋" w:eastAsia="仿宋"/>
          <w:sz w:val="28"/>
          <w:szCs w:val="28"/>
        </w:rPr>
        <w:instrText xml:space="preserve"> PAGEREF _Toc437466588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"_Toc437466589" </w:instrText>
      </w:r>
      <w:r>
        <w:fldChar w:fldCharType="separate"/>
      </w:r>
      <w:r>
        <w:rPr>
          <w:rStyle w:val="20"/>
          <w:rFonts w:ascii="仿宋" w:hAnsi="仿宋" w:eastAsia="仿宋"/>
          <w:sz w:val="28"/>
          <w:szCs w:val="28"/>
        </w:rPr>
        <w:t xml:space="preserve">17. </w:t>
      </w:r>
      <w:r>
        <w:rPr>
          <w:rStyle w:val="20"/>
          <w:rFonts w:hint="eastAsia" w:ascii="仿宋" w:hAnsi="仿宋" w:eastAsia="仿宋"/>
          <w:sz w:val="28"/>
          <w:szCs w:val="28"/>
        </w:rPr>
        <w:t>合同生效</w:t>
      </w:r>
      <w:r>
        <w:rPr>
          <w:rFonts w:ascii="仿宋" w:hAnsi="仿宋" w:eastAsia="仿宋"/>
          <w:sz w:val="28"/>
          <w:szCs w:val="28"/>
        </w:rPr>
        <w:tab/>
      </w:r>
      <w:bookmarkStart w:id="5" w:name="_Hlt438806317"/>
      <w:r>
        <w:rPr>
          <w:rFonts w:ascii="仿宋" w:hAnsi="仿宋" w:eastAsia="仿宋"/>
          <w:sz w:val="28"/>
          <w:szCs w:val="28"/>
        </w:rPr>
        <w:fldChar w:fldCharType="begin"/>
      </w:r>
      <w:r>
        <w:rPr>
          <w:rFonts w:ascii="仿宋" w:hAnsi="仿宋" w:eastAsia="仿宋"/>
          <w:sz w:val="28"/>
          <w:szCs w:val="28"/>
        </w:rPr>
        <w:instrText xml:space="preserve"> PAGEREF _Toc437466589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bookmarkEnd w:id="5"/>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"_Toc437466590" </w:instrText>
      </w:r>
      <w:r>
        <w:fldChar w:fldCharType="separate"/>
      </w:r>
      <w:r>
        <w:rPr>
          <w:rStyle w:val="20"/>
          <w:rFonts w:ascii="仿宋" w:hAnsi="仿宋" w:eastAsia="仿宋"/>
          <w:sz w:val="28"/>
          <w:szCs w:val="28"/>
        </w:rPr>
        <w:t xml:space="preserve">18. </w:t>
      </w:r>
      <w:r>
        <w:rPr>
          <w:rStyle w:val="20"/>
          <w:rFonts w:hint="eastAsia" w:ascii="仿宋" w:hAnsi="仿宋" w:eastAsia="仿宋"/>
          <w:sz w:val="28"/>
          <w:szCs w:val="28"/>
        </w:rPr>
        <w:t>份数</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_Toc437466590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"_Toc437466591" </w:instrText>
      </w:r>
      <w:r>
        <w:fldChar w:fldCharType="separate"/>
      </w:r>
      <w:r>
        <w:rPr>
          <w:rStyle w:val="20"/>
          <w:rFonts w:ascii="仿宋" w:hAnsi="仿宋" w:eastAsia="仿宋"/>
          <w:sz w:val="28"/>
          <w:szCs w:val="28"/>
        </w:rPr>
        <w:t xml:space="preserve">19. </w:t>
      </w:r>
      <w:r>
        <w:rPr>
          <w:rStyle w:val="20"/>
          <w:rFonts w:hint="eastAsia" w:ascii="仿宋" w:hAnsi="仿宋" w:eastAsia="仿宋"/>
          <w:sz w:val="28"/>
          <w:szCs w:val="28"/>
        </w:rPr>
        <w:t>特别约定</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_Toc437466591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4"/>
      </w:pPr>
      <w:r>
        <w:rPr>
          <w:rFonts w:hint="eastAsia" w:ascii="仿宋" w:hAnsi="仿宋" w:eastAsia="仿宋"/>
          <w:kern w:val="44"/>
          <w:sz w:val="28"/>
          <w:szCs w:val="28"/>
        </w:rPr>
        <w:fldChar w:fldCharType="end"/>
      </w:r>
    </w:p>
    <w:p>
      <w:pPr>
        <w:pStyle w:val="14"/>
        <w:sectPr>
          <w:footerReference r:id="rId10" w:type="first"/>
          <w:pgSz w:w="11906" w:h="16838"/>
          <w:pgMar w:top="1440" w:right="1800" w:bottom="1440" w:left="1800" w:header="851" w:footer="992" w:gutter="0"/>
          <w:pgNumType w:fmt="upperRoman" w:start="1"/>
          <w:cols w:space="720" w:num="1"/>
          <w:formProt w:val="1"/>
          <w:docGrid w:linePitch="312" w:charSpace="0"/>
        </w:sectPr>
      </w:pPr>
    </w:p>
    <w:p>
      <w:pPr>
        <w:snapToGrid w:val="0"/>
        <w:jc w:val="center"/>
        <w:rPr>
          <w:rFonts w:ascii="华文中宋" w:hAnsi="华文中宋" w:eastAsia="华文中宋"/>
          <w:b/>
          <w:w w:val="101"/>
          <w:kern w:val="0"/>
          <w:sz w:val="32"/>
        </w:rPr>
      </w:pPr>
      <w:r>
        <w:rPr>
          <w:rFonts w:hint="eastAsia" w:ascii="华文中宋" w:hAnsi="华文中宋" w:eastAsia="华文中宋"/>
          <w:b/>
          <w:w w:val="101"/>
          <w:kern w:val="0"/>
          <w:sz w:val="32"/>
        </w:rPr>
        <w:t>计算机系统/软件实施服务合同</w:t>
      </w:r>
    </w:p>
    <w:p>
      <w:pPr>
        <w:snapToGrid w:val="0"/>
        <w:spacing w:line="480" w:lineRule="exact"/>
        <w:ind w:firstLine="560" w:firstLineChars="200"/>
        <w:rPr>
          <w:rFonts w:ascii="仿宋" w:hAnsi="仿宋" w:eastAsia="仿宋"/>
          <w:sz w:val="28"/>
        </w:rPr>
      </w:pPr>
    </w:p>
    <w:p>
      <w:pPr>
        <w:rPr>
          <w:u w:val="single"/>
        </w:rPr>
      </w:pPr>
      <w:r>
        <w:rPr>
          <w:rFonts w:hint="eastAsia" w:ascii="仿宋" w:hAnsi="仿宋" w:eastAsia="仿宋"/>
          <w:sz w:val="28"/>
        </w:rPr>
        <w:t>委托方（甲方）:</w:t>
      </w:r>
      <w:r>
        <w:rPr>
          <w:rFonts w:hint="eastAsia"/>
        </w:rPr>
        <w:t xml:space="preserve"> </w:t>
      </w:r>
      <w:r>
        <w:rPr>
          <w:rFonts w:hint="eastAsia" w:ascii="仿宋" w:hAnsi="仿宋" w:eastAsia="仿宋"/>
          <w:sz w:val="28"/>
          <w:u w:val="single"/>
        </w:rPr>
        <w:t>国网汇通金财（北京）信息科技有限公司</w:t>
      </w:r>
      <w:r>
        <w:rPr>
          <w:rFonts w:hint="eastAsia"/>
          <w:u w:val="single"/>
        </w:rPr>
        <w:t xml:space="preserve"> </w:t>
      </w:r>
    </w:p>
    <w:p>
      <w:pPr>
        <w:rPr>
          <w:rFonts w:ascii="仿宋" w:hAnsi="仿宋" w:eastAsia="仿宋"/>
          <w:sz w:val="28"/>
        </w:rPr>
      </w:pPr>
      <w:r>
        <w:rPr>
          <w:rFonts w:hint="eastAsia" w:ascii="仿宋" w:hAnsi="仿宋" w:eastAsia="仿宋"/>
          <w:sz w:val="28"/>
        </w:rPr>
        <w:t>受托方（乙方）:</w:t>
      </w:r>
      <w:r>
        <w:rPr>
          <w:rFonts w:hint="eastAsia" w:ascii="仿宋" w:hAnsi="仿宋" w:eastAsia="仿宋"/>
          <w:sz w:val="28"/>
          <w:u w:val="single"/>
        </w:rPr>
        <w:t xml:space="preserve"> 北京创联致信科技有限公司 </w:t>
      </w:r>
    </w:p>
    <w:p>
      <w:pPr>
        <w:snapToGrid w:val="0"/>
        <w:spacing w:line="480" w:lineRule="exact"/>
        <w:ind w:firstLine="560" w:firstLineChars="200"/>
        <w:jc w:val="left"/>
        <w:rPr>
          <w:rFonts w:ascii="仿宋" w:hAnsi="仿宋" w:eastAsia="仿宋"/>
          <w:sz w:val="28"/>
        </w:rPr>
      </w:pPr>
    </w:p>
    <w:p>
      <w:pPr>
        <w:snapToGrid w:val="0"/>
        <w:spacing w:line="480" w:lineRule="exact"/>
        <w:ind w:firstLine="560" w:firstLineChars="200"/>
        <w:rPr>
          <w:rFonts w:ascii="仿宋" w:hAnsi="仿宋" w:eastAsia="仿宋"/>
          <w:sz w:val="28"/>
        </w:rPr>
      </w:pPr>
      <w:r>
        <w:rPr>
          <w:rFonts w:hint="eastAsia" w:ascii="仿宋" w:hAnsi="仿宋" w:eastAsia="仿宋"/>
          <w:sz w:val="28"/>
        </w:rPr>
        <w:t>鉴于甲方拟委托乙方为其提供</w:t>
      </w:r>
      <w:r>
        <w:rPr>
          <w:rFonts w:ascii="仿宋" w:hAnsi="仿宋" w:eastAsia="仿宋"/>
          <w:sz w:val="28"/>
          <w:u w:val="single"/>
        </w:rPr>
        <w:t xml:space="preserve"> </w:t>
      </w:r>
      <w:r>
        <w:rPr>
          <w:rFonts w:hint="eastAsia" w:ascii="仿宋" w:hAnsi="仿宋" w:eastAsia="仿宋"/>
          <w:sz w:val="28"/>
          <w:u w:val="single"/>
        </w:rPr>
        <w:t xml:space="preserve">结算依据管理等功能优化服务  </w:t>
      </w:r>
      <w:r>
        <w:rPr>
          <w:rFonts w:hint="eastAsia" w:ascii="仿宋" w:hAnsi="仿宋" w:eastAsia="仿宋"/>
          <w:sz w:val="28"/>
        </w:rPr>
        <w:t>系统/软件（以下简称“项目”）实施服务，且乙方同意接受委托，根据《中华人民共和国合同法》等有关法律、法规和规章的规定，双方经协商一致，订立本合同。</w:t>
      </w:r>
    </w:p>
    <w:p>
      <w:pPr>
        <w:snapToGrid w:val="0"/>
        <w:spacing w:line="480" w:lineRule="exact"/>
        <w:ind w:firstLine="560" w:firstLineChars="200"/>
        <w:jc w:val="left"/>
        <w:rPr>
          <w:rFonts w:ascii="仿宋" w:hAnsi="仿宋" w:eastAsia="仿宋"/>
          <w:sz w:val="28"/>
        </w:rPr>
      </w:pPr>
      <w:bookmarkStart w:id="6" w:name="_Toc159294460"/>
    </w:p>
    <w:p>
      <w:pPr>
        <w:pStyle w:val="3"/>
        <w:adjustRightInd w:val="0"/>
        <w:ind w:firstLine="560" w:firstLineChars="0"/>
        <w:jc w:val="left"/>
        <w:rPr>
          <w:rFonts w:ascii="黑体" w:eastAsia="黑体"/>
          <w:b w:val="0"/>
          <w:sz w:val="28"/>
        </w:rPr>
      </w:pPr>
      <w:bookmarkStart w:id="7" w:name="_Toc437466573"/>
      <w:r>
        <w:rPr>
          <w:rFonts w:hint="eastAsia" w:ascii="黑体" w:eastAsia="黑体"/>
          <w:b w:val="0"/>
          <w:sz w:val="28"/>
        </w:rPr>
        <w:t xml:space="preserve">1.  </w:t>
      </w:r>
      <w:bookmarkEnd w:id="6"/>
      <w:r>
        <w:rPr>
          <w:rFonts w:hint="eastAsia" w:ascii="黑体" w:eastAsia="黑体"/>
          <w:b w:val="0"/>
          <w:sz w:val="28"/>
        </w:rPr>
        <w:t>定义</w:t>
      </w:r>
      <w:bookmarkEnd w:id="7"/>
    </w:p>
    <w:p>
      <w:pPr>
        <w:snapToGrid w:val="0"/>
        <w:spacing w:line="480" w:lineRule="exact"/>
        <w:ind w:firstLine="560" w:firstLineChars="200"/>
        <w:rPr>
          <w:rFonts w:ascii="仿宋" w:hAnsi="仿宋" w:eastAsia="仿宋"/>
          <w:b/>
          <w:sz w:val="28"/>
        </w:rPr>
      </w:pPr>
      <w:r>
        <w:rPr>
          <w:rFonts w:hint="eastAsia" w:ascii="仿宋" w:hAnsi="仿宋" w:eastAsia="仿宋"/>
          <w:sz w:val="28"/>
        </w:rPr>
        <w:t>下列词语具有本条所赋予的含义：</w:t>
      </w:r>
      <w:r>
        <w:rPr>
          <w:rFonts w:ascii="仿宋" w:hAnsi="仿宋" w:eastAsia="仿宋"/>
          <w:sz w:val="28"/>
        </w:rPr>
        <w:t xml:space="preserve"> </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1.</w:t>
      </w:r>
      <w:r>
        <w:rPr>
          <w:rFonts w:ascii="仿宋" w:hAnsi="仿宋" w:eastAsia="仿宋"/>
          <w:sz w:val="28"/>
        </w:rPr>
        <w:t>1</w:t>
      </w:r>
      <w:r>
        <w:rPr>
          <w:rFonts w:hint="eastAsia" w:ascii="仿宋" w:hAnsi="仿宋" w:eastAsia="仿宋"/>
          <w:sz w:val="28"/>
        </w:rPr>
        <w:t xml:space="preserve"> “委托方”指</w:t>
      </w:r>
      <w:r>
        <w:rPr>
          <w:rFonts w:hint="eastAsia" w:ascii="仿宋" w:hAnsi="仿宋" w:eastAsia="仿宋"/>
          <w:sz w:val="28"/>
          <w:u w:val="single"/>
        </w:rPr>
        <w:t xml:space="preserve">国网汇通金财（北京）信息科技有限公司 </w:t>
      </w:r>
      <w:r>
        <w:rPr>
          <w:rFonts w:hint="eastAsia" w:ascii="仿宋" w:hAnsi="仿宋" w:eastAsia="仿宋"/>
          <w:sz w:val="28"/>
        </w:rPr>
        <w:t>，包括</w:t>
      </w:r>
      <w:r>
        <w:rPr>
          <w:rFonts w:hint="eastAsia" w:ascii="仿宋" w:hAnsi="仿宋" w:eastAsia="仿宋"/>
          <w:snapToGrid w:val="0"/>
          <w:kern w:val="0"/>
          <w:sz w:val="28"/>
        </w:rPr>
        <w:t>其法定的承继者和经许可的受让人</w:t>
      </w:r>
      <w:r>
        <w:rPr>
          <w:rFonts w:hint="eastAsia" w:ascii="仿宋" w:hAnsi="仿宋" w:eastAsia="仿宋"/>
          <w:sz w:val="28"/>
        </w:rPr>
        <w:t>。</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1.2 “受托方”指</w:t>
      </w:r>
      <w:r>
        <w:rPr>
          <w:rFonts w:hint="eastAsia" w:ascii="仿宋" w:hAnsi="仿宋" w:eastAsia="仿宋"/>
          <w:sz w:val="28"/>
          <w:u w:val="single"/>
        </w:rPr>
        <w:t xml:space="preserve">  北京创联致信科技有限公司  </w:t>
      </w:r>
      <w:r>
        <w:rPr>
          <w:rFonts w:hint="eastAsia" w:ascii="仿宋" w:hAnsi="仿宋" w:eastAsia="仿宋"/>
          <w:sz w:val="28"/>
        </w:rPr>
        <w:t>，</w:t>
      </w:r>
      <w:r>
        <w:rPr>
          <w:rFonts w:hint="eastAsia" w:ascii="仿宋" w:hAnsi="仿宋" w:eastAsia="仿宋"/>
          <w:snapToGrid w:val="0"/>
          <w:kern w:val="0"/>
          <w:sz w:val="28"/>
        </w:rPr>
        <w:t>包括其法定的承继者</w:t>
      </w:r>
      <w:r>
        <w:rPr>
          <w:rFonts w:hint="eastAsia" w:ascii="仿宋" w:hAnsi="仿宋" w:eastAsia="仿宋"/>
          <w:sz w:val="28"/>
        </w:rPr>
        <w:t>。</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1.3  “合同”指</w:t>
      </w:r>
      <w:r>
        <w:rPr>
          <w:rFonts w:ascii="仿宋" w:hAnsi="仿宋" w:eastAsia="仿宋"/>
          <w:sz w:val="28"/>
        </w:rPr>
        <w:t>甲方和乙方</w:t>
      </w:r>
      <w:r>
        <w:rPr>
          <w:rFonts w:hint="eastAsia" w:ascii="仿宋" w:hAnsi="仿宋" w:eastAsia="仿宋"/>
          <w:sz w:val="28"/>
        </w:rPr>
        <w:t>就系统/软件实施服务所</w:t>
      </w:r>
      <w:r>
        <w:rPr>
          <w:rFonts w:ascii="仿宋" w:hAnsi="仿宋" w:eastAsia="仿宋"/>
          <w:sz w:val="28"/>
        </w:rPr>
        <w:t>达成的合同、协议，包括</w:t>
      </w:r>
      <w:r>
        <w:rPr>
          <w:rFonts w:hint="eastAsia" w:ascii="仿宋" w:hAnsi="仿宋" w:eastAsia="仿宋"/>
          <w:sz w:val="28"/>
        </w:rPr>
        <w:t>合同正文、</w:t>
      </w:r>
      <w:r>
        <w:rPr>
          <w:rFonts w:ascii="仿宋" w:hAnsi="仿宋" w:eastAsia="仿宋"/>
          <w:sz w:val="28"/>
        </w:rPr>
        <w:t>合同附件</w:t>
      </w:r>
      <w:r>
        <w:rPr>
          <w:rFonts w:hint="eastAsia" w:ascii="仿宋" w:hAnsi="仿宋" w:eastAsia="仿宋"/>
          <w:sz w:val="28"/>
        </w:rPr>
        <w:t>以及</w:t>
      </w:r>
      <w:r>
        <w:rPr>
          <w:rFonts w:ascii="仿宋" w:hAnsi="仿宋" w:eastAsia="仿宋"/>
          <w:sz w:val="28"/>
        </w:rPr>
        <w:t>上述文件</w:t>
      </w:r>
      <w:r>
        <w:rPr>
          <w:rFonts w:hint="eastAsia" w:ascii="仿宋" w:hAnsi="仿宋" w:eastAsia="仿宋"/>
          <w:sz w:val="28"/>
        </w:rPr>
        <w:t>明确</w:t>
      </w:r>
      <w:r>
        <w:rPr>
          <w:rFonts w:ascii="仿宋" w:hAnsi="仿宋" w:eastAsia="仿宋"/>
          <w:sz w:val="28"/>
        </w:rPr>
        <w:t>构成合同的</w:t>
      </w:r>
      <w:r>
        <w:rPr>
          <w:rFonts w:hint="eastAsia" w:ascii="仿宋" w:hAnsi="仿宋" w:eastAsia="仿宋"/>
          <w:sz w:val="28"/>
        </w:rPr>
        <w:t>其他</w:t>
      </w:r>
      <w:r>
        <w:rPr>
          <w:rFonts w:ascii="仿宋" w:hAnsi="仿宋" w:eastAsia="仿宋"/>
          <w:sz w:val="28"/>
        </w:rPr>
        <w:t>文件。</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1.4 “合同价格”指根据本合同约定的条件，在乙方完全履行本合同义务后甲方应根据本合同第8条的约定支付给乙方的费用。</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1.5 “生效日期”指本合同第17条中所约定的合同的生效日期。</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1.6 “技术资料”指项目实施所涉及的设计、安装调试、数据迁移、验收、检验试验、技术指导等文件</w:t>
      </w:r>
      <w:r>
        <w:rPr>
          <w:rFonts w:ascii="仿宋" w:hAnsi="仿宋" w:eastAsia="仿宋"/>
          <w:sz w:val="28"/>
        </w:rPr>
        <w:t>（</w:t>
      </w:r>
      <w:r>
        <w:rPr>
          <w:rFonts w:hint="eastAsia" w:ascii="仿宋" w:hAnsi="仿宋" w:eastAsia="仿宋"/>
          <w:sz w:val="28"/>
        </w:rPr>
        <w:t>包括但不限于图纸、各种文字说明、标准、各种系统/软件）。</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1.7 “技术服务”指由乙方根据所需提供的与项目设计、安装调试、数据迁移、验收、测试、运行、检修相应的技术指导、技术配合、技术培训、售后服务等全过程的服务。</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1.8 “现场”指乙方实施合同约定服务的场所，即买方指定地点。</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1.9 “验收”指甲方依据《技术规范》（附件1）约定的程序和条件对由乙方实施的项目进行检验和接收。</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1.10 “日（天）、月、年”指公历的日、月、年；“日（天）”是指</w:t>
      </w:r>
      <w:r>
        <w:rPr>
          <w:rFonts w:ascii="仿宋" w:hAnsi="仿宋" w:eastAsia="仿宋"/>
          <w:sz w:val="28"/>
        </w:rPr>
        <w:t>24</w:t>
      </w:r>
      <w:r>
        <w:rPr>
          <w:rFonts w:hint="eastAsia" w:ascii="仿宋" w:hAnsi="仿宋" w:eastAsia="仿宋"/>
          <w:sz w:val="28"/>
        </w:rPr>
        <w:t>小时；“周”是指</w:t>
      </w:r>
      <w:r>
        <w:rPr>
          <w:rFonts w:ascii="仿宋" w:hAnsi="仿宋" w:eastAsia="仿宋"/>
          <w:sz w:val="28"/>
        </w:rPr>
        <w:t>7</w:t>
      </w:r>
      <w:r>
        <w:rPr>
          <w:rFonts w:hint="eastAsia" w:ascii="仿宋" w:hAnsi="仿宋" w:eastAsia="仿宋"/>
          <w:sz w:val="28"/>
        </w:rPr>
        <w:t>天。</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1.11 除本合同另有约定外，“以上”、“以下”、“以内”、“×日内”、“届满”，均包括本数；“不满”、“以外”，不包括本数；“×日前”“×日后”不包括当日。按照日、月、年计算期间的，开始的当天不算入，从下一天开始计算。期间的最后一天不是工作日的，该期间应于下一个工作日终止。</w:t>
      </w:r>
    </w:p>
    <w:p>
      <w:pPr>
        <w:pStyle w:val="3"/>
        <w:adjustRightInd w:val="0"/>
        <w:spacing w:line="480" w:lineRule="exact"/>
        <w:ind w:firstLineChars="0"/>
        <w:jc w:val="left"/>
        <w:rPr>
          <w:rFonts w:ascii="黑体" w:eastAsia="黑体"/>
          <w:b w:val="0"/>
          <w:sz w:val="28"/>
        </w:rPr>
      </w:pPr>
      <w:bookmarkStart w:id="8" w:name="_Hlt103416477"/>
      <w:bookmarkEnd w:id="8"/>
      <w:bookmarkStart w:id="9" w:name="_Toc121109570"/>
      <w:bookmarkStart w:id="10" w:name="_Toc159294463"/>
      <w:bookmarkStart w:id="11" w:name="_Toc437466574"/>
      <w:r>
        <w:rPr>
          <w:rFonts w:hint="eastAsia" w:ascii="黑体" w:eastAsia="黑体"/>
          <w:b w:val="0"/>
          <w:sz w:val="28"/>
        </w:rPr>
        <w:t>2.  服务范围</w:t>
      </w:r>
      <w:bookmarkEnd w:id="9"/>
      <w:bookmarkEnd w:id="10"/>
      <w:bookmarkEnd w:id="11"/>
    </w:p>
    <w:p>
      <w:pPr>
        <w:snapToGrid w:val="0"/>
        <w:spacing w:line="480" w:lineRule="exact"/>
        <w:ind w:firstLine="560" w:firstLineChars="200"/>
        <w:rPr>
          <w:rFonts w:ascii="仿宋" w:hAnsi="仿宋" w:eastAsia="仿宋"/>
          <w:sz w:val="28"/>
        </w:rPr>
      </w:pPr>
      <w:r>
        <w:rPr>
          <w:rFonts w:hint="eastAsia" w:ascii="仿宋" w:hAnsi="仿宋" w:eastAsia="仿宋"/>
          <w:sz w:val="28"/>
        </w:rPr>
        <w:t>2.1 乙方应按照《技术规范》的约定向甲方提供项目实施服务，包括但不限于开展的需求调研、所列出的交付作品，</w:t>
      </w:r>
      <w:r>
        <w:rPr>
          <w:rFonts w:ascii="仿宋" w:hAnsi="仿宋" w:eastAsia="仿宋"/>
          <w:sz w:val="28"/>
        </w:rPr>
        <w:t>乙方</w:t>
      </w:r>
      <w:r>
        <w:rPr>
          <w:rFonts w:hint="eastAsia" w:ascii="仿宋" w:hAnsi="仿宋" w:eastAsia="仿宋"/>
          <w:sz w:val="28"/>
        </w:rPr>
        <w:t>负责项目实施服务的管理和控制。乙方并应按照合同约定协助甲方或其指定方完成与项目实施相关的工作。乙方应根据合同约定，向甲方人员提供为顺利完成项目所必需的培训、指导。</w:t>
      </w:r>
    </w:p>
    <w:p>
      <w:pPr>
        <w:pStyle w:val="3"/>
        <w:adjustRightInd w:val="0"/>
        <w:ind w:firstLine="560" w:firstLineChars="0"/>
        <w:jc w:val="left"/>
        <w:rPr>
          <w:rFonts w:ascii="黑体" w:eastAsia="黑体"/>
          <w:b w:val="0"/>
          <w:sz w:val="28"/>
        </w:rPr>
      </w:pPr>
      <w:bookmarkStart w:id="12" w:name="_Toc437466575"/>
      <w:r>
        <w:rPr>
          <w:rFonts w:hint="eastAsia" w:ascii="黑体" w:eastAsia="黑体"/>
          <w:b w:val="0"/>
          <w:sz w:val="28"/>
        </w:rPr>
        <w:t>3.  双方的权利和义务</w:t>
      </w:r>
      <w:bookmarkEnd w:id="12"/>
    </w:p>
    <w:p>
      <w:pPr>
        <w:snapToGrid w:val="0"/>
        <w:spacing w:line="480" w:lineRule="exact"/>
        <w:ind w:firstLine="560" w:firstLineChars="200"/>
        <w:rPr>
          <w:rFonts w:ascii="仿宋" w:hAnsi="仿宋" w:eastAsia="仿宋"/>
          <w:sz w:val="28"/>
        </w:rPr>
      </w:pPr>
      <w:r>
        <w:rPr>
          <w:rFonts w:hint="eastAsia" w:ascii="仿宋" w:hAnsi="仿宋" w:eastAsia="仿宋"/>
          <w:sz w:val="28"/>
        </w:rPr>
        <w:t>3.1 甲方的权利和义务</w:t>
      </w:r>
    </w:p>
    <w:p>
      <w:pPr>
        <w:snapToGrid w:val="0"/>
        <w:spacing w:line="480" w:lineRule="exact"/>
        <w:ind w:firstLine="560" w:firstLineChars="200"/>
        <w:rPr>
          <w:rFonts w:ascii="仿宋" w:hAnsi="仿宋" w:eastAsia="仿宋"/>
          <w:sz w:val="28"/>
        </w:rPr>
      </w:pPr>
      <w:r>
        <w:rPr>
          <w:rFonts w:hint="eastAsia" w:ascii="仿宋" w:hAnsi="仿宋" w:eastAsia="仿宋"/>
          <w:sz w:val="28"/>
        </w:rPr>
        <w:t>3.1.1 甲方有权依据本合同获得乙方交付的项目作品、服务及相关知识产权。</w:t>
      </w:r>
    </w:p>
    <w:p>
      <w:pPr>
        <w:snapToGrid w:val="0"/>
        <w:spacing w:line="480" w:lineRule="exact"/>
        <w:ind w:firstLine="560" w:firstLineChars="200"/>
        <w:rPr>
          <w:rFonts w:ascii="仿宋" w:hAnsi="仿宋" w:eastAsia="仿宋"/>
          <w:sz w:val="28"/>
        </w:rPr>
      </w:pPr>
      <w:r>
        <w:rPr>
          <w:rFonts w:hint="eastAsia" w:ascii="仿宋" w:hAnsi="仿宋" w:eastAsia="仿宋"/>
          <w:sz w:val="28"/>
        </w:rPr>
        <w:t>3.1.2 甲方有权利及时了解和监督项目服务的进展情况。</w:t>
      </w:r>
    </w:p>
    <w:p>
      <w:pPr>
        <w:snapToGrid w:val="0"/>
        <w:spacing w:line="480" w:lineRule="exact"/>
        <w:ind w:firstLine="560" w:firstLineChars="200"/>
        <w:rPr>
          <w:rFonts w:ascii="仿宋" w:hAnsi="仿宋" w:eastAsia="仿宋"/>
          <w:sz w:val="28"/>
        </w:rPr>
      </w:pPr>
      <w:r>
        <w:rPr>
          <w:rFonts w:hint="eastAsia" w:ascii="仿宋" w:hAnsi="仿宋" w:eastAsia="仿宋"/>
          <w:sz w:val="28"/>
        </w:rPr>
        <w:t>3.1.3 甲方应向乙方提供完成项目服务所必需的资料和工作条件。</w:t>
      </w:r>
    </w:p>
    <w:p>
      <w:pPr>
        <w:snapToGrid w:val="0"/>
        <w:spacing w:line="480" w:lineRule="exact"/>
        <w:ind w:firstLine="560" w:firstLineChars="200"/>
        <w:rPr>
          <w:rFonts w:ascii="仿宋" w:hAnsi="仿宋" w:eastAsia="仿宋"/>
          <w:sz w:val="28"/>
        </w:rPr>
      </w:pPr>
      <w:r>
        <w:rPr>
          <w:rFonts w:hint="eastAsia" w:ascii="仿宋" w:hAnsi="仿宋" w:eastAsia="仿宋"/>
          <w:sz w:val="28"/>
        </w:rPr>
        <w:t>3.1.4 甲方应当按照合同约定向乙方支付合同价款。</w:t>
      </w:r>
    </w:p>
    <w:p>
      <w:pPr>
        <w:snapToGrid w:val="0"/>
        <w:spacing w:line="480" w:lineRule="exact"/>
        <w:ind w:firstLine="560" w:firstLineChars="200"/>
        <w:rPr>
          <w:rFonts w:ascii="仿宋" w:hAnsi="仿宋" w:eastAsia="仿宋"/>
          <w:sz w:val="28"/>
        </w:rPr>
      </w:pPr>
      <w:r>
        <w:rPr>
          <w:rFonts w:hint="eastAsia" w:ascii="仿宋" w:hAnsi="仿宋" w:eastAsia="仿宋"/>
          <w:sz w:val="28"/>
        </w:rPr>
        <w:t>3.2 乙方的权利和义务</w:t>
      </w:r>
    </w:p>
    <w:p>
      <w:pPr>
        <w:snapToGrid w:val="0"/>
        <w:spacing w:line="480" w:lineRule="exact"/>
        <w:ind w:firstLine="560" w:firstLineChars="200"/>
        <w:rPr>
          <w:rFonts w:ascii="仿宋" w:hAnsi="仿宋" w:eastAsia="仿宋"/>
          <w:sz w:val="28"/>
        </w:rPr>
      </w:pPr>
      <w:r>
        <w:rPr>
          <w:rFonts w:hint="eastAsia" w:ascii="仿宋" w:hAnsi="仿宋" w:eastAsia="仿宋"/>
          <w:sz w:val="28"/>
        </w:rPr>
        <w:t>3.2.1 乙方有权利按照本合同约定收取合同价款。</w:t>
      </w:r>
    </w:p>
    <w:p>
      <w:pPr>
        <w:snapToGrid w:val="0"/>
        <w:spacing w:line="480" w:lineRule="exact"/>
        <w:ind w:firstLine="560" w:firstLineChars="200"/>
        <w:rPr>
          <w:rFonts w:ascii="仿宋" w:hAnsi="仿宋" w:eastAsia="仿宋"/>
          <w:sz w:val="28"/>
        </w:rPr>
      </w:pPr>
      <w:r>
        <w:rPr>
          <w:rFonts w:hint="eastAsia" w:ascii="仿宋" w:hAnsi="仿宋" w:eastAsia="仿宋"/>
          <w:sz w:val="28"/>
        </w:rPr>
        <w:t>3.2.2 乙方有权利要求甲方提供完成项目服务所必需的资料及必要的支持。</w:t>
      </w:r>
    </w:p>
    <w:p>
      <w:pPr>
        <w:snapToGrid w:val="0"/>
        <w:spacing w:line="480" w:lineRule="exact"/>
        <w:ind w:firstLine="560" w:firstLineChars="200"/>
        <w:rPr>
          <w:rFonts w:ascii="仿宋" w:hAnsi="仿宋" w:eastAsia="仿宋"/>
          <w:sz w:val="28"/>
        </w:rPr>
      </w:pPr>
      <w:r>
        <w:rPr>
          <w:rFonts w:hint="eastAsia" w:ascii="仿宋" w:hAnsi="仿宋" w:eastAsia="仿宋"/>
          <w:sz w:val="28"/>
        </w:rPr>
        <w:t>3.2.3</w:t>
      </w:r>
      <w:r>
        <w:rPr>
          <w:rFonts w:ascii="仿宋" w:hAnsi="仿宋" w:eastAsia="仿宋"/>
          <w:sz w:val="28"/>
        </w:rPr>
        <w:t>乙方</w:t>
      </w:r>
      <w:r>
        <w:rPr>
          <w:rFonts w:hint="eastAsia" w:ascii="仿宋" w:hAnsi="仿宋" w:eastAsia="仿宋"/>
          <w:sz w:val="28"/>
        </w:rPr>
        <w:t>应指派具有相应资格和丰富经验的工作人员（具体人员名单见《乙方工作人员名单》）（附件2），按照</w:t>
      </w:r>
      <w:r>
        <w:rPr>
          <w:rFonts w:ascii="仿宋" w:hAnsi="仿宋" w:eastAsia="仿宋"/>
          <w:sz w:val="28"/>
        </w:rPr>
        <w:t>技术规范</w:t>
      </w:r>
      <w:r>
        <w:rPr>
          <w:rFonts w:hint="eastAsia" w:ascii="仿宋" w:hAnsi="仿宋" w:eastAsia="仿宋"/>
          <w:sz w:val="28"/>
        </w:rPr>
        <w:t>约定的时间</w:t>
      </w:r>
      <w:r>
        <w:rPr>
          <w:rFonts w:ascii="仿宋" w:hAnsi="仿宋" w:eastAsia="仿宋"/>
          <w:sz w:val="28"/>
        </w:rPr>
        <w:t>提</w:t>
      </w:r>
      <w:r>
        <w:rPr>
          <w:rFonts w:hint="eastAsia" w:ascii="仿宋" w:hAnsi="仿宋" w:eastAsia="仿宋"/>
          <w:sz w:val="28"/>
        </w:rPr>
        <w:t>供项目实施服务，其中项目负责人为</w:t>
      </w:r>
      <w:r>
        <w:rPr>
          <w:rFonts w:hint="eastAsia" w:ascii="仿宋" w:hAnsi="仿宋" w:eastAsia="仿宋"/>
          <w:sz w:val="28"/>
          <w:u w:val="single"/>
        </w:rPr>
        <w:t xml:space="preserve"> 蔡建</w:t>
      </w:r>
      <w:r>
        <w:rPr>
          <w:rFonts w:ascii="仿宋" w:hAnsi="仿宋" w:eastAsia="仿宋"/>
          <w:sz w:val="28"/>
          <w:u w:val="single"/>
        </w:rPr>
        <w:t xml:space="preserve"> </w:t>
      </w:r>
      <w:r>
        <w:rPr>
          <w:rFonts w:hint="eastAsia" w:ascii="仿宋" w:hAnsi="仿宋" w:eastAsia="仿宋"/>
          <w:sz w:val="28"/>
        </w:rPr>
        <w:t>。</w:t>
      </w:r>
      <w:r>
        <w:rPr>
          <w:rFonts w:ascii="仿宋" w:hAnsi="仿宋" w:eastAsia="仿宋"/>
          <w:sz w:val="28"/>
        </w:rPr>
        <w:t>乙方</w:t>
      </w:r>
      <w:r>
        <w:rPr>
          <w:rFonts w:hint="eastAsia" w:ascii="仿宋" w:hAnsi="仿宋" w:eastAsia="仿宋"/>
          <w:sz w:val="28"/>
        </w:rPr>
        <w:t>可以在项目实施期间要求甲方相关单位予以协助。在不影响本合同履行的情况下，经甲方书面同意，</w:t>
      </w:r>
      <w:r>
        <w:rPr>
          <w:rFonts w:ascii="仿宋" w:hAnsi="仿宋" w:eastAsia="仿宋"/>
          <w:sz w:val="28"/>
        </w:rPr>
        <w:t>乙方</w:t>
      </w:r>
      <w:r>
        <w:rPr>
          <w:rFonts w:hint="eastAsia" w:ascii="仿宋" w:hAnsi="仿宋" w:eastAsia="仿宋"/>
          <w:sz w:val="28"/>
        </w:rPr>
        <w:t>工作人员可以在甲方所在地和乙方的工作场所之间灵活分配时间。</w:t>
      </w:r>
    </w:p>
    <w:p>
      <w:pPr>
        <w:snapToGrid w:val="0"/>
        <w:spacing w:line="480" w:lineRule="exact"/>
        <w:ind w:firstLine="560" w:firstLineChars="200"/>
        <w:rPr>
          <w:rFonts w:ascii="仿宋" w:hAnsi="仿宋" w:eastAsia="仿宋"/>
          <w:sz w:val="28"/>
        </w:rPr>
      </w:pPr>
      <w:r>
        <w:rPr>
          <w:rFonts w:hint="eastAsia" w:ascii="仿宋" w:hAnsi="仿宋" w:eastAsia="仿宋"/>
          <w:sz w:val="28"/>
        </w:rPr>
        <w:t>3.2.4 甲方应向乙方提供项目有关方案的技术文件、标准、图纸等技术资料，详见《技术规范》。乙方需要复制时，费用自理。除严格用于合同目的外，乙方不得在未经甲方书面同意的情况下，允许第三方使用或向第三方转让甲方提供的技术资料。项目实施服务完成后，乙方应按甲方要求将甲方提供的所有技术资料退还甲方。</w:t>
      </w:r>
    </w:p>
    <w:p>
      <w:pPr>
        <w:snapToGrid w:val="0"/>
        <w:spacing w:line="480" w:lineRule="exact"/>
        <w:ind w:firstLine="560" w:firstLineChars="200"/>
        <w:rPr>
          <w:rFonts w:ascii="仿宋" w:hAnsi="仿宋" w:eastAsia="仿宋"/>
          <w:sz w:val="28"/>
        </w:rPr>
      </w:pPr>
      <w:r>
        <w:rPr>
          <w:rFonts w:hint="eastAsia" w:ascii="仿宋" w:hAnsi="仿宋" w:eastAsia="仿宋"/>
          <w:sz w:val="28"/>
        </w:rPr>
        <w:t>3.2.5 乙方保证所交付的项目作品是完整的、全新的、技术上先进和成熟的，并在性能、质量和设计方面满足合同约定的安全、可靠和高效运行与方便维护的全部要求，能够满足甲方的个性化需求与接口的相关开发工作。乙方所提供的技术资料应是完整的、清晰易读的、准确无误的，能够满足本项目交付作品的检验、安装、调试、测试、验收、运行、维护和培训的需要。</w:t>
      </w:r>
    </w:p>
    <w:p>
      <w:pPr>
        <w:snapToGrid w:val="0"/>
        <w:spacing w:line="480" w:lineRule="exact"/>
        <w:ind w:firstLine="560" w:firstLineChars="200"/>
        <w:rPr>
          <w:rFonts w:ascii="仿宋" w:hAnsi="仿宋" w:eastAsia="仿宋"/>
          <w:sz w:val="28"/>
        </w:rPr>
      </w:pPr>
      <w:r>
        <w:rPr>
          <w:rFonts w:hint="eastAsia" w:ascii="仿宋" w:hAnsi="仿宋" w:eastAsia="仿宋"/>
          <w:sz w:val="28"/>
        </w:rPr>
        <w:t xml:space="preserve"> 3.2.6 若本合同所涉及的项目在将来进行扩容，乙方确保其在扩容项目中交付的成果与其在本合同中所提供的项目交付成果兼容。</w:t>
      </w:r>
    </w:p>
    <w:p>
      <w:pPr>
        <w:snapToGrid w:val="0"/>
        <w:spacing w:line="480" w:lineRule="exact"/>
        <w:ind w:firstLine="560" w:firstLineChars="200"/>
        <w:rPr>
          <w:rFonts w:ascii="仿宋" w:hAnsi="仿宋" w:eastAsia="仿宋"/>
          <w:sz w:val="28"/>
        </w:rPr>
      </w:pPr>
      <w:r>
        <w:rPr>
          <w:rFonts w:hint="eastAsia" w:ascii="仿宋" w:hAnsi="仿宋" w:eastAsia="仿宋"/>
          <w:sz w:val="28"/>
        </w:rPr>
        <w:t xml:space="preserve"> 3.2.7在质保期内，乙方应对本合同项下的项目进行免费更新。作品交付后，乙方负责对项目交付作品进行维护，对甲方相关技术人员进行培训，费用由乙方承担。</w:t>
      </w:r>
    </w:p>
    <w:p>
      <w:pPr>
        <w:snapToGrid w:val="0"/>
        <w:spacing w:line="480" w:lineRule="exact"/>
        <w:ind w:firstLine="560" w:firstLineChars="200"/>
        <w:rPr>
          <w:rFonts w:ascii="仿宋" w:hAnsi="仿宋" w:eastAsia="仿宋"/>
          <w:sz w:val="28"/>
        </w:rPr>
      </w:pPr>
      <w:r>
        <w:rPr>
          <w:rFonts w:hint="eastAsia" w:ascii="仿宋" w:hAnsi="仿宋" w:eastAsia="仿宋"/>
          <w:sz w:val="28"/>
        </w:rPr>
        <w:t xml:space="preserve"> 3.2.8 在合同履行中，乙方应及时答复甲方提出的有关项目交付作品的问题，并免费为甲方提供有关资料。</w:t>
      </w:r>
    </w:p>
    <w:p>
      <w:pPr>
        <w:snapToGrid w:val="0"/>
        <w:spacing w:line="480" w:lineRule="exact"/>
        <w:ind w:firstLine="560" w:firstLineChars="200"/>
        <w:rPr>
          <w:rFonts w:ascii="仿宋" w:hAnsi="仿宋" w:eastAsia="仿宋"/>
          <w:sz w:val="28"/>
        </w:rPr>
      </w:pPr>
      <w:r>
        <w:rPr>
          <w:rFonts w:hint="eastAsia" w:ascii="仿宋" w:hAnsi="仿宋" w:eastAsia="仿宋"/>
          <w:sz w:val="28"/>
        </w:rPr>
        <w:t xml:space="preserve"> 3.2.9 乙方保证其所交付的项目作品及服务不存在任何权利瑕疵，如甲方因此受到任何第三方追索时，乙方应负责与第三方交涉，并承担所有由此引起的法律和经济责任，相关费用由乙方承担。</w:t>
      </w:r>
    </w:p>
    <w:p>
      <w:pPr>
        <w:pStyle w:val="3"/>
        <w:adjustRightInd w:val="0"/>
        <w:ind w:firstLine="560" w:firstLineChars="0"/>
        <w:jc w:val="left"/>
        <w:rPr>
          <w:rFonts w:ascii="黑体" w:eastAsia="黑体"/>
          <w:b w:val="0"/>
          <w:sz w:val="28"/>
        </w:rPr>
      </w:pPr>
      <w:bookmarkStart w:id="13" w:name="_Toc437466576"/>
      <w:r>
        <w:rPr>
          <w:rFonts w:hint="eastAsia" w:ascii="黑体" w:eastAsia="黑体"/>
          <w:b w:val="0"/>
          <w:sz w:val="28"/>
        </w:rPr>
        <w:t>4.  交付作品</w:t>
      </w:r>
      <w:bookmarkEnd w:id="13"/>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4.1 乙方应根据</w:t>
      </w:r>
      <w:r>
        <w:rPr>
          <w:rFonts w:ascii="仿宋" w:hAnsi="仿宋" w:eastAsia="仿宋"/>
          <w:sz w:val="28"/>
        </w:rPr>
        <w:t>技术规范</w:t>
      </w:r>
      <w:r>
        <w:rPr>
          <w:rFonts w:hint="eastAsia" w:ascii="仿宋" w:hAnsi="仿宋" w:eastAsia="仿宋"/>
          <w:sz w:val="28"/>
        </w:rPr>
        <w:t>的约定向甲方提供文字作品或其他创作作品，例如程序（包括程序的源代码）、程序表列、程序设计工具、文档、报告、图表、培训资料等（简称“交付作品”）。交付作品不包括商品化的系统/软件或硬件，这类系统/软件或硬件将按照另行签署的合同提供。</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4</w:t>
      </w:r>
      <w:r>
        <w:rPr>
          <w:rFonts w:ascii="仿宋" w:hAnsi="仿宋" w:eastAsia="仿宋"/>
          <w:sz w:val="28"/>
        </w:rPr>
        <w:t>.</w:t>
      </w:r>
      <w:r>
        <w:rPr>
          <w:rFonts w:hint="eastAsia" w:ascii="仿宋" w:hAnsi="仿宋" w:eastAsia="仿宋"/>
          <w:sz w:val="28"/>
        </w:rPr>
        <w:t>2乙方的交付作品应满足合同约定的验收标准。</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4</w:t>
      </w:r>
      <w:r>
        <w:rPr>
          <w:rFonts w:ascii="仿宋" w:hAnsi="仿宋" w:eastAsia="仿宋"/>
          <w:sz w:val="28"/>
        </w:rPr>
        <w:t>.</w:t>
      </w:r>
      <w:r>
        <w:rPr>
          <w:rFonts w:hint="eastAsia" w:ascii="仿宋" w:hAnsi="仿宋" w:eastAsia="仿宋"/>
          <w:sz w:val="28"/>
        </w:rPr>
        <w:t>3 交付作品的所有权</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4.3</w:t>
      </w:r>
      <w:r>
        <w:rPr>
          <w:rFonts w:ascii="仿宋" w:hAnsi="仿宋" w:eastAsia="仿宋"/>
          <w:sz w:val="28"/>
        </w:rPr>
        <w:t>.1</w:t>
      </w:r>
      <w:r>
        <w:rPr>
          <w:rFonts w:hint="eastAsia" w:ascii="仿宋" w:hAnsi="仿宋" w:eastAsia="仿宋"/>
          <w:sz w:val="28"/>
        </w:rPr>
        <w:t xml:space="preserve"> 除双方另有约定外，甲方拥有交付作品的著作权和其它知识产权。未经甲方书面同意，</w:t>
      </w:r>
      <w:r>
        <w:rPr>
          <w:rFonts w:ascii="仿宋" w:hAnsi="仿宋" w:eastAsia="仿宋"/>
          <w:sz w:val="28"/>
        </w:rPr>
        <w:t>乙方</w:t>
      </w:r>
      <w:r>
        <w:rPr>
          <w:rFonts w:hint="eastAsia" w:ascii="仿宋" w:hAnsi="仿宋" w:eastAsia="仿宋"/>
          <w:sz w:val="28"/>
        </w:rPr>
        <w:t>不得使用、复制、改编、修改、再许可和发行交付作品。</w:t>
      </w:r>
    </w:p>
    <w:p>
      <w:pPr>
        <w:snapToGrid w:val="0"/>
        <w:spacing w:line="480" w:lineRule="exact"/>
        <w:ind w:firstLine="560" w:firstLineChars="200"/>
        <w:rPr>
          <w:rFonts w:ascii="仿宋" w:hAnsi="仿宋" w:eastAsia="仿宋"/>
          <w:sz w:val="28"/>
        </w:rPr>
      </w:pPr>
      <w:r>
        <w:rPr>
          <w:rFonts w:hint="eastAsia" w:ascii="仿宋" w:hAnsi="仿宋" w:eastAsia="仿宋"/>
          <w:sz w:val="28"/>
        </w:rPr>
        <w:t>4.3</w:t>
      </w:r>
      <w:r>
        <w:rPr>
          <w:rFonts w:ascii="仿宋" w:hAnsi="仿宋" w:eastAsia="仿宋"/>
          <w:sz w:val="28"/>
        </w:rPr>
        <w:t>.2</w:t>
      </w:r>
      <w:r>
        <w:rPr>
          <w:rFonts w:hint="eastAsia" w:ascii="仿宋" w:hAnsi="仿宋" w:eastAsia="仿宋"/>
          <w:sz w:val="28"/>
        </w:rPr>
        <w:t xml:space="preserve"> 对于在签署本合同前或在本项目范围外由</w:t>
      </w:r>
      <w:r>
        <w:rPr>
          <w:rFonts w:ascii="仿宋" w:hAnsi="仿宋" w:eastAsia="仿宋"/>
          <w:sz w:val="28"/>
        </w:rPr>
        <w:t>乙方</w:t>
      </w:r>
      <w:r>
        <w:rPr>
          <w:rFonts w:hint="eastAsia" w:ascii="仿宋" w:hAnsi="仿宋" w:eastAsia="仿宋"/>
          <w:sz w:val="28"/>
        </w:rPr>
        <w:t>或其他第三方创作或被许可给</w:t>
      </w:r>
      <w:r>
        <w:rPr>
          <w:rFonts w:ascii="仿宋" w:hAnsi="仿宋" w:eastAsia="仿宋"/>
          <w:sz w:val="28"/>
        </w:rPr>
        <w:t>乙方</w:t>
      </w:r>
      <w:r>
        <w:rPr>
          <w:rFonts w:hint="eastAsia" w:ascii="仿宋" w:hAnsi="仿宋" w:eastAsia="仿宋"/>
          <w:sz w:val="28"/>
        </w:rPr>
        <w:t>的任何作品或系统/软件（无论是书面形式还是机器可读形式）以及对其所作的任何后续修改（简称“已有作品”），其著作权和其他知识产权仍属于</w:t>
      </w:r>
      <w:r>
        <w:rPr>
          <w:rFonts w:ascii="仿宋" w:hAnsi="仿宋" w:eastAsia="仿宋"/>
          <w:sz w:val="28"/>
        </w:rPr>
        <w:t>乙方</w:t>
      </w:r>
      <w:r>
        <w:rPr>
          <w:rFonts w:hint="eastAsia" w:ascii="仿宋" w:hAnsi="仿宋" w:eastAsia="仿宋"/>
          <w:sz w:val="28"/>
        </w:rPr>
        <w:t>或第三方。但只要已有作品构成任何交付作品的一部分，甲方即拥有使用此类已有作品的永久许可。</w:t>
      </w:r>
    </w:p>
    <w:p>
      <w:pPr>
        <w:snapToGrid w:val="0"/>
        <w:spacing w:line="480" w:lineRule="exact"/>
        <w:ind w:firstLine="560" w:firstLineChars="200"/>
        <w:jc w:val="left"/>
        <w:rPr>
          <w:rFonts w:ascii="仿宋" w:hAnsi="仿宋" w:eastAsia="仿宋"/>
          <w:sz w:val="28"/>
          <w:u w:val="single"/>
        </w:rPr>
      </w:pPr>
      <w:r>
        <w:rPr>
          <w:rFonts w:hint="eastAsia" w:ascii="仿宋" w:hAnsi="仿宋" w:eastAsia="仿宋"/>
          <w:sz w:val="28"/>
        </w:rPr>
        <w:t>4</w:t>
      </w:r>
      <w:r>
        <w:rPr>
          <w:rFonts w:ascii="仿宋" w:hAnsi="仿宋" w:eastAsia="仿宋"/>
          <w:sz w:val="28"/>
        </w:rPr>
        <w:t>.</w:t>
      </w:r>
      <w:r>
        <w:rPr>
          <w:rFonts w:hint="eastAsia" w:ascii="仿宋" w:hAnsi="仿宋" w:eastAsia="仿宋"/>
          <w:sz w:val="28"/>
        </w:rPr>
        <w:t>4 乙方提供项目实施服务及交付作品的地点为：买方指定地点。</w:t>
      </w:r>
      <w:r>
        <w:rPr>
          <w:rFonts w:hint="eastAsia" w:ascii="黑体" w:eastAsia="黑体"/>
          <w:b/>
          <w:sz w:val="28"/>
        </w:rPr>
        <w:t xml:space="preserve">  </w:t>
      </w:r>
    </w:p>
    <w:p>
      <w:pPr>
        <w:pStyle w:val="3"/>
        <w:ind w:firstLine="560"/>
        <w:rPr>
          <w:rFonts w:ascii="黑体" w:hAnsi="黑体" w:eastAsia="黑体"/>
          <w:b w:val="0"/>
          <w:sz w:val="28"/>
          <w:szCs w:val="28"/>
        </w:rPr>
      </w:pPr>
      <w:bookmarkStart w:id="14" w:name="_Toc437466577"/>
      <w:bookmarkStart w:id="15" w:name="_Toc159294468"/>
      <w:bookmarkStart w:id="16" w:name="_Toc121109579"/>
      <w:r>
        <w:rPr>
          <w:rFonts w:hint="eastAsia" w:ascii="黑体" w:hAnsi="黑体" w:eastAsia="黑体"/>
          <w:b w:val="0"/>
          <w:sz w:val="28"/>
          <w:szCs w:val="28"/>
        </w:rPr>
        <w:t>5.  工作进度</w:t>
      </w:r>
      <w:bookmarkEnd w:id="14"/>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5.1 乙方应按照以下进度计划提供项目实施服务（含交付作品）：</w:t>
      </w:r>
    </w:p>
    <w:p>
      <w:pPr>
        <w:snapToGrid w:val="0"/>
        <w:spacing w:line="480" w:lineRule="exact"/>
        <w:ind w:firstLine="560" w:firstLineChars="200"/>
        <w:jc w:val="left"/>
        <w:rPr>
          <w:rFonts w:ascii="仿宋" w:hAnsi="仿宋" w:eastAsia="仿宋"/>
          <w:sz w:val="28"/>
        </w:rPr>
      </w:pPr>
      <w:r>
        <w:rPr>
          <w:rFonts w:hint="eastAsia" w:ascii="仿宋" w:hAnsi="仿宋" w:eastAsia="仿宋"/>
          <w:sz w:val="28"/>
          <w:u w:val="single"/>
        </w:rPr>
        <w:t>详见《技术规范》（附件1）</w:t>
      </w:r>
      <w:r>
        <w:rPr>
          <w:rFonts w:hint="eastAsia" w:ascii="仿宋" w:hAnsi="仿宋" w:eastAsia="仿宋"/>
          <w:sz w:val="28"/>
        </w:rPr>
        <w:t>。</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5.2 进度计划各节点的实现以双方共同签署的验收报告中确认的验收结果为准。但此报告并不能减轻或免除乙方在质保期内的义务和责任，以及乙方对技术性能与合同约定不相符所应承担的责任。</w:t>
      </w:r>
    </w:p>
    <w:p>
      <w:pPr>
        <w:pStyle w:val="3"/>
        <w:adjustRightInd w:val="0"/>
        <w:spacing w:line="480" w:lineRule="exact"/>
        <w:ind w:firstLine="560" w:firstLineChars="0"/>
        <w:jc w:val="left"/>
        <w:rPr>
          <w:rFonts w:ascii="黑体" w:eastAsia="黑体"/>
          <w:b w:val="0"/>
          <w:sz w:val="28"/>
        </w:rPr>
      </w:pPr>
      <w:bookmarkStart w:id="17" w:name="_Toc437466578"/>
      <w:r>
        <w:rPr>
          <w:rFonts w:hint="eastAsia" w:ascii="黑体" w:eastAsia="黑体"/>
          <w:b w:val="0"/>
          <w:sz w:val="28"/>
        </w:rPr>
        <w:t xml:space="preserve">6.  </w:t>
      </w:r>
      <w:bookmarkEnd w:id="15"/>
      <w:bookmarkEnd w:id="16"/>
      <w:r>
        <w:rPr>
          <w:rFonts w:hint="eastAsia" w:ascii="黑体" w:eastAsia="黑体"/>
          <w:b w:val="0"/>
          <w:sz w:val="28"/>
        </w:rPr>
        <w:t>确认与验收</w:t>
      </w:r>
      <w:bookmarkEnd w:id="17"/>
    </w:p>
    <w:p>
      <w:pPr>
        <w:snapToGrid w:val="0"/>
        <w:spacing w:line="480" w:lineRule="exact"/>
        <w:ind w:firstLine="560" w:firstLineChars="200"/>
        <w:rPr>
          <w:rFonts w:ascii="仿宋" w:hAnsi="仿宋" w:eastAsia="仿宋"/>
          <w:sz w:val="28"/>
        </w:rPr>
      </w:pPr>
      <w:r>
        <w:rPr>
          <w:rFonts w:hint="eastAsia" w:ascii="仿宋" w:hAnsi="仿宋" w:eastAsia="仿宋"/>
          <w:sz w:val="28"/>
        </w:rPr>
        <w:t>6.1乙方提供的项目实施服务应符合合同及《技术规范》（附件一）所述的相关标准，满足甲方的需求。如果合同中没有提及适用标准，则应符合有权机构发布的最新版本标准。根据合同约定，在项目实施过程中需要进行确认的文档或事项必须由甲方和/或乙方以书面形式进行确认。</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6.2 乙方完成的交付作品根据本合同约定需要由甲方确认的，甲方应在乙方提出书面要求后</w:t>
      </w:r>
      <w:r>
        <w:rPr>
          <w:rFonts w:hint="eastAsia" w:ascii="仿宋" w:hAnsi="仿宋" w:eastAsia="仿宋"/>
          <w:sz w:val="28"/>
          <w:u w:val="single"/>
        </w:rPr>
        <w:t xml:space="preserve"> 5 </w:t>
      </w:r>
      <w:r>
        <w:rPr>
          <w:rFonts w:hint="eastAsia" w:ascii="仿宋" w:hAnsi="仿宋" w:eastAsia="仿宋"/>
          <w:sz w:val="28"/>
        </w:rPr>
        <w:t>个工作日内进行签字确认,交付作品不符合合同要求时除外。交付作品一经确认，除非双方协商一致并签署书面确认书，乙方不得对其内容进行更改。</w:t>
      </w:r>
    </w:p>
    <w:p>
      <w:pPr>
        <w:snapToGrid w:val="0"/>
        <w:spacing w:line="480" w:lineRule="exact"/>
        <w:ind w:firstLine="560" w:firstLineChars="200"/>
        <w:rPr>
          <w:rFonts w:ascii="仿宋" w:hAnsi="仿宋" w:eastAsia="仿宋"/>
          <w:sz w:val="28"/>
        </w:rPr>
      </w:pPr>
      <w:r>
        <w:rPr>
          <w:rFonts w:hint="eastAsia" w:ascii="仿宋" w:hAnsi="仿宋" w:eastAsia="仿宋"/>
          <w:sz w:val="28"/>
        </w:rPr>
        <w:t>6.3乙方按照合同约定的进度完成相应阶段的实施服务后，应向甲方提出书面验收通知书。甲方在收到此通知书后，应在_</w:t>
      </w:r>
      <w:r>
        <w:rPr>
          <w:rFonts w:hint="eastAsia" w:ascii="仿宋" w:hAnsi="仿宋" w:eastAsia="仿宋"/>
          <w:sz w:val="28"/>
          <w:u w:val="single"/>
        </w:rPr>
        <w:t>10_</w:t>
      </w:r>
      <w:r>
        <w:rPr>
          <w:rFonts w:hint="eastAsia" w:ascii="仿宋" w:hAnsi="仿宋" w:eastAsia="仿宋"/>
          <w:sz w:val="28"/>
        </w:rPr>
        <w:t>个工作日内安排人员，与乙方共同组成验收小组，对实施成果进行验收。</w:t>
      </w:r>
    </w:p>
    <w:p>
      <w:pPr>
        <w:snapToGrid w:val="0"/>
        <w:spacing w:line="480" w:lineRule="exact"/>
        <w:ind w:firstLine="560" w:firstLineChars="200"/>
        <w:rPr>
          <w:rFonts w:ascii="仿宋" w:hAnsi="仿宋" w:eastAsia="仿宋"/>
          <w:sz w:val="28"/>
        </w:rPr>
      </w:pPr>
      <w:r>
        <w:rPr>
          <w:rFonts w:hint="eastAsia" w:ascii="仿宋" w:hAnsi="仿宋" w:eastAsia="仿宋"/>
          <w:sz w:val="28"/>
        </w:rPr>
        <w:t>6.4 甲方应按照合同约定对乙方服务进行验收，项目实施服务按照合同约定完成后，甲方应签署相应的验收文件。如果甲方认为乙方的实施服务不符合合同约定而不予验收的，应以书面形式向乙方说明不予验收的理由及依据，乙方应根据甲方的说明进行改进。</w:t>
      </w:r>
      <w:bookmarkStart w:id="18" w:name="_Toc159294469"/>
      <w:bookmarkStart w:id="19" w:name="_Toc121109580"/>
    </w:p>
    <w:p>
      <w:pPr>
        <w:pStyle w:val="3"/>
        <w:adjustRightInd w:val="0"/>
        <w:ind w:firstLine="560" w:firstLineChars="0"/>
        <w:jc w:val="left"/>
        <w:rPr>
          <w:rFonts w:ascii="黑体" w:eastAsia="黑体"/>
          <w:b w:val="0"/>
          <w:sz w:val="28"/>
        </w:rPr>
      </w:pPr>
      <w:bookmarkStart w:id="20" w:name="_Toc437466579"/>
      <w:r>
        <w:rPr>
          <w:rFonts w:hint="eastAsia" w:ascii="黑体" w:eastAsia="黑体"/>
          <w:b w:val="0"/>
          <w:sz w:val="28"/>
        </w:rPr>
        <w:t>7.  保证</w:t>
      </w:r>
      <w:bookmarkEnd w:id="18"/>
      <w:bookmarkEnd w:id="19"/>
      <w:bookmarkEnd w:id="20"/>
    </w:p>
    <w:p>
      <w:pPr>
        <w:spacing w:line="480" w:lineRule="exact"/>
        <w:ind w:firstLine="560" w:firstLineChars="200"/>
        <w:rPr>
          <w:rFonts w:ascii="仿宋" w:hAnsi="仿宋" w:eastAsia="仿宋"/>
          <w:sz w:val="28"/>
        </w:rPr>
      </w:pPr>
      <w:r>
        <w:rPr>
          <w:rFonts w:hint="eastAsia" w:ascii="仿宋" w:hAnsi="仿宋" w:eastAsia="仿宋"/>
          <w:sz w:val="28"/>
        </w:rPr>
        <w:t>7.1 质量保证期</w:t>
      </w:r>
    </w:p>
    <w:p>
      <w:pPr>
        <w:spacing w:line="480" w:lineRule="exact"/>
        <w:ind w:firstLine="560" w:firstLineChars="200"/>
        <w:rPr>
          <w:rFonts w:ascii="仿宋" w:hAnsi="仿宋" w:eastAsia="仿宋"/>
          <w:sz w:val="28"/>
        </w:rPr>
      </w:pPr>
      <w:r>
        <w:rPr>
          <w:rFonts w:hint="eastAsia" w:ascii="仿宋" w:hAnsi="仿宋" w:eastAsia="仿宋"/>
          <w:sz w:val="28"/>
        </w:rPr>
        <w:t>7.1.1乙方保证作为交付作品提供的相关软件经过安装、调试、配置、开发、测试完成通过验收后，能够安全、稳定运行</w:t>
      </w:r>
      <w:r>
        <w:rPr>
          <w:rFonts w:hint="eastAsia" w:ascii="仿宋" w:hAnsi="仿宋" w:eastAsia="仿宋"/>
          <w:sz w:val="28"/>
          <w:u w:val="single"/>
        </w:rPr>
        <w:t xml:space="preserve">  1</w:t>
      </w:r>
      <w:r>
        <w:rPr>
          <w:rFonts w:ascii="仿宋" w:hAnsi="仿宋" w:eastAsia="仿宋"/>
          <w:sz w:val="28"/>
          <w:u w:val="single"/>
        </w:rPr>
        <w:t xml:space="preserve">  </w:t>
      </w:r>
      <w:r>
        <w:rPr>
          <w:rFonts w:hint="eastAsia" w:ascii="仿宋" w:hAnsi="仿宋" w:eastAsia="仿宋"/>
          <w:sz w:val="28"/>
          <w:u w:val="single"/>
        </w:rPr>
        <w:t xml:space="preserve"> </w:t>
      </w:r>
      <w:r>
        <w:rPr>
          <w:rFonts w:hint="eastAsia" w:ascii="仿宋" w:hAnsi="仿宋" w:eastAsia="仿宋"/>
          <w:sz w:val="28"/>
        </w:rPr>
        <w:t>年（以下简称“质保期”）。质保期内乙方提供免费版本升级服务。如果出现导致系统/软件不能安全、稳定运行的缺陷时，乙方应负责通过免费打补丁、版本升级等方式予以消除。</w:t>
      </w:r>
    </w:p>
    <w:p>
      <w:pPr>
        <w:snapToGrid w:val="0"/>
        <w:spacing w:line="480" w:lineRule="exact"/>
        <w:ind w:firstLine="560" w:firstLineChars="200"/>
        <w:rPr>
          <w:rFonts w:ascii="仿宋" w:hAnsi="仿宋" w:eastAsia="仿宋"/>
          <w:sz w:val="28"/>
        </w:rPr>
      </w:pPr>
      <w:r>
        <w:rPr>
          <w:rFonts w:hint="eastAsia" w:ascii="仿宋" w:hAnsi="仿宋" w:eastAsia="仿宋"/>
          <w:sz w:val="28"/>
        </w:rPr>
        <w:t>7.1.2如果交付作品或项目在质保期内出现一般性故障，乙方应在接到甲方通知时</w:t>
      </w:r>
      <w:r>
        <w:rPr>
          <w:rFonts w:hint="eastAsia" w:ascii="仿宋" w:hAnsi="仿宋" w:eastAsia="仿宋"/>
          <w:sz w:val="28"/>
          <w:u w:val="single"/>
        </w:rPr>
        <w:t xml:space="preserve"> </w:t>
      </w:r>
      <w:r>
        <w:rPr>
          <w:rFonts w:ascii="仿宋" w:hAnsi="仿宋" w:eastAsia="仿宋"/>
          <w:sz w:val="28"/>
          <w:u w:val="single"/>
        </w:rPr>
        <w:t>2</w:t>
      </w:r>
      <w:r>
        <w:rPr>
          <w:rFonts w:hint="eastAsia" w:ascii="仿宋" w:hAnsi="仿宋" w:eastAsia="仿宋"/>
          <w:sz w:val="28"/>
          <w:u w:val="single"/>
        </w:rPr>
        <w:t xml:space="preserve">小时 </w:t>
      </w:r>
      <w:r>
        <w:rPr>
          <w:rFonts w:hint="eastAsia" w:ascii="仿宋" w:hAnsi="仿宋" w:eastAsia="仿宋"/>
          <w:sz w:val="28"/>
        </w:rPr>
        <w:t xml:space="preserve">内做出响应，以确定故障情况，并就如何排除故障做出决定并立即书面通知甲方。乙方应在接到甲方通知后的 </w:t>
      </w:r>
      <w:r>
        <w:rPr>
          <w:rFonts w:ascii="仿宋" w:hAnsi="仿宋" w:eastAsia="仿宋"/>
          <w:sz w:val="28"/>
        </w:rPr>
        <w:t xml:space="preserve">   </w:t>
      </w:r>
      <w:r>
        <w:rPr>
          <w:rFonts w:ascii="仿宋" w:hAnsi="仿宋" w:eastAsia="仿宋"/>
          <w:sz w:val="28"/>
          <w:u w:val="single"/>
        </w:rPr>
        <w:t>4</w:t>
      </w:r>
      <w:r>
        <w:rPr>
          <w:rFonts w:hint="eastAsia" w:ascii="仿宋" w:hAnsi="仿宋" w:eastAsia="仿宋"/>
          <w:sz w:val="28"/>
          <w:u w:val="single"/>
        </w:rPr>
        <w:t xml:space="preserve">  </w:t>
      </w:r>
      <w:r>
        <w:rPr>
          <w:rFonts w:hint="eastAsia" w:ascii="仿宋" w:hAnsi="仿宋" w:eastAsia="仿宋"/>
          <w:sz w:val="28"/>
        </w:rPr>
        <w:t>小时内（含本数）使项目恢复正常工作。</w:t>
      </w:r>
    </w:p>
    <w:p>
      <w:pPr>
        <w:snapToGrid w:val="0"/>
        <w:spacing w:line="480" w:lineRule="exact"/>
        <w:ind w:firstLine="560" w:firstLineChars="200"/>
        <w:rPr>
          <w:rFonts w:ascii="仿宋" w:hAnsi="仿宋" w:eastAsia="仿宋"/>
          <w:sz w:val="28"/>
        </w:rPr>
      </w:pPr>
      <w:r>
        <w:rPr>
          <w:rFonts w:hint="eastAsia" w:ascii="仿宋" w:hAnsi="仿宋" w:eastAsia="仿宋"/>
          <w:sz w:val="28"/>
        </w:rPr>
        <w:t>7.1.3如果交付作品或项目在质保期内出现重大故障，乙方应在接到甲方通知时立即做出响应并尽快提供解决方案，派遣工程技术人员在</w:t>
      </w:r>
      <w:r>
        <w:rPr>
          <w:rFonts w:hint="eastAsia" w:ascii="仿宋" w:hAnsi="仿宋" w:eastAsia="仿宋"/>
          <w:sz w:val="28"/>
          <w:u w:val="single"/>
        </w:rPr>
        <w:t xml:space="preserve">  4 </w:t>
      </w:r>
      <w:r>
        <w:rPr>
          <w:rFonts w:hint="eastAsia" w:ascii="仿宋" w:hAnsi="仿宋" w:eastAsia="仿宋"/>
          <w:sz w:val="28"/>
        </w:rPr>
        <w:t>小时内（含本数）前往现场，并在</w:t>
      </w:r>
      <w:r>
        <w:rPr>
          <w:rFonts w:hint="eastAsia" w:ascii="仿宋" w:hAnsi="仿宋" w:eastAsia="仿宋"/>
          <w:sz w:val="28"/>
          <w:u w:val="single"/>
        </w:rPr>
        <w:t xml:space="preserve"> </w:t>
      </w:r>
      <w:r>
        <w:rPr>
          <w:rFonts w:ascii="仿宋" w:hAnsi="仿宋" w:eastAsia="仿宋"/>
          <w:sz w:val="28"/>
          <w:u w:val="single"/>
        </w:rPr>
        <w:t>8</w:t>
      </w:r>
      <w:r>
        <w:rPr>
          <w:rFonts w:hint="eastAsia" w:ascii="仿宋" w:hAnsi="仿宋" w:eastAsia="仿宋"/>
          <w:sz w:val="28"/>
          <w:u w:val="single"/>
        </w:rPr>
        <w:t xml:space="preserve"> </w:t>
      </w:r>
      <w:r>
        <w:rPr>
          <w:rFonts w:hint="eastAsia" w:ascii="仿宋" w:hAnsi="仿宋" w:eastAsia="仿宋"/>
          <w:sz w:val="28"/>
        </w:rPr>
        <w:t>小时内（含本数）使项目恢复正常。</w:t>
      </w:r>
    </w:p>
    <w:p>
      <w:pPr>
        <w:snapToGrid w:val="0"/>
        <w:spacing w:line="480" w:lineRule="exact"/>
        <w:ind w:firstLine="560" w:firstLineChars="200"/>
        <w:rPr>
          <w:rFonts w:ascii="仿宋" w:hAnsi="仿宋" w:eastAsia="仿宋"/>
          <w:sz w:val="28"/>
        </w:rPr>
      </w:pPr>
      <w:r>
        <w:rPr>
          <w:rFonts w:hint="eastAsia" w:ascii="仿宋" w:hAnsi="仿宋" w:eastAsia="仿宋"/>
          <w:sz w:val="28"/>
        </w:rPr>
        <w:t>7.1.4 如由于乙方履行上述排除故障义务，而使项目停运或推迟安装时，则质保期按乙方排除故障所延误的时间做相应的延长。</w:t>
      </w:r>
    </w:p>
    <w:p>
      <w:pPr>
        <w:snapToGrid w:val="0"/>
        <w:spacing w:line="480" w:lineRule="exact"/>
        <w:ind w:firstLine="560" w:firstLineChars="200"/>
        <w:rPr>
          <w:rFonts w:ascii="仿宋" w:hAnsi="仿宋" w:eastAsia="仿宋"/>
          <w:sz w:val="28"/>
        </w:rPr>
      </w:pPr>
      <w:r>
        <w:rPr>
          <w:rFonts w:hint="eastAsia" w:ascii="仿宋" w:hAnsi="仿宋" w:eastAsia="仿宋"/>
          <w:sz w:val="28"/>
        </w:rPr>
        <w:t>7.1.5在质保期内，如果乙方对该项目交付成果的运行、维护等方面进行了技术改进，乙方应积极向甲方推广，并应免费向甲方提供与这些技术改进有关的服务，包括但不限于：提供相关详细技术资料、对相关人员进行培训等。</w:t>
      </w:r>
    </w:p>
    <w:p>
      <w:pPr>
        <w:pStyle w:val="3"/>
        <w:adjustRightInd w:val="0"/>
        <w:ind w:firstLine="560" w:firstLineChars="0"/>
        <w:jc w:val="left"/>
        <w:rPr>
          <w:rFonts w:ascii="黑体" w:eastAsia="黑体"/>
          <w:b w:val="0"/>
          <w:sz w:val="28"/>
        </w:rPr>
      </w:pPr>
      <w:bookmarkStart w:id="21" w:name="_Toc121109571"/>
      <w:bookmarkStart w:id="22" w:name="_Toc437466580"/>
      <w:bookmarkStart w:id="23" w:name="_Toc159294464"/>
      <w:r>
        <w:rPr>
          <w:rFonts w:hint="eastAsia" w:ascii="黑体" w:eastAsia="黑体"/>
          <w:b w:val="0"/>
          <w:sz w:val="28"/>
        </w:rPr>
        <w:t>8.  合同价格</w:t>
      </w:r>
      <w:bookmarkEnd w:id="21"/>
      <w:bookmarkEnd w:id="22"/>
      <w:bookmarkEnd w:id="23"/>
    </w:p>
    <w:p>
      <w:pPr>
        <w:snapToGrid w:val="0"/>
        <w:spacing w:line="480" w:lineRule="exact"/>
        <w:ind w:firstLine="560" w:firstLineChars="200"/>
        <w:rPr>
          <w:rFonts w:ascii="仿宋" w:hAnsi="仿宋" w:eastAsia="仿宋"/>
          <w:sz w:val="28"/>
        </w:rPr>
      </w:pPr>
      <w:r>
        <w:rPr>
          <w:rFonts w:hint="eastAsia" w:ascii="仿宋" w:hAnsi="仿宋" w:eastAsia="仿宋"/>
          <w:sz w:val="28"/>
        </w:rPr>
        <w:t>8.1 合同价格为人民币（</w:t>
      </w:r>
      <w:r>
        <w:rPr>
          <w:rFonts w:ascii="Calibri" w:hAnsi="Calibri" w:eastAsia="仿宋" w:cs="Calibri"/>
          <w:sz w:val="28"/>
        </w:rPr>
        <w:t>¥</w:t>
      </w:r>
      <w:r>
        <w:rPr>
          <w:rFonts w:hint="eastAsia" w:ascii="仿宋" w:hAnsi="仿宋" w:eastAsia="仿宋"/>
          <w:sz w:val="28"/>
          <w:u w:val="single"/>
        </w:rPr>
        <w:t xml:space="preserve"> 143000.00 </w:t>
      </w:r>
      <w:r>
        <w:rPr>
          <w:rFonts w:hint="eastAsia" w:ascii="仿宋" w:hAnsi="仿宋" w:eastAsia="仿宋"/>
          <w:sz w:val="28"/>
        </w:rPr>
        <w:t>）（大写</w:t>
      </w:r>
      <w:r>
        <w:rPr>
          <w:rFonts w:hint="eastAsia" w:ascii="仿宋" w:hAnsi="仿宋" w:eastAsia="仿宋"/>
          <w:sz w:val="28"/>
          <w:u w:val="single"/>
        </w:rPr>
        <w:t>壹拾肆万叁仟元整</w:t>
      </w:r>
      <w:r>
        <w:rPr>
          <w:rFonts w:hint="eastAsia" w:ascii="仿宋" w:hAnsi="仿宋" w:eastAsia="仿宋"/>
          <w:sz w:val="28"/>
        </w:rPr>
        <w:t>）（含税），其中，不含税价人民币（</w:t>
      </w:r>
      <w:r>
        <w:rPr>
          <w:rFonts w:ascii="Calibri" w:hAnsi="Calibri" w:eastAsia="仿宋" w:cs="Calibri"/>
          <w:sz w:val="28"/>
        </w:rPr>
        <w:t>¥</w:t>
      </w:r>
      <w:r>
        <w:rPr>
          <w:rFonts w:hint="eastAsia" w:ascii="仿宋" w:hAnsi="仿宋" w:eastAsia="仿宋"/>
          <w:sz w:val="28"/>
          <w:u w:val="single"/>
        </w:rPr>
        <w:t xml:space="preserve"> 134905.66 </w:t>
      </w:r>
      <w:r>
        <w:rPr>
          <w:rFonts w:hint="eastAsia" w:ascii="仿宋" w:hAnsi="仿宋" w:eastAsia="仿宋"/>
          <w:sz w:val="28"/>
        </w:rPr>
        <w:t>）（大写</w:t>
      </w:r>
      <w:r>
        <w:rPr>
          <w:rFonts w:hint="eastAsia" w:ascii="仿宋" w:hAnsi="仿宋" w:eastAsia="仿宋"/>
          <w:sz w:val="28"/>
          <w:u w:val="single"/>
        </w:rPr>
        <w:t xml:space="preserve"> 壹拾叁万肆仟玖佰零伍元陆角陆分 </w:t>
      </w:r>
      <w:r>
        <w:rPr>
          <w:rFonts w:hint="eastAsia" w:ascii="仿宋" w:hAnsi="仿宋" w:eastAsia="仿宋"/>
          <w:sz w:val="28"/>
        </w:rPr>
        <w:t>），增值税税率</w:t>
      </w:r>
      <w:r>
        <w:rPr>
          <w:rFonts w:hint="eastAsia" w:ascii="仿宋" w:hAnsi="仿宋" w:eastAsia="仿宋"/>
          <w:sz w:val="28"/>
          <w:u w:val="single"/>
        </w:rPr>
        <w:t xml:space="preserve"> 6</w:t>
      </w:r>
      <w:r>
        <w:rPr>
          <w:rFonts w:ascii="仿宋" w:hAnsi="仿宋" w:eastAsia="仿宋"/>
          <w:sz w:val="28"/>
          <w:u w:val="single"/>
        </w:rPr>
        <w:t xml:space="preserve"> </w:t>
      </w:r>
      <w:r>
        <w:rPr>
          <w:rFonts w:hint="eastAsia" w:ascii="仿宋" w:hAnsi="仿宋" w:eastAsia="仿宋"/>
          <w:sz w:val="28"/>
        </w:rPr>
        <w:t>%，增值税税额</w:t>
      </w:r>
      <w:r>
        <w:rPr>
          <w:rFonts w:ascii="Calibri" w:hAnsi="Calibri" w:eastAsia="仿宋" w:cs="Calibri"/>
          <w:sz w:val="28"/>
        </w:rPr>
        <w:t>¥</w:t>
      </w:r>
      <w:r>
        <w:rPr>
          <w:rFonts w:hint="eastAsia" w:ascii="仿宋" w:hAnsi="仿宋" w:eastAsia="仿宋"/>
          <w:sz w:val="28"/>
          <w:u w:val="single"/>
        </w:rPr>
        <w:t xml:space="preserve"> </w:t>
      </w:r>
      <w:r>
        <w:rPr>
          <w:rFonts w:ascii="仿宋" w:hAnsi="仿宋" w:eastAsia="仿宋"/>
          <w:sz w:val="28"/>
          <w:u w:val="single"/>
        </w:rPr>
        <w:t>8094.34</w:t>
      </w:r>
      <w:r>
        <w:rPr>
          <w:rFonts w:hint="eastAsia" w:ascii="仿宋" w:hAnsi="仿宋" w:eastAsia="仿宋"/>
          <w:sz w:val="28"/>
          <w:u w:val="single"/>
        </w:rPr>
        <w:t xml:space="preserve"> </w:t>
      </w:r>
      <w:r>
        <w:rPr>
          <w:rFonts w:hint="eastAsia" w:ascii="仿宋" w:hAnsi="仿宋" w:eastAsia="仿宋"/>
          <w:sz w:val="28"/>
        </w:rPr>
        <w:t>元。当合同约定的税率与国家税法规定及税务机关认定的税率不一致时，以国家税法规定及税务机关认定的税率为准进行调整，调整时以不含税价为基准，执行国家法规规定及税务机关规定的税率。 该合同价格包括但不限于乙方提供实施服务发生的差旅费、食宿费及履行本合同项下其他所有义务所需的费用，具体价格构成见《分项价格表》（附件3）。</w:t>
      </w:r>
    </w:p>
    <w:p>
      <w:pPr>
        <w:snapToGrid w:val="0"/>
        <w:spacing w:line="480" w:lineRule="exact"/>
        <w:ind w:firstLine="560" w:firstLineChars="200"/>
        <w:rPr>
          <w:rFonts w:ascii="仿宋" w:hAnsi="仿宋" w:eastAsia="仿宋"/>
          <w:sz w:val="28"/>
        </w:rPr>
      </w:pPr>
      <w:bookmarkStart w:id="24" w:name="_Toc146694349"/>
      <w:bookmarkStart w:id="25" w:name="_Toc146771517"/>
      <w:bookmarkStart w:id="26" w:name="_Toc146772593"/>
      <w:r>
        <w:rPr>
          <w:rFonts w:hint="eastAsia" w:ascii="仿宋" w:hAnsi="仿宋" w:eastAsia="仿宋"/>
          <w:sz w:val="28"/>
        </w:rPr>
        <w:t xml:space="preserve">8.2 </w:t>
      </w:r>
      <w:r>
        <w:rPr>
          <w:rFonts w:ascii="仿宋" w:hAnsi="仿宋" w:eastAsia="仿宋"/>
          <w:sz w:val="28"/>
        </w:rPr>
        <w:t>合同</w:t>
      </w:r>
      <w:r>
        <w:rPr>
          <w:rFonts w:hint="eastAsia" w:ascii="仿宋" w:hAnsi="仿宋" w:eastAsia="仿宋"/>
          <w:sz w:val="28"/>
        </w:rPr>
        <w:t>价款的支付</w:t>
      </w:r>
    </w:p>
    <w:p>
      <w:pPr>
        <w:snapToGrid w:val="0"/>
        <w:spacing w:line="480" w:lineRule="exact"/>
        <w:ind w:firstLine="560" w:firstLineChars="200"/>
        <w:rPr>
          <w:rFonts w:ascii="仿宋" w:hAnsi="仿宋" w:eastAsia="仿宋"/>
          <w:sz w:val="28"/>
        </w:rPr>
      </w:pPr>
      <w:r>
        <w:rPr>
          <w:rFonts w:hint="eastAsia" w:ascii="仿宋" w:hAnsi="仿宋" w:eastAsia="仿宋"/>
          <w:sz w:val="28"/>
        </w:rPr>
        <w:t>8.2.1甲方</w:t>
      </w:r>
      <w:r>
        <w:rPr>
          <w:rFonts w:ascii="仿宋" w:hAnsi="仿宋" w:eastAsia="仿宋"/>
          <w:sz w:val="28"/>
        </w:rPr>
        <w:t>应以电汇/汇票/支票方式</w:t>
      </w:r>
      <w:r>
        <w:rPr>
          <w:rFonts w:hint="eastAsia" w:ascii="仿宋" w:hAnsi="仿宋" w:eastAsia="仿宋"/>
          <w:sz w:val="28"/>
        </w:rPr>
        <w:t>向乙方</w:t>
      </w:r>
      <w:r>
        <w:rPr>
          <w:rFonts w:ascii="仿宋" w:hAnsi="仿宋" w:eastAsia="仿宋"/>
          <w:sz w:val="28"/>
        </w:rPr>
        <w:t>支付</w:t>
      </w:r>
      <w:r>
        <w:rPr>
          <w:rFonts w:hint="eastAsia" w:ascii="仿宋" w:hAnsi="仿宋" w:eastAsia="仿宋"/>
          <w:sz w:val="28"/>
        </w:rPr>
        <w:t>合同价款</w:t>
      </w:r>
      <w:r>
        <w:rPr>
          <w:rFonts w:ascii="仿宋" w:hAnsi="仿宋" w:eastAsia="仿宋"/>
          <w:sz w:val="28"/>
        </w:rPr>
        <w:t>。</w:t>
      </w:r>
      <w:bookmarkEnd w:id="24"/>
      <w:bookmarkEnd w:id="25"/>
      <w:bookmarkEnd w:id="26"/>
    </w:p>
    <w:p>
      <w:pPr>
        <w:snapToGrid w:val="0"/>
        <w:spacing w:line="480" w:lineRule="exact"/>
        <w:ind w:firstLine="560" w:firstLineChars="200"/>
        <w:rPr>
          <w:rFonts w:ascii="仿宋" w:hAnsi="仿宋" w:eastAsia="仿宋"/>
          <w:sz w:val="28"/>
        </w:rPr>
      </w:pPr>
      <w:r>
        <w:rPr>
          <w:rFonts w:hint="eastAsia" w:ascii="仿宋" w:hAnsi="仿宋" w:eastAsia="仿宋"/>
          <w:sz w:val="28"/>
        </w:rPr>
        <w:t>8.2.2 甲乙双方同意按照下列第</w:t>
      </w:r>
      <w:r>
        <w:rPr>
          <w:rFonts w:hint="eastAsia" w:ascii="仿宋" w:hAnsi="仿宋" w:eastAsia="仿宋"/>
          <w:sz w:val="28"/>
          <w:u w:val="single"/>
        </w:rPr>
        <w:t xml:space="preserve"> 2 </w:t>
      </w:r>
      <w:r>
        <w:rPr>
          <w:rFonts w:hint="eastAsia" w:ascii="仿宋" w:hAnsi="仿宋" w:eastAsia="仿宋"/>
          <w:sz w:val="28"/>
        </w:rPr>
        <w:t>种方式支付合同价款：</w:t>
      </w:r>
      <w:r>
        <w:rPr>
          <w:rStyle w:val="21"/>
          <w:rFonts w:ascii="仿宋" w:hAnsi="仿宋" w:eastAsia="仿宋"/>
          <w:sz w:val="28"/>
        </w:rPr>
        <w:footnoteReference w:id="1"/>
      </w:r>
    </w:p>
    <w:p>
      <w:pPr>
        <w:snapToGrid w:val="0"/>
        <w:spacing w:line="480" w:lineRule="exact"/>
        <w:ind w:firstLine="560" w:firstLineChars="200"/>
        <w:rPr>
          <w:rFonts w:ascii="仿宋" w:hAnsi="仿宋" w:eastAsia="仿宋"/>
          <w:sz w:val="28"/>
        </w:rPr>
      </w:pPr>
      <w:r>
        <w:rPr>
          <w:rFonts w:hint="eastAsia" w:ascii="仿宋" w:hAnsi="仿宋" w:eastAsia="仿宋"/>
          <w:sz w:val="28"/>
        </w:rPr>
        <w:t>1.分期支付：</w:t>
      </w:r>
    </w:p>
    <w:p>
      <w:pPr>
        <w:snapToGrid w:val="0"/>
        <w:spacing w:line="480" w:lineRule="exact"/>
        <w:ind w:firstLine="560" w:firstLineChars="200"/>
        <w:rPr>
          <w:rFonts w:ascii="仿宋" w:hAnsi="仿宋" w:eastAsia="仿宋"/>
          <w:sz w:val="28"/>
        </w:rPr>
      </w:pPr>
      <w:r>
        <w:rPr>
          <w:rFonts w:hint="eastAsia" w:ascii="仿宋" w:hAnsi="仿宋" w:eastAsia="仿宋"/>
          <w:sz w:val="28"/>
        </w:rPr>
        <w:t>（1）乙方向甲方提交履约保函后</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hint="eastAsia" w:ascii="仿宋" w:hAnsi="仿宋" w:eastAsia="仿宋"/>
          <w:sz w:val="28"/>
        </w:rPr>
        <w:t>个工作日内，甲方向乙方支付合同价格</w:t>
      </w:r>
      <w:r>
        <w:rPr>
          <w:rFonts w:hint="eastAsia" w:ascii="仿宋" w:hAnsi="仿宋" w:eastAsia="仿宋"/>
          <w:sz w:val="28"/>
          <w:u w:val="single"/>
        </w:rPr>
        <w:t>\</w:t>
      </w:r>
      <w:r>
        <w:rPr>
          <w:rFonts w:hint="eastAsia" w:ascii="仿宋" w:hAnsi="仿宋" w:eastAsia="仿宋"/>
          <w:sz w:val="28"/>
        </w:rPr>
        <w:t>%的预付款；</w:t>
      </w:r>
    </w:p>
    <w:p>
      <w:pPr>
        <w:snapToGrid w:val="0"/>
        <w:spacing w:line="480" w:lineRule="exact"/>
        <w:ind w:firstLine="560" w:firstLineChars="200"/>
        <w:rPr>
          <w:rFonts w:ascii="仿宋" w:hAnsi="仿宋" w:eastAsia="仿宋"/>
          <w:sz w:val="28"/>
        </w:rPr>
      </w:pPr>
      <w:r>
        <w:rPr>
          <w:rFonts w:hint="eastAsia" w:ascii="仿宋" w:hAnsi="仿宋" w:eastAsia="仿宋"/>
          <w:sz w:val="28"/>
        </w:rPr>
        <w:t>（2） 乙方向甲方提交交付作品且双方签署《验收报告》后</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hint="eastAsia" w:ascii="仿宋" w:hAnsi="仿宋" w:eastAsia="仿宋"/>
          <w:sz w:val="28"/>
        </w:rPr>
        <w:t>个工作日内，甲方向乙方支付合同价格的</w:t>
      </w:r>
      <w:r>
        <w:rPr>
          <w:rFonts w:ascii="仿宋" w:hAnsi="仿宋" w:eastAsia="仿宋"/>
          <w:sz w:val="28"/>
          <w:u w:val="single"/>
        </w:rPr>
        <w:t>\</w:t>
      </w:r>
      <w:r>
        <w:rPr>
          <w:rFonts w:hint="eastAsia" w:ascii="仿宋" w:hAnsi="仿宋" w:eastAsia="仿宋"/>
          <w:sz w:val="28"/>
        </w:rPr>
        <w:t>%；</w:t>
      </w:r>
    </w:p>
    <w:p>
      <w:pPr>
        <w:snapToGrid w:val="0"/>
        <w:spacing w:line="480" w:lineRule="exact"/>
        <w:ind w:firstLine="560" w:firstLineChars="200"/>
        <w:rPr>
          <w:rFonts w:ascii="仿宋" w:hAnsi="仿宋" w:eastAsia="仿宋"/>
          <w:sz w:val="28"/>
        </w:rPr>
      </w:pPr>
      <w:r>
        <w:rPr>
          <w:rFonts w:hint="eastAsia" w:ascii="仿宋" w:hAnsi="仿宋" w:eastAsia="仿宋"/>
          <w:sz w:val="28"/>
        </w:rPr>
        <w:t>（3）合同价格的</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hint="eastAsia" w:ascii="仿宋" w:hAnsi="仿宋" w:eastAsia="仿宋"/>
          <w:sz w:val="28"/>
        </w:rPr>
        <w:t xml:space="preserve">%作为质保金，质保期满后的一个月内，项目无任何质量和保修问题的，甲方将质量保证金无息退还给乙方。但如果此时乙方尚有任何甲方已发现的需要保修的保修工作尚未完成，则甲方有权在此类工作完成之前扣发与完成此类工作所需费用相应金额的质量保证金。   </w:t>
      </w:r>
    </w:p>
    <w:p>
      <w:pPr>
        <w:snapToGrid w:val="0"/>
        <w:spacing w:line="480" w:lineRule="exact"/>
        <w:ind w:firstLine="560" w:firstLineChars="200"/>
        <w:rPr>
          <w:rFonts w:ascii="仿宋" w:hAnsi="仿宋" w:eastAsia="仿宋"/>
          <w:sz w:val="28"/>
        </w:rPr>
      </w:pPr>
      <w:r>
        <w:rPr>
          <w:rFonts w:hint="eastAsia" w:ascii="仿宋" w:hAnsi="仿宋" w:eastAsia="仿宋"/>
          <w:sz w:val="28"/>
        </w:rPr>
        <w:t>2.其他支付方式：</w:t>
      </w:r>
    </w:p>
    <w:p>
      <w:pPr>
        <w:snapToGrid w:val="0"/>
        <w:spacing w:line="480" w:lineRule="exact"/>
        <w:ind w:firstLine="560" w:firstLineChars="200"/>
        <w:rPr>
          <w:rFonts w:ascii="仿宋" w:hAnsi="仿宋" w:eastAsia="仿宋"/>
          <w:sz w:val="28"/>
          <w:u w:val="single"/>
        </w:rPr>
      </w:pPr>
      <w:r>
        <w:rPr>
          <w:rFonts w:ascii="仿宋" w:hAnsi="仿宋" w:eastAsia="仿宋"/>
          <w:sz w:val="28"/>
          <w:u w:val="single"/>
        </w:rPr>
        <w:t>（1）合同签订生效后，</w:t>
      </w:r>
      <w:r>
        <w:rPr>
          <w:rFonts w:hint="eastAsia" w:ascii="仿宋" w:hAnsi="仿宋" w:eastAsia="仿宋"/>
          <w:sz w:val="28"/>
          <w:u w:val="single"/>
        </w:rPr>
        <w:t>项目开工后</w:t>
      </w:r>
      <w:r>
        <w:rPr>
          <w:rFonts w:ascii="仿宋" w:hAnsi="仿宋" w:eastAsia="仿宋"/>
          <w:sz w:val="28"/>
          <w:u w:val="single"/>
        </w:rPr>
        <w:t>30个工作日内</w:t>
      </w:r>
      <w:r>
        <w:rPr>
          <w:rFonts w:hint="eastAsia" w:ascii="仿宋" w:hAnsi="仿宋" w:eastAsia="仿宋"/>
          <w:sz w:val="28"/>
          <w:u w:val="single"/>
        </w:rPr>
        <w:t>，甲方向乙方支付合同总价的30%，即人民币￥42900</w:t>
      </w:r>
      <w:r>
        <w:rPr>
          <w:rFonts w:ascii="仿宋" w:hAnsi="仿宋" w:eastAsia="仿宋"/>
          <w:sz w:val="28"/>
          <w:u w:val="single"/>
        </w:rPr>
        <w:t>.00（大写</w:t>
      </w:r>
      <w:r>
        <w:rPr>
          <w:rFonts w:hint="eastAsia" w:ascii="仿宋" w:hAnsi="仿宋" w:eastAsia="仿宋"/>
          <w:sz w:val="28"/>
          <w:u w:val="single"/>
        </w:rPr>
        <w:t>肆万贰仟玖佰元整</w:t>
      </w:r>
      <w:r>
        <w:rPr>
          <w:rFonts w:ascii="仿宋" w:hAnsi="仿宋" w:eastAsia="仿宋"/>
          <w:sz w:val="28"/>
          <w:u w:val="single"/>
        </w:rPr>
        <w:t>）</w:t>
      </w:r>
      <w:r>
        <w:rPr>
          <w:rFonts w:hint="eastAsia" w:ascii="仿宋" w:hAnsi="仿宋" w:eastAsia="仿宋"/>
          <w:sz w:val="28"/>
          <w:u w:val="single"/>
        </w:rPr>
        <w:t>；</w:t>
      </w:r>
    </w:p>
    <w:p>
      <w:pPr>
        <w:snapToGrid w:val="0"/>
        <w:spacing w:line="480" w:lineRule="exact"/>
        <w:ind w:firstLine="560" w:firstLineChars="200"/>
        <w:rPr>
          <w:rFonts w:ascii="仿宋" w:hAnsi="仿宋" w:eastAsia="仿宋"/>
          <w:sz w:val="28"/>
          <w:u w:val="single"/>
        </w:rPr>
      </w:pPr>
      <w:r>
        <w:rPr>
          <w:rFonts w:hint="eastAsia" w:ascii="仿宋" w:hAnsi="仿宋" w:eastAsia="仿宋"/>
          <w:sz w:val="28"/>
          <w:u w:val="single"/>
        </w:rPr>
        <w:t>（2）项目通过甲方</w:t>
      </w:r>
      <w:r>
        <w:rPr>
          <w:rFonts w:ascii="仿宋" w:hAnsi="仿宋" w:eastAsia="仿宋"/>
          <w:sz w:val="28"/>
          <w:u w:val="single"/>
        </w:rPr>
        <w:t>验收合格后</w:t>
      </w:r>
      <w:r>
        <w:rPr>
          <w:rFonts w:hint="eastAsia" w:ascii="仿宋" w:hAnsi="仿宋" w:eastAsia="仿宋"/>
          <w:sz w:val="28"/>
          <w:u w:val="single"/>
        </w:rPr>
        <w:t>，甲方向乙方支付合同价格的60%，即人民币￥85800</w:t>
      </w:r>
      <w:r>
        <w:rPr>
          <w:rFonts w:ascii="仿宋" w:hAnsi="仿宋" w:eastAsia="仿宋"/>
          <w:sz w:val="28"/>
          <w:u w:val="single"/>
        </w:rPr>
        <w:t>.00（大写</w:t>
      </w:r>
      <w:r>
        <w:rPr>
          <w:rFonts w:hint="eastAsia" w:ascii="仿宋" w:hAnsi="仿宋" w:eastAsia="仿宋"/>
          <w:sz w:val="28"/>
          <w:u w:val="single"/>
        </w:rPr>
        <w:t>捌万伍仟捌佰元整</w:t>
      </w:r>
      <w:r>
        <w:rPr>
          <w:rFonts w:ascii="仿宋" w:hAnsi="仿宋" w:eastAsia="仿宋"/>
          <w:sz w:val="28"/>
          <w:u w:val="single"/>
        </w:rPr>
        <w:t>）</w:t>
      </w:r>
      <w:r>
        <w:rPr>
          <w:rFonts w:hint="eastAsia" w:ascii="仿宋" w:hAnsi="仿宋" w:eastAsia="仿宋"/>
          <w:sz w:val="28"/>
          <w:u w:val="single"/>
        </w:rPr>
        <w:t>；</w:t>
      </w:r>
    </w:p>
    <w:p>
      <w:pPr>
        <w:snapToGrid w:val="0"/>
        <w:spacing w:line="480" w:lineRule="exact"/>
        <w:ind w:firstLine="560" w:firstLineChars="200"/>
        <w:rPr>
          <w:rFonts w:ascii="仿宋" w:hAnsi="仿宋" w:eastAsia="仿宋"/>
          <w:sz w:val="28"/>
          <w:u w:val="single"/>
        </w:rPr>
      </w:pPr>
      <w:r>
        <w:rPr>
          <w:rFonts w:hint="eastAsia" w:ascii="仿宋" w:hAnsi="仿宋" w:eastAsia="仿宋"/>
          <w:sz w:val="28"/>
          <w:u w:val="single"/>
        </w:rPr>
        <w:t>（3）项目质保期结束后，甲方向乙方支付合同</w:t>
      </w:r>
      <w:r>
        <w:rPr>
          <w:rFonts w:ascii="仿宋" w:hAnsi="仿宋" w:eastAsia="仿宋"/>
          <w:sz w:val="28"/>
          <w:u w:val="single"/>
        </w:rPr>
        <w:t>价格</w:t>
      </w:r>
      <w:r>
        <w:rPr>
          <w:rFonts w:hint="eastAsia" w:ascii="仿宋" w:hAnsi="仿宋" w:eastAsia="仿宋"/>
          <w:sz w:val="28"/>
          <w:u w:val="single"/>
        </w:rPr>
        <w:t>的10%，即人民币￥14300</w:t>
      </w:r>
      <w:r>
        <w:rPr>
          <w:rFonts w:ascii="仿宋" w:hAnsi="仿宋" w:eastAsia="仿宋"/>
          <w:sz w:val="28"/>
          <w:u w:val="single"/>
        </w:rPr>
        <w:t>.00（大写</w:t>
      </w:r>
      <w:r>
        <w:rPr>
          <w:rFonts w:hint="eastAsia" w:ascii="仿宋" w:hAnsi="仿宋" w:eastAsia="仿宋"/>
          <w:sz w:val="28"/>
          <w:u w:val="single"/>
        </w:rPr>
        <w:t xml:space="preserve">壹万肆仟叁佰元整 </w:t>
      </w:r>
      <w:r>
        <w:rPr>
          <w:rFonts w:ascii="仿宋" w:hAnsi="仿宋" w:eastAsia="仿宋"/>
          <w:sz w:val="28"/>
          <w:u w:val="single"/>
        </w:rPr>
        <w:t>）。</w:t>
      </w:r>
      <w:r>
        <w:rPr>
          <w:rFonts w:hint="eastAsia" w:ascii="仿宋" w:hAnsi="仿宋" w:eastAsia="仿宋"/>
          <w:sz w:val="28"/>
          <w:u w:val="single"/>
        </w:rPr>
        <w:t>但如果质保期内甲方发现项目存在缺陷或质量问题，甲方将延期支付项目质保金。</w:t>
      </w:r>
    </w:p>
    <w:p>
      <w:pPr>
        <w:snapToGrid w:val="0"/>
        <w:spacing w:line="480" w:lineRule="exact"/>
        <w:ind w:firstLine="560" w:firstLineChars="200"/>
        <w:rPr>
          <w:rFonts w:ascii="仿宋" w:hAnsi="仿宋" w:eastAsia="仿宋"/>
          <w:sz w:val="28"/>
        </w:rPr>
      </w:pPr>
      <w:r>
        <w:rPr>
          <w:rFonts w:hint="eastAsia" w:ascii="仿宋" w:hAnsi="仿宋" w:eastAsia="仿宋"/>
          <w:sz w:val="28"/>
          <w:u w:val="single"/>
        </w:rPr>
        <w:t>（4）合同执行过程中，若国家出台新税收政策，则原合同不含税价款不变，合同总价按照原合同不含税价款和新政策同类型业务税率确定。</w:t>
      </w:r>
    </w:p>
    <w:p>
      <w:pPr>
        <w:snapToGrid w:val="0"/>
        <w:spacing w:line="480" w:lineRule="exact"/>
        <w:ind w:firstLine="560" w:firstLineChars="200"/>
        <w:rPr>
          <w:rFonts w:ascii="仿宋" w:hAnsi="仿宋" w:eastAsia="仿宋"/>
          <w:sz w:val="28"/>
        </w:rPr>
      </w:pPr>
      <w:r>
        <w:rPr>
          <w:rFonts w:hint="eastAsia" w:ascii="仿宋" w:hAnsi="仿宋" w:eastAsia="仿宋"/>
          <w:sz w:val="28"/>
        </w:rPr>
        <w:t>8.2.3甲方向乙方支付价款前，乙方应向甲方提交甲方财务部门认可的正规等额发票，否则甲方有权暂缓支付价款，但乙方仍应按照本合同约定履行义务。</w:t>
      </w:r>
    </w:p>
    <w:p>
      <w:pPr>
        <w:pStyle w:val="3"/>
        <w:adjustRightInd w:val="0"/>
        <w:spacing w:line="480" w:lineRule="exact"/>
        <w:ind w:firstLine="560"/>
        <w:jc w:val="left"/>
        <w:rPr>
          <w:rFonts w:ascii="黑体" w:eastAsia="黑体"/>
          <w:b w:val="0"/>
          <w:sz w:val="28"/>
        </w:rPr>
      </w:pPr>
      <w:bookmarkStart w:id="27" w:name="_Toc121109573"/>
      <w:bookmarkStart w:id="28" w:name="_Toc159294466"/>
      <w:bookmarkStart w:id="29" w:name="_Toc437466581"/>
      <w:r>
        <w:rPr>
          <w:rFonts w:hint="eastAsia" w:ascii="黑体" w:eastAsia="黑体"/>
          <w:b w:val="0"/>
          <w:sz w:val="28"/>
        </w:rPr>
        <w:t>9.  专利权</w:t>
      </w:r>
      <w:bookmarkEnd w:id="27"/>
      <w:r>
        <w:rPr>
          <w:rFonts w:hint="eastAsia" w:ascii="黑体" w:eastAsia="黑体"/>
          <w:b w:val="0"/>
          <w:sz w:val="28"/>
        </w:rPr>
        <w:t>和技术成果</w:t>
      </w:r>
      <w:bookmarkEnd w:id="28"/>
      <w:bookmarkEnd w:id="29"/>
    </w:p>
    <w:p>
      <w:pPr>
        <w:snapToGrid w:val="0"/>
        <w:spacing w:line="480" w:lineRule="exact"/>
        <w:ind w:firstLine="560" w:firstLineChars="200"/>
        <w:rPr>
          <w:rFonts w:ascii="仿宋" w:hAnsi="仿宋" w:eastAsia="仿宋"/>
          <w:sz w:val="28"/>
        </w:rPr>
      </w:pPr>
      <w:r>
        <w:rPr>
          <w:rFonts w:hint="eastAsia" w:ascii="仿宋" w:hAnsi="仿宋" w:eastAsia="仿宋"/>
          <w:sz w:val="28"/>
        </w:rPr>
        <w:t>除双方另有特别约定外，根据本合同产生的全部技术成果（包括但不限于项目交付作品和以此为基础研发出的其他技术成果）的知识产权归甲方所有。上述知识产权及相关权利主要包括但不限于专利权申请权、版权（著作权）、研究成果署名权、奖项申报申请权、获得报酬权、非专利技术所有权、商誉等，产生的全部技术成果按以下条款处理：</w:t>
      </w:r>
    </w:p>
    <w:p>
      <w:pPr>
        <w:snapToGrid w:val="0"/>
        <w:spacing w:line="480" w:lineRule="exact"/>
        <w:ind w:firstLine="560" w:firstLineChars="200"/>
        <w:rPr>
          <w:rFonts w:ascii="仿宋" w:hAnsi="仿宋" w:eastAsia="仿宋"/>
          <w:sz w:val="28"/>
        </w:rPr>
      </w:pPr>
      <w:r>
        <w:rPr>
          <w:rFonts w:hint="eastAsia" w:ascii="仿宋" w:hAnsi="仿宋" w:eastAsia="仿宋"/>
          <w:sz w:val="28"/>
        </w:rPr>
        <w:t>9.1 乙方在今后任何时候不得以任何理由或方式使用全部技术成果，但甲方书面同意的除外。</w:t>
      </w:r>
    </w:p>
    <w:p>
      <w:pPr>
        <w:snapToGrid w:val="0"/>
        <w:spacing w:line="480" w:lineRule="exact"/>
        <w:ind w:firstLine="560" w:firstLineChars="200"/>
        <w:rPr>
          <w:rFonts w:ascii="仿宋" w:hAnsi="仿宋" w:eastAsia="仿宋"/>
          <w:sz w:val="28"/>
        </w:rPr>
      </w:pPr>
      <w:r>
        <w:rPr>
          <w:rFonts w:hint="eastAsia" w:ascii="仿宋" w:hAnsi="仿宋" w:eastAsia="仿宋"/>
          <w:sz w:val="28"/>
        </w:rPr>
        <w:t>9.2乙方为提供本合同项下的服务所购置并用于上述服务的设备、器材、资料等，归甲方所有，双方另有约定的除外。</w:t>
      </w:r>
    </w:p>
    <w:p>
      <w:pPr>
        <w:snapToGrid w:val="0"/>
        <w:spacing w:line="480" w:lineRule="exact"/>
        <w:ind w:firstLine="560" w:firstLineChars="200"/>
        <w:rPr>
          <w:rFonts w:ascii="仿宋" w:hAnsi="仿宋" w:eastAsia="仿宋"/>
          <w:sz w:val="28"/>
        </w:rPr>
      </w:pPr>
      <w:r>
        <w:rPr>
          <w:rFonts w:hint="eastAsia" w:ascii="仿宋" w:hAnsi="仿宋" w:eastAsia="仿宋"/>
          <w:sz w:val="28"/>
        </w:rPr>
        <w:t>9.3 乙方有权在完成本合同约定的实施服务后，利用所取得的成果进行后续改进。由此产生的具有实质性或创造性技术进步特征的新的技术成果，归甲方享有。</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9.4  使用履行本合同产生的技术成果参与国际标准、国家标准或行业标准等的制定或修订工作的权利属于甲方所有，未经甲方许可，乙方不得参与此类工作。</w:t>
      </w:r>
    </w:p>
    <w:p>
      <w:pPr>
        <w:pStyle w:val="3"/>
        <w:adjustRightInd w:val="0"/>
        <w:spacing w:line="480" w:lineRule="exact"/>
        <w:ind w:firstLine="560"/>
        <w:jc w:val="left"/>
        <w:rPr>
          <w:rFonts w:ascii="黑体" w:eastAsia="黑体"/>
          <w:b w:val="0"/>
          <w:sz w:val="28"/>
        </w:rPr>
      </w:pPr>
      <w:bookmarkStart w:id="30" w:name="_Toc437466582"/>
      <w:r>
        <w:rPr>
          <w:rFonts w:hint="eastAsia" w:ascii="黑体" w:eastAsia="黑体"/>
          <w:b w:val="0"/>
          <w:sz w:val="28"/>
        </w:rPr>
        <w:t>10. 保密</w:t>
      </w:r>
      <w:bookmarkEnd w:id="30"/>
      <w:r>
        <w:rPr>
          <w:rFonts w:hint="eastAsia" w:ascii="黑体" w:eastAsia="黑体"/>
          <w:b w:val="0"/>
          <w:sz w:val="28"/>
        </w:rPr>
        <w:t xml:space="preserve"> </w:t>
      </w:r>
    </w:p>
    <w:p>
      <w:pPr>
        <w:snapToGrid w:val="0"/>
        <w:spacing w:line="480" w:lineRule="exact"/>
        <w:ind w:firstLine="560" w:firstLineChars="200"/>
        <w:rPr>
          <w:rFonts w:ascii="仿宋" w:hAnsi="仿宋" w:eastAsia="仿宋"/>
          <w:sz w:val="28"/>
        </w:rPr>
      </w:pPr>
      <w:r>
        <w:rPr>
          <w:rFonts w:hint="eastAsia" w:ascii="仿宋" w:hAnsi="仿宋" w:eastAsia="仿宋"/>
          <w:sz w:val="28"/>
        </w:rPr>
        <w:t>10.1乙方及其工作人员应对在履行本合同过程中获悉的甲方的有关数据机密、文档资料、商业秘密及甲方要求保密的其他信息（以下简称“保密信息”）严格保密，并采取相应的保密措施。乙方应承担的保密义务包括但不限于：</w:t>
      </w:r>
    </w:p>
    <w:p>
      <w:pPr>
        <w:snapToGrid w:val="0"/>
        <w:spacing w:line="480" w:lineRule="exact"/>
        <w:ind w:firstLine="641"/>
        <w:rPr>
          <w:rFonts w:ascii="仿宋" w:hAnsi="仿宋" w:eastAsia="仿宋"/>
          <w:sz w:val="28"/>
        </w:rPr>
      </w:pPr>
      <w:r>
        <w:rPr>
          <w:rFonts w:hint="eastAsia" w:ascii="仿宋" w:hAnsi="仿宋" w:eastAsia="仿宋"/>
          <w:sz w:val="28"/>
        </w:rPr>
        <w:t>10.1.1 未经甲方书面同意，不得将上述保密信息披露给任何第三人；</w:t>
      </w:r>
    </w:p>
    <w:p>
      <w:pPr>
        <w:snapToGrid w:val="0"/>
        <w:spacing w:line="480" w:lineRule="exact"/>
        <w:ind w:firstLine="641"/>
        <w:rPr>
          <w:rFonts w:ascii="仿宋" w:hAnsi="仿宋" w:eastAsia="仿宋"/>
          <w:sz w:val="28"/>
        </w:rPr>
      </w:pPr>
      <w:r>
        <w:rPr>
          <w:rFonts w:hint="eastAsia" w:ascii="仿宋" w:hAnsi="仿宋" w:eastAsia="仿宋"/>
          <w:sz w:val="28"/>
        </w:rPr>
        <w:t>10.1.2 不得将上述保密信息用于本合同以外的其他目的；</w:t>
      </w:r>
    </w:p>
    <w:p>
      <w:pPr>
        <w:snapToGrid w:val="0"/>
        <w:spacing w:line="480" w:lineRule="exact"/>
        <w:ind w:firstLine="641"/>
        <w:rPr>
          <w:rFonts w:ascii="仿宋" w:hAnsi="仿宋" w:eastAsia="仿宋"/>
          <w:sz w:val="28"/>
        </w:rPr>
      </w:pPr>
      <w:r>
        <w:rPr>
          <w:rFonts w:hint="eastAsia" w:ascii="仿宋" w:hAnsi="仿宋" w:eastAsia="仿宋"/>
          <w:sz w:val="28"/>
        </w:rPr>
        <w:t>10.1.3 本合同终止或解除后，乙方必须将从甲方取得的保密信息全部返还甲方，并销毁所有复制件。乙方应当妥善保存保密信息，并对保密信息在乙方期间发生的被盗、泄露、或其他有损保密信息保密性的事件承担全部责任。</w:t>
      </w:r>
    </w:p>
    <w:p>
      <w:pPr>
        <w:snapToGrid w:val="0"/>
        <w:spacing w:line="480" w:lineRule="exact"/>
        <w:ind w:firstLine="641"/>
        <w:rPr>
          <w:rFonts w:ascii="仿宋" w:hAnsi="仿宋" w:eastAsia="仿宋"/>
          <w:sz w:val="28"/>
        </w:rPr>
      </w:pPr>
      <w:r>
        <w:rPr>
          <w:rFonts w:hint="eastAsia" w:ascii="仿宋" w:hAnsi="仿宋" w:eastAsia="仿宋"/>
          <w:sz w:val="28"/>
        </w:rPr>
        <w:t>10.2上述保密义务的期限至保密信息正式向社会公开之日或甲方书面解除乙方本合同项下保密义务之日止。</w:t>
      </w:r>
    </w:p>
    <w:p>
      <w:pPr>
        <w:snapToGrid w:val="0"/>
        <w:spacing w:line="480" w:lineRule="exact"/>
        <w:ind w:firstLine="700" w:firstLineChars="250"/>
        <w:jc w:val="left"/>
        <w:rPr>
          <w:rFonts w:ascii="仿宋" w:hAnsi="仿宋" w:eastAsia="仿宋"/>
          <w:sz w:val="28"/>
        </w:rPr>
      </w:pPr>
      <w:r>
        <w:rPr>
          <w:rFonts w:hint="eastAsia" w:ascii="仿宋" w:hAnsi="仿宋" w:eastAsia="仿宋"/>
          <w:sz w:val="28"/>
        </w:rPr>
        <w:t>10.3 乙方违反保密义务的，应承担一切法律责任并赔偿甲方因此遭受的全部损失。</w:t>
      </w:r>
    </w:p>
    <w:p>
      <w:pPr>
        <w:snapToGrid w:val="0"/>
        <w:spacing w:line="480" w:lineRule="exact"/>
        <w:ind w:firstLine="700" w:firstLineChars="250"/>
        <w:jc w:val="left"/>
        <w:rPr>
          <w:rFonts w:ascii="仿宋" w:hAnsi="仿宋" w:eastAsia="仿宋"/>
          <w:sz w:val="28"/>
        </w:rPr>
      </w:pPr>
      <w:r>
        <w:rPr>
          <w:rFonts w:hint="eastAsia" w:ascii="仿宋" w:hAnsi="仿宋" w:eastAsia="仿宋"/>
          <w:sz w:val="28"/>
        </w:rPr>
        <w:t>10.4本条约定在本合同终止后仍然继续有效，且不受合同解除、终止或无效的影响。</w:t>
      </w:r>
    </w:p>
    <w:p>
      <w:pPr>
        <w:pStyle w:val="3"/>
        <w:adjustRightInd w:val="0"/>
        <w:ind w:firstLine="560" w:firstLineChars="0"/>
        <w:jc w:val="left"/>
        <w:rPr>
          <w:rFonts w:ascii="黑体" w:eastAsia="黑体"/>
          <w:b w:val="0"/>
          <w:sz w:val="28"/>
        </w:rPr>
      </w:pPr>
      <w:bookmarkStart w:id="31" w:name="_Toc121109581"/>
      <w:bookmarkStart w:id="32" w:name="_Toc159294470"/>
      <w:bookmarkStart w:id="33" w:name="_Toc437466583"/>
      <w:r>
        <w:rPr>
          <w:rFonts w:hint="eastAsia" w:ascii="黑体" w:eastAsia="黑体"/>
          <w:b w:val="0"/>
          <w:sz w:val="28"/>
        </w:rPr>
        <w:t xml:space="preserve">11. </w:t>
      </w:r>
      <w:bookmarkEnd w:id="31"/>
      <w:bookmarkEnd w:id="32"/>
      <w:r>
        <w:rPr>
          <w:rFonts w:hint="eastAsia" w:ascii="黑体" w:eastAsia="黑体"/>
          <w:b w:val="0"/>
          <w:sz w:val="28"/>
        </w:rPr>
        <w:t>违约责任</w:t>
      </w:r>
      <w:bookmarkEnd w:id="33"/>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11</w:t>
      </w:r>
      <w:r>
        <w:rPr>
          <w:rFonts w:ascii="仿宋" w:hAnsi="仿宋" w:eastAsia="仿宋"/>
          <w:sz w:val="28"/>
        </w:rPr>
        <w:t>.</w:t>
      </w:r>
      <w:r>
        <w:rPr>
          <w:rFonts w:hint="eastAsia" w:ascii="仿宋" w:hAnsi="仿宋" w:eastAsia="仿宋"/>
          <w:sz w:val="28"/>
        </w:rPr>
        <w:t>1乙方不履行本合同义务或者履行义务不符合约定的，甲方有权要求乙方承担继续履行、赔偿损失和/或支付违约金等违约责任。</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11.1.1非甲方原因，乙方未能按照合同约定的时间进度完成项目实施服务，每逾期1天应向甲方支付合同价格0.5%的违约金。上述违约金的支付不能免除乙方继续履行合同的义务。延期超过30天时，甲方有权解除本合同，此等解除并不影响甲方要求乙方支付违约金的权利。</w:t>
      </w:r>
    </w:p>
    <w:p>
      <w:pPr>
        <w:snapToGrid w:val="0"/>
        <w:spacing w:line="480" w:lineRule="exact"/>
        <w:ind w:firstLine="560" w:firstLineChars="200"/>
        <w:rPr>
          <w:rFonts w:ascii="仿宋" w:hAnsi="仿宋" w:eastAsia="仿宋"/>
          <w:sz w:val="28"/>
        </w:rPr>
      </w:pPr>
      <w:r>
        <w:rPr>
          <w:rFonts w:hint="eastAsia" w:ascii="仿宋" w:hAnsi="仿宋" w:eastAsia="仿宋"/>
          <w:sz w:val="28"/>
        </w:rPr>
        <w:t>11.1.2 未经甲方书面同意，乙方中途无故更换项目负责人，则从项目负责人中途更换之日起到质保期届满之日止，乙方每天应向甲方支付合同价格0.1%的违约金。</w:t>
      </w:r>
    </w:p>
    <w:p>
      <w:pPr>
        <w:snapToGrid w:val="0"/>
        <w:spacing w:line="480" w:lineRule="exact"/>
        <w:ind w:firstLine="560" w:firstLineChars="200"/>
        <w:rPr>
          <w:rFonts w:ascii="仿宋" w:hAnsi="仿宋" w:eastAsia="仿宋"/>
          <w:sz w:val="28"/>
        </w:rPr>
      </w:pPr>
      <w:r>
        <w:rPr>
          <w:rFonts w:hint="eastAsia" w:ascii="仿宋" w:hAnsi="仿宋" w:eastAsia="仿宋"/>
          <w:sz w:val="28"/>
        </w:rPr>
        <w:t>11.1.3 如果乙方单方面终止合同或因乙方原因甲方终止合同的，乙方应向甲方退还甲方已支付的所有费用，并支付相当于被终止部分合同价款</w:t>
      </w:r>
      <w:r>
        <w:rPr>
          <w:rFonts w:hint="eastAsia" w:ascii="仿宋" w:hAnsi="仿宋" w:eastAsia="仿宋"/>
          <w:sz w:val="28"/>
          <w:u w:val="single"/>
        </w:rPr>
        <w:t xml:space="preserve"> 1</w:t>
      </w:r>
      <w:r>
        <w:rPr>
          <w:rFonts w:ascii="仿宋" w:hAnsi="仿宋" w:eastAsia="仿宋"/>
          <w:sz w:val="28"/>
          <w:u w:val="single"/>
        </w:rPr>
        <w:t>0</w:t>
      </w:r>
      <w:r>
        <w:rPr>
          <w:rFonts w:hint="eastAsia" w:ascii="仿宋" w:hAnsi="仿宋" w:eastAsia="仿宋"/>
          <w:sz w:val="28"/>
          <w:u w:val="single"/>
        </w:rPr>
        <w:t xml:space="preserve"> </w:t>
      </w:r>
      <w:r>
        <w:rPr>
          <w:rFonts w:hint="eastAsia" w:ascii="仿宋" w:hAnsi="仿宋" w:eastAsia="仿宋"/>
          <w:sz w:val="28"/>
        </w:rPr>
        <w:t>%的违约金。</w:t>
      </w:r>
    </w:p>
    <w:p>
      <w:pPr>
        <w:snapToGrid w:val="0"/>
        <w:spacing w:line="480" w:lineRule="exact"/>
        <w:ind w:firstLine="560" w:firstLineChars="200"/>
        <w:rPr>
          <w:rFonts w:ascii="仿宋" w:hAnsi="仿宋" w:eastAsia="仿宋"/>
          <w:sz w:val="28"/>
        </w:rPr>
      </w:pPr>
      <w:r>
        <w:rPr>
          <w:rFonts w:hint="eastAsia" w:ascii="仿宋" w:hAnsi="仿宋" w:eastAsia="仿宋"/>
          <w:sz w:val="28"/>
        </w:rPr>
        <w:t>11.1.4乙方按合同约定应支付的违约金低于给甲方造成的损失的，应就差额部分向甲方进行赔偿。</w:t>
      </w:r>
    </w:p>
    <w:p>
      <w:pPr>
        <w:snapToGrid w:val="0"/>
        <w:spacing w:line="480" w:lineRule="exact"/>
        <w:ind w:firstLine="560" w:firstLineChars="200"/>
        <w:rPr>
          <w:rFonts w:ascii="仿宋" w:hAnsi="仿宋" w:eastAsia="仿宋"/>
          <w:sz w:val="28"/>
        </w:rPr>
      </w:pPr>
      <w:r>
        <w:rPr>
          <w:rFonts w:hint="eastAsia" w:ascii="仿宋" w:hAnsi="仿宋" w:eastAsia="仿宋"/>
          <w:sz w:val="28"/>
        </w:rPr>
        <w:t>11.1.5 乙方违反本合同第9条约定义务的，甲方有权选择要求乙方承担合同总价</w:t>
      </w:r>
      <w:r>
        <w:rPr>
          <w:rFonts w:hint="eastAsia" w:ascii="仿宋" w:hAnsi="仿宋" w:eastAsia="仿宋"/>
          <w:sz w:val="28"/>
          <w:u w:val="single"/>
        </w:rPr>
        <w:t xml:space="preserve"> 1</w:t>
      </w:r>
      <w:r>
        <w:rPr>
          <w:rFonts w:ascii="仿宋" w:hAnsi="仿宋" w:eastAsia="仿宋"/>
          <w:sz w:val="28"/>
          <w:u w:val="single"/>
        </w:rPr>
        <w:t>0</w:t>
      </w:r>
      <w:r>
        <w:rPr>
          <w:rFonts w:hint="eastAsia" w:ascii="仿宋" w:hAnsi="仿宋" w:eastAsia="仿宋"/>
          <w:sz w:val="28"/>
          <w:u w:val="single"/>
        </w:rPr>
        <w:t xml:space="preserve">  </w:t>
      </w:r>
      <w:r>
        <w:rPr>
          <w:rFonts w:hint="eastAsia" w:ascii="仿宋" w:hAnsi="仿宋" w:eastAsia="仿宋"/>
          <w:sz w:val="28"/>
        </w:rPr>
        <w:t>%的违约金或解除本合同。乙方未经甲方同意转让或许可第三方使用甲方所有的技术成果和知识产权的，所获收益归甲方所有。</w:t>
      </w:r>
    </w:p>
    <w:p>
      <w:pPr>
        <w:snapToGrid w:val="0"/>
        <w:spacing w:line="480" w:lineRule="exact"/>
        <w:ind w:firstLine="560" w:firstLineChars="200"/>
        <w:rPr>
          <w:rFonts w:ascii="仿宋" w:hAnsi="仿宋" w:eastAsia="仿宋"/>
          <w:sz w:val="28"/>
        </w:rPr>
      </w:pPr>
      <w:r>
        <w:rPr>
          <w:rFonts w:hint="eastAsia" w:ascii="仿宋" w:hAnsi="仿宋" w:eastAsia="仿宋"/>
          <w:sz w:val="28"/>
        </w:rPr>
        <w:t>11.1.6 乙方违反保密义务的，甲方有权要求乙方停止侵害、消除影响或采取其他合理的救济措施，并应向甲方承担合同总额</w:t>
      </w:r>
      <w:r>
        <w:rPr>
          <w:rFonts w:hint="eastAsia" w:ascii="仿宋" w:hAnsi="仿宋" w:eastAsia="仿宋"/>
          <w:sz w:val="28"/>
          <w:u w:val="single"/>
        </w:rPr>
        <w:t xml:space="preserve"> 1</w:t>
      </w:r>
      <w:r>
        <w:rPr>
          <w:rFonts w:ascii="仿宋" w:hAnsi="仿宋" w:eastAsia="仿宋"/>
          <w:sz w:val="28"/>
          <w:u w:val="single"/>
        </w:rPr>
        <w:t>0</w:t>
      </w:r>
      <w:r>
        <w:rPr>
          <w:rFonts w:hint="eastAsia" w:ascii="仿宋" w:hAnsi="仿宋" w:eastAsia="仿宋"/>
          <w:sz w:val="28"/>
          <w:u w:val="single"/>
        </w:rPr>
        <w:t xml:space="preserve">  </w:t>
      </w:r>
      <w:r>
        <w:rPr>
          <w:rFonts w:hint="eastAsia" w:ascii="仿宋" w:hAnsi="仿宋" w:eastAsia="仿宋"/>
          <w:sz w:val="28"/>
        </w:rPr>
        <w:t>%的违约金。</w:t>
      </w:r>
    </w:p>
    <w:p>
      <w:pPr>
        <w:snapToGrid w:val="0"/>
        <w:spacing w:line="480" w:lineRule="exact"/>
        <w:ind w:firstLine="560" w:firstLineChars="200"/>
        <w:rPr>
          <w:rFonts w:ascii="仿宋" w:hAnsi="仿宋" w:eastAsia="仿宋"/>
          <w:sz w:val="28"/>
        </w:rPr>
      </w:pPr>
      <w:r>
        <w:rPr>
          <w:rFonts w:hint="eastAsia" w:ascii="仿宋" w:hAnsi="仿宋" w:eastAsia="仿宋"/>
          <w:sz w:val="28"/>
        </w:rPr>
        <w:t>11.1.7 除本合同另有约定外，乙方存在其他违约行为的，应按合同价款的</w:t>
      </w:r>
      <w:r>
        <w:rPr>
          <w:rFonts w:hint="eastAsia" w:ascii="仿宋" w:hAnsi="仿宋" w:eastAsia="仿宋"/>
          <w:sz w:val="28"/>
          <w:u w:val="single"/>
        </w:rPr>
        <w:t xml:space="preserve"> 5 </w:t>
      </w:r>
      <w:r>
        <w:rPr>
          <w:rFonts w:hint="eastAsia" w:ascii="仿宋" w:hAnsi="仿宋" w:eastAsia="仿宋"/>
          <w:sz w:val="28"/>
        </w:rPr>
        <w:t>%向甲方承担违约金。</w:t>
      </w:r>
    </w:p>
    <w:p>
      <w:pPr>
        <w:snapToGrid w:val="0"/>
        <w:spacing w:line="480" w:lineRule="exact"/>
        <w:ind w:firstLine="560" w:firstLineChars="200"/>
        <w:rPr>
          <w:rFonts w:ascii="仿宋" w:hAnsi="仿宋" w:eastAsia="仿宋"/>
          <w:sz w:val="28"/>
        </w:rPr>
      </w:pPr>
      <w:r>
        <w:rPr>
          <w:rFonts w:hint="eastAsia" w:ascii="仿宋" w:hAnsi="仿宋" w:eastAsia="仿宋"/>
          <w:sz w:val="28"/>
        </w:rPr>
        <w:t>11.1.8在质保期内，如发现乙方交付作品有缺陷，或项目的性能和质量不符合本合同约定时，乙方应及时负责排除缺陷、修理、替换或更换出现故障的交付作品，所有费用由乙方承担。若乙方未能在约定时间内到达现场，或乙方在接到甲方书面通知后</w:t>
      </w:r>
      <w:r>
        <w:rPr>
          <w:rFonts w:hint="eastAsia" w:ascii="仿宋" w:hAnsi="仿宋" w:eastAsia="仿宋"/>
          <w:sz w:val="28"/>
          <w:u w:val="single"/>
        </w:rPr>
        <w:t xml:space="preserve">  </w:t>
      </w:r>
      <w:r>
        <w:rPr>
          <w:rFonts w:ascii="仿宋" w:hAnsi="仿宋" w:eastAsia="仿宋"/>
          <w:sz w:val="28"/>
          <w:u w:val="single"/>
        </w:rPr>
        <w:t>2</w:t>
      </w:r>
      <w:r>
        <w:rPr>
          <w:rFonts w:hint="eastAsia" w:ascii="仿宋" w:hAnsi="仿宋" w:eastAsia="仿宋"/>
          <w:sz w:val="28"/>
          <w:u w:val="single"/>
        </w:rPr>
        <w:t xml:space="preserve">  </w:t>
      </w:r>
      <w:r>
        <w:rPr>
          <w:rFonts w:hint="eastAsia" w:ascii="仿宋" w:hAnsi="仿宋" w:eastAsia="仿宋"/>
          <w:sz w:val="28"/>
        </w:rPr>
        <w:t>小时内（含本数）未反应，则每推迟1日履行上述义务，乙方向甲方支付违约金</w:t>
      </w:r>
      <w:r>
        <w:rPr>
          <w:rFonts w:ascii="仿宋" w:hAnsi="仿宋" w:eastAsia="仿宋"/>
          <w:sz w:val="28"/>
          <w:u w:val="single"/>
        </w:rPr>
        <w:t>10000</w:t>
      </w:r>
      <w:r>
        <w:rPr>
          <w:rFonts w:hint="eastAsia" w:ascii="仿宋" w:hAnsi="仿宋" w:eastAsia="仿宋"/>
          <w:sz w:val="28"/>
          <w:u w:val="single"/>
        </w:rPr>
        <w:t xml:space="preserve">  </w:t>
      </w:r>
      <w:r>
        <w:rPr>
          <w:rFonts w:hint="eastAsia" w:ascii="仿宋" w:hAnsi="仿宋" w:eastAsia="仿宋"/>
          <w:sz w:val="28"/>
        </w:rPr>
        <w:t>元。</w:t>
      </w:r>
    </w:p>
    <w:p>
      <w:pPr>
        <w:snapToGrid w:val="0"/>
        <w:spacing w:line="480" w:lineRule="exact"/>
        <w:ind w:firstLine="560" w:firstLineChars="200"/>
        <w:rPr>
          <w:rFonts w:ascii="仿宋" w:hAnsi="仿宋" w:eastAsia="仿宋"/>
          <w:sz w:val="28"/>
        </w:rPr>
      </w:pPr>
      <w:r>
        <w:rPr>
          <w:rFonts w:hint="eastAsia" w:ascii="仿宋" w:hAnsi="仿宋" w:eastAsia="仿宋"/>
          <w:sz w:val="28"/>
        </w:rPr>
        <w:t>11.1.9 甲方有权对乙方实施的服务进行监督。一旦发现任何乙方提供服务不符合要求，甲方将向乙方发出《整改通知书》，每发出一次《整改通知书》的，乙方应向甲方支付违约金</w:t>
      </w:r>
      <w:r>
        <w:rPr>
          <w:rFonts w:hint="eastAsia" w:ascii="仿宋" w:hAnsi="仿宋" w:eastAsia="仿宋"/>
          <w:sz w:val="28"/>
          <w:u w:val="single"/>
        </w:rPr>
        <w:t xml:space="preserve"> 1000</w:t>
      </w:r>
      <w:r>
        <w:rPr>
          <w:rFonts w:ascii="仿宋" w:hAnsi="仿宋" w:eastAsia="仿宋"/>
          <w:sz w:val="28"/>
          <w:u w:val="single"/>
        </w:rPr>
        <w:t>0</w:t>
      </w:r>
      <w:r>
        <w:rPr>
          <w:rFonts w:hint="eastAsia" w:ascii="仿宋" w:hAnsi="仿宋" w:eastAsia="仿宋"/>
          <w:sz w:val="28"/>
          <w:u w:val="single"/>
        </w:rPr>
        <w:t xml:space="preserve"> </w:t>
      </w:r>
      <w:r>
        <w:rPr>
          <w:rFonts w:hint="eastAsia" w:ascii="仿宋" w:hAnsi="仿宋" w:eastAsia="仿宋"/>
          <w:sz w:val="28"/>
        </w:rPr>
        <w:t>元。若乙方逾期整改，或整改后不符合甲方要求的，甲方有权解除本合同。</w:t>
      </w:r>
    </w:p>
    <w:p>
      <w:pPr>
        <w:pStyle w:val="11"/>
        <w:tabs>
          <w:tab w:val="left" w:pos="454"/>
        </w:tabs>
        <w:spacing w:line="480" w:lineRule="exact"/>
        <w:ind w:firstLine="560" w:firstLineChars="200"/>
        <w:rPr>
          <w:rFonts w:ascii="仿宋" w:hAnsi="仿宋" w:eastAsia="仿宋"/>
          <w:sz w:val="28"/>
        </w:rPr>
      </w:pPr>
      <w:r>
        <w:rPr>
          <w:rFonts w:hint="eastAsia" w:ascii="仿宋" w:hAnsi="仿宋" w:eastAsia="仿宋"/>
          <w:sz w:val="28"/>
        </w:rPr>
        <w:t>11.1.10未经甲方书面同意，乙方将本合同项下的服务转包、分包给任何第三方的，甲方有权立即解除合同, 乙方除返还甲方已支付的所有费用之外，还应向甲方按照合同价款的20%支付违约金。经甲方书面同意将本合同项下的服务转包、分包给任何第三方的，乙方应就第三方受让的工作对甲方承担连带责任。</w:t>
      </w:r>
    </w:p>
    <w:p>
      <w:pPr>
        <w:snapToGrid w:val="0"/>
        <w:spacing w:line="480" w:lineRule="exact"/>
        <w:ind w:firstLine="560" w:firstLineChars="200"/>
        <w:rPr>
          <w:rFonts w:ascii="仿宋" w:hAnsi="仿宋" w:eastAsia="仿宋"/>
          <w:sz w:val="28"/>
        </w:rPr>
      </w:pPr>
      <w:r>
        <w:rPr>
          <w:rFonts w:hint="eastAsia" w:ascii="仿宋" w:hAnsi="仿宋" w:eastAsia="仿宋"/>
          <w:sz w:val="28"/>
        </w:rPr>
        <w:t>11.1.11 乙方违约除应承担相应违约责任外，甲方向乙方主张权利所产生的费用（包括律师费）亦由乙方承担。</w:t>
      </w:r>
    </w:p>
    <w:p>
      <w:pPr>
        <w:snapToGrid w:val="0"/>
        <w:spacing w:line="480" w:lineRule="exact"/>
        <w:ind w:firstLine="560" w:firstLineChars="200"/>
        <w:rPr>
          <w:rFonts w:ascii="仿宋" w:hAnsi="仿宋" w:eastAsia="仿宋"/>
          <w:sz w:val="28"/>
        </w:rPr>
      </w:pPr>
      <w:r>
        <w:rPr>
          <w:rFonts w:hint="eastAsia" w:ascii="仿宋" w:hAnsi="仿宋" w:eastAsia="仿宋"/>
          <w:sz w:val="28"/>
        </w:rPr>
        <w:t>11.1.12 乙方因违约需向甲方支付违约金或赔偿损失的，甲方有权从任何一期应付款项中予以扣除。</w:t>
      </w:r>
    </w:p>
    <w:p>
      <w:pPr>
        <w:snapToGrid w:val="0"/>
        <w:spacing w:line="480" w:lineRule="exact"/>
        <w:ind w:firstLine="560" w:firstLineChars="200"/>
        <w:rPr>
          <w:rFonts w:ascii="仿宋" w:hAnsi="仿宋" w:eastAsia="仿宋"/>
          <w:sz w:val="28"/>
        </w:rPr>
      </w:pPr>
      <w:r>
        <w:rPr>
          <w:rFonts w:hint="eastAsia" w:ascii="仿宋" w:hAnsi="仿宋" w:eastAsia="仿宋"/>
          <w:sz w:val="28"/>
        </w:rPr>
        <w:t>11.2甲方违反合同约定逾期支付合同价款的，应就逾期部分向乙方支付按照中国人民银行规定的同期贷款基准利率计算的逾期付款违约金。</w:t>
      </w:r>
    </w:p>
    <w:p>
      <w:pPr>
        <w:pStyle w:val="3"/>
        <w:adjustRightInd w:val="0"/>
        <w:spacing w:line="480" w:lineRule="exact"/>
        <w:ind w:firstLine="560"/>
        <w:jc w:val="left"/>
        <w:rPr>
          <w:rFonts w:ascii="黑体" w:eastAsia="黑体"/>
          <w:b w:val="0"/>
          <w:sz w:val="28"/>
        </w:rPr>
      </w:pPr>
      <w:bookmarkStart w:id="34" w:name="_Toc121109584"/>
      <w:bookmarkStart w:id="35" w:name="_Toc437466584"/>
      <w:bookmarkStart w:id="36" w:name="_Toc159294473"/>
      <w:r>
        <w:rPr>
          <w:rFonts w:hint="eastAsia" w:ascii="黑体" w:eastAsia="黑体"/>
          <w:b w:val="0"/>
          <w:sz w:val="28"/>
        </w:rPr>
        <w:t>12. 履约保</w:t>
      </w:r>
      <w:bookmarkEnd w:id="34"/>
      <w:r>
        <w:rPr>
          <w:rFonts w:hint="eastAsia" w:ascii="黑体" w:eastAsia="黑体"/>
          <w:b w:val="0"/>
          <w:sz w:val="28"/>
        </w:rPr>
        <w:t>证金</w:t>
      </w:r>
      <w:bookmarkEnd w:id="35"/>
      <w:bookmarkEnd w:id="36"/>
    </w:p>
    <w:p>
      <w:pPr>
        <w:spacing w:line="480" w:lineRule="exact"/>
        <w:ind w:firstLine="560" w:firstLineChars="200"/>
        <w:rPr>
          <w:rFonts w:ascii="仿宋" w:hAnsi="仿宋" w:eastAsia="仿宋"/>
          <w:sz w:val="28"/>
        </w:rPr>
      </w:pPr>
      <w:r>
        <w:rPr>
          <w:rFonts w:hint="eastAsia" w:ascii="仿宋" w:hAnsi="仿宋" w:eastAsia="仿宋"/>
          <w:sz w:val="28"/>
        </w:rPr>
        <w:t>12.1 乙方应在合同签订后</w:t>
      </w:r>
      <w:r>
        <w:rPr>
          <w:rFonts w:ascii="仿宋" w:hAnsi="仿宋" w:eastAsia="仿宋"/>
          <w:sz w:val="28"/>
        </w:rPr>
        <w:t>5</w:t>
      </w:r>
      <w:r>
        <w:rPr>
          <w:rFonts w:hint="eastAsia" w:ascii="仿宋" w:hAnsi="仿宋" w:eastAsia="仿宋"/>
          <w:sz w:val="28"/>
        </w:rPr>
        <w:t>日内（含本数）向甲方提交金额为合同价格10%的履约保证金，履约保证金应为由甲方认可的中国境内银行出具的银行保函（格式参考见附件四《履约保函格式》），或者为现金、汇票、支票，与提供履约保证金有关的费用由乙方负担。</w:t>
      </w:r>
    </w:p>
    <w:p>
      <w:pPr>
        <w:spacing w:line="480" w:lineRule="exact"/>
        <w:ind w:firstLine="560" w:firstLineChars="200"/>
        <w:rPr>
          <w:rFonts w:ascii="仿宋" w:hAnsi="仿宋" w:eastAsia="仿宋"/>
          <w:sz w:val="28"/>
        </w:rPr>
      </w:pPr>
      <w:r>
        <w:rPr>
          <w:rFonts w:hint="eastAsia" w:ascii="仿宋" w:hAnsi="仿宋" w:eastAsia="仿宋"/>
          <w:sz w:val="28"/>
        </w:rPr>
        <w:t>12.2 履约保证金有效期自乙方履约保证金提交甲方之日起至项目质保期届满后30日止。履约保证金有效期届满并无索赔（有索赔待索赔完成）之日起10个工作日内，甲方向乙方无息退还履约保证金。乙方以汇票或支票形式提交履约保证金的，如果票据期限短于合同约定的履约保证金有效期的，甲方有权在票据期限届满前兑现票据项下的全部款项，作为乙方履行合同义务的担保；乙方以履约保函形式提交履约保证金的，出具履约保函的银行需具有企业法人主体资格，出具履约保函为银行分支机构的应提供企业法人对其出具履约保函的授权委托书或其他证明文件。如果履约保函的实际担保期限短于合同约定的履约保证金有效期，乙方应于担保期限到期日15个工作日前重新提供履约保函，履约保函提交时间每延期一日，乙方应向甲方支付合同价格</w:t>
      </w:r>
      <w:r>
        <w:rPr>
          <w:rFonts w:ascii="仿宋" w:hAnsi="仿宋" w:eastAsia="仿宋"/>
          <w:sz w:val="28"/>
        </w:rPr>
        <w:t>0.1</w:t>
      </w:r>
      <w:r>
        <w:rPr>
          <w:rFonts w:hint="eastAsia" w:ascii="仿宋" w:hAnsi="仿宋" w:eastAsia="仿宋"/>
          <w:sz w:val="28"/>
        </w:rPr>
        <w:t>%违约金；同时，甲方有权提取履约保函项下的全部款项，作为乙方履行合同义务的担保。</w:t>
      </w:r>
    </w:p>
    <w:p>
      <w:pPr>
        <w:spacing w:line="480" w:lineRule="exact"/>
        <w:ind w:firstLine="560" w:firstLineChars="200"/>
        <w:rPr>
          <w:rFonts w:ascii="仿宋" w:hAnsi="仿宋" w:eastAsia="仿宋"/>
          <w:sz w:val="28"/>
        </w:rPr>
      </w:pPr>
      <w:r>
        <w:rPr>
          <w:rFonts w:hint="eastAsia" w:ascii="仿宋" w:hAnsi="仿宋" w:eastAsia="仿宋"/>
          <w:sz w:val="28"/>
        </w:rPr>
        <w:t>12.3 履约保证金是乙方履行合同义务的担保，如乙方未能履行本合同项下的任何义务，甲方有权根据乙方所需承担的违约责任扣除相应的履约保证金。</w:t>
      </w:r>
    </w:p>
    <w:p>
      <w:pPr>
        <w:spacing w:line="480" w:lineRule="exact"/>
        <w:ind w:firstLine="560" w:firstLineChars="200"/>
        <w:rPr>
          <w:rFonts w:ascii="仿宋" w:hAnsi="仿宋" w:eastAsia="仿宋"/>
          <w:sz w:val="28"/>
        </w:rPr>
      </w:pPr>
      <w:r>
        <w:rPr>
          <w:rFonts w:hint="eastAsia" w:ascii="仿宋" w:hAnsi="仿宋" w:eastAsia="仿宋"/>
          <w:sz w:val="28"/>
        </w:rPr>
        <w:t>12.4 低于人民币50万元的合同不适用本条有关履约保证金的规定。</w:t>
      </w:r>
    </w:p>
    <w:p>
      <w:pPr>
        <w:pStyle w:val="3"/>
        <w:adjustRightInd w:val="0"/>
        <w:ind w:firstLine="560" w:firstLineChars="0"/>
        <w:jc w:val="left"/>
        <w:rPr>
          <w:rFonts w:ascii="黑体" w:eastAsia="黑体"/>
          <w:b w:val="0"/>
          <w:sz w:val="28"/>
        </w:rPr>
      </w:pPr>
      <w:bookmarkStart w:id="37" w:name="_Toc362615009"/>
      <w:bookmarkStart w:id="38" w:name="_Toc282440870"/>
      <w:bookmarkStart w:id="39" w:name="_Toc370652269"/>
      <w:bookmarkStart w:id="40" w:name="_Toc30316"/>
      <w:bookmarkStart w:id="41" w:name="_Toc437466585"/>
      <w:bookmarkStart w:id="42" w:name="_Toc19411"/>
      <w:bookmarkStart w:id="43" w:name="_Toc251924030"/>
      <w:bookmarkStart w:id="44" w:name="_Toc276859877"/>
      <w:bookmarkStart w:id="45" w:name="_Toc246495337"/>
      <w:bookmarkStart w:id="46" w:name="_Toc41724801"/>
      <w:bookmarkStart w:id="47" w:name="_Toc148518411"/>
      <w:bookmarkStart w:id="48" w:name="_Toc41724683"/>
      <w:bookmarkStart w:id="49" w:name="_Toc41734177"/>
      <w:bookmarkStart w:id="50" w:name="_Toc223419788"/>
      <w:bookmarkStart w:id="51" w:name="_Toc27813002"/>
      <w:bookmarkStart w:id="52" w:name="_Toc137103383"/>
      <w:r>
        <w:rPr>
          <w:rFonts w:hint="eastAsia" w:ascii="黑体" w:eastAsia="黑体"/>
          <w:b w:val="0"/>
          <w:sz w:val="28"/>
        </w:rPr>
        <w:t>1</w:t>
      </w:r>
      <w:r>
        <w:rPr>
          <w:rFonts w:ascii="黑体" w:eastAsia="黑体"/>
          <w:b w:val="0"/>
          <w:sz w:val="28"/>
        </w:rPr>
        <w:t>3.</w:t>
      </w:r>
      <w:r>
        <w:rPr>
          <w:rFonts w:hint="eastAsia" w:ascii="黑体" w:eastAsia="黑体"/>
          <w:b w:val="0"/>
          <w:sz w:val="28"/>
        </w:rPr>
        <w:t xml:space="preserve"> 合同中止履行与解除</w:t>
      </w:r>
      <w:bookmarkEnd w:id="37"/>
      <w:bookmarkEnd w:id="38"/>
      <w:bookmarkEnd w:id="39"/>
      <w:bookmarkEnd w:id="40"/>
      <w:bookmarkEnd w:id="41"/>
      <w:bookmarkEnd w:id="42"/>
      <w:bookmarkEnd w:id="43"/>
      <w:bookmarkEnd w:id="44"/>
    </w:p>
    <w:bookmarkEnd w:id="45"/>
    <w:bookmarkEnd w:id="46"/>
    <w:bookmarkEnd w:id="47"/>
    <w:bookmarkEnd w:id="48"/>
    <w:bookmarkEnd w:id="49"/>
    <w:bookmarkEnd w:id="50"/>
    <w:bookmarkEnd w:id="51"/>
    <w:bookmarkEnd w:id="52"/>
    <w:p>
      <w:pPr>
        <w:snapToGrid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13.1 合同中止履行</w:t>
      </w:r>
    </w:p>
    <w:p>
      <w:pPr>
        <w:snapToGrid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乙方有违反或拒绝执行合同约定的行为时，甲方有权书面通知乙方，乙方应在接到通知后</w:t>
      </w:r>
      <w:r>
        <w:rPr>
          <w:rFonts w:ascii="仿宋" w:hAnsi="仿宋" w:eastAsia="仿宋"/>
          <w:snapToGrid w:val="0"/>
          <w:kern w:val="0"/>
          <w:sz w:val="28"/>
        </w:rPr>
        <w:t>5</w:t>
      </w:r>
      <w:r>
        <w:rPr>
          <w:rFonts w:hint="eastAsia" w:ascii="仿宋" w:hAnsi="仿宋" w:eastAsia="仿宋"/>
          <w:snapToGrid w:val="0"/>
          <w:kern w:val="0"/>
          <w:sz w:val="28"/>
        </w:rPr>
        <w:t>个工作日内对违反或拒绝执行合同的行为进行纠正，如果乙方认为在</w:t>
      </w:r>
      <w:r>
        <w:rPr>
          <w:rFonts w:ascii="仿宋" w:hAnsi="仿宋" w:eastAsia="仿宋"/>
          <w:snapToGrid w:val="0"/>
          <w:kern w:val="0"/>
          <w:sz w:val="28"/>
        </w:rPr>
        <w:t>5</w:t>
      </w:r>
      <w:r>
        <w:rPr>
          <w:rFonts w:hint="eastAsia" w:ascii="仿宋" w:hAnsi="仿宋" w:eastAsia="仿宋"/>
          <w:snapToGrid w:val="0"/>
          <w:kern w:val="0"/>
          <w:sz w:val="28"/>
        </w:rPr>
        <w:t>个工作日内来不及纠正时，应在此期限内向甲方提出纠正计划。如果乙方未在上述期限内对违反或拒绝执行合同的行为进行纠正，亦未提出纠正计划，甲方有权中止履行本合同。对于此种中止履行，甲方无需另行通知乙方，由此发生的一切费用、损失由乙方承担。甲方行使中止履行权利后，有权停付到期应向乙方支付的中止履行部分的合同价款，并有权索回已支付给乙方的中止履行部分的合同价款。</w:t>
      </w:r>
    </w:p>
    <w:p>
      <w:pPr>
        <w:snapToGrid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13.2 合同解除</w:t>
      </w:r>
    </w:p>
    <w:p>
      <w:pPr>
        <w:snapToGrid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13.2.1除本合同已有约定的合同解除情形外，若发生下述任何一种情况，则甲方有权解除合同，并可要求乙方立即退还甲方已支付的合同价款，同时甲方有权要求乙方按照合同价款的</w:t>
      </w:r>
      <w:r>
        <w:rPr>
          <w:rFonts w:ascii="仿宋" w:hAnsi="仿宋" w:eastAsia="仿宋"/>
          <w:snapToGrid w:val="0"/>
          <w:kern w:val="0"/>
          <w:sz w:val="28"/>
        </w:rPr>
        <w:t>20%</w:t>
      </w:r>
      <w:r>
        <w:rPr>
          <w:rFonts w:hint="eastAsia" w:ascii="仿宋" w:hAnsi="仿宋" w:eastAsia="仿宋"/>
          <w:snapToGrid w:val="0"/>
          <w:kern w:val="0"/>
          <w:sz w:val="28"/>
        </w:rPr>
        <w:t>支付违约金。乙方应支付的违约金低于给甲方造成的损失的，并应就差额部分向甲方进行赔偿。</w:t>
      </w:r>
    </w:p>
    <w:p>
      <w:pPr>
        <w:snapToGrid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w:t>
      </w:r>
      <w:r>
        <w:rPr>
          <w:rFonts w:ascii="仿宋" w:hAnsi="仿宋" w:eastAsia="仿宋"/>
          <w:snapToGrid w:val="0"/>
          <w:kern w:val="0"/>
          <w:sz w:val="28"/>
        </w:rPr>
        <w:t>1</w:t>
      </w:r>
      <w:r>
        <w:rPr>
          <w:rFonts w:hint="eastAsia" w:ascii="仿宋" w:hAnsi="仿宋" w:eastAsia="仿宋"/>
          <w:snapToGrid w:val="0"/>
          <w:kern w:val="0"/>
          <w:sz w:val="28"/>
        </w:rPr>
        <w:t>）乙方未能在合同约定的期限内及甲方认可的任何延期内交付部分或全部合同货物；</w:t>
      </w:r>
    </w:p>
    <w:p>
      <w:pPr>
        <w:snapToGrid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w:t>
      </w:r>
      <w:r>
        <w:rPr>
          <w:rFonts w:ascii="仿宋" w:hAnsi="仿宋" w:eastAsia="仿宋"/>
          <w:snapToGrid w:val="0"/>
          <w:kern w:val="0"/>
          <w:sz w:val="28"/>
        </w:rPr>
        <w:t>2</w:t>
      </w:r>
      <w:r>
        <w:rPr>
          <w:rFonts w:hint="eastAsia" w:ascii="仿宋" w:hAnsi="仿宋" w:eastAsia="仿宋"/>
          <w:snapToGrid w:val="0"/>
          <w:kern w:val="0"/>
          <w:sz w:val="28"/>
        </w:rPr>
        <w:t>）乙方未能履行合同项下的任何其他义务，且在收到甲方发出的按约履行合同的通知后</w:t>
      </w:r>
      <w:r>
        <w:rPr>
          <w:rFonts w:ascii="仿宋" w:hAnsi="仿宋" w:eastAsia="仿宋"/>
          <w:snapToGrid w:val="0"/>
          <w:kern w:val="0"/>
          <w:sz w:val="28"/>
        </w:rPr>
        <w:t>15</w:t>
      </w:r>
      <w:r>
        <w:rPr>
          <w:rFonts w:hint="eastAsia" w:ascii="仿宋" w:hAnsi="仿宋" w:eastAsia="仿宋"/>
          <w:snapToGrid w:val="0"/>
          <w:kern w:val="0"/>
          <w:sz w:val="28"/>
        </w:rPr>
        <w:t>日以内仍未能采取纠正措施。</w:t>
      </w:r>
    </w:p>
    <w:p>
      <w:pPr>
        <w:snapToGrid w:val="0"/>
        <w:spacing w:line="480" w:lineRule="exact"/>
        <w:ind w:firstLine="560" w:firstLineChars="200"/>
        <w:rPr>
          <w:rFonts w:ascii="仿宋" w:hAnsi="仿宋" w:eastAsia="仿宋"/>
          <w:snapToGrid w:val="0"/>
          <w:kern w:val="0"/>
          <w:sz w:val="28"/>
        </w:rPr>
      </w:pPr>
      <w:r>
        <w:rPr>
          <w:rFonts w:ascii="仿宋" w:hAnsi="仿宋" w:eastAsia="仿宋"/>
          <w:snapToGrid w:val="0"/>
          <w:sz w:val="28"/>
        </w:rPr>
        <w:t>13.2.2</w:t>
      </w:r>
      <w:r>
        <w:rPr>
          <w:rFonts w:hint="eastAsia" w:ascii="仿宋" w:hAnsi="仿宋" w:eastAsia="仿宋"/>
          <w:sz w:val="28"/>
        </w:rPr>
        <w:t>甲方依本合同约定单方解除合同时，</w:t>
      </w:r>
      <w:r>
        <w:rPr>
          <w:rFonts w:hint="eastAsia" w:ascii="仿宋" w:hAnsi="仿宋" w:eastAsia="仿宋"/>
          <w:snapToGrid w:val="0"/>
          <w:sz w:val="28"/>
        </w:rPr>
        <w:t>解除合同的通知自到达乙方时生效。</w:t>
      </w:r>
    </w:p>
    <w:p>
      <w:pPr>
        <w:pStyle w:val="3"/>
        <w:adjustRightInd w:val="0"/>
        <w:spacing w:line="480" w:lineRule="exact"/>
        <w:ind w:firstLine="560"/>
        <w:jc w:val="left"/>
        <w:rPr>
          <w:rFonts w:ascii="黑体" w:eastAsia="黑体"/>
          <w:b w:val="0"/>
          <w:sz w:val="28"/>
        </w:rPr>
      </w:pPr>
      <w:bookmarkStart w:id="53" w:name="_Toc437466586"/>
      <w:bookmarkStart w:id="54" w:name="_Toc121109585"/>
      <w:bookmarkStart w:id="55" w:name="_Toc159294474"/>
      <w:r>
        <w:rPr>
          <w:rFonts w:hint="eastAsia" w:ascii="黑体" w:eastAsia="黑体"/>
          <w:b w:val="0"/>
          <w:sz w:val="28"/>
        </w:rPr>
        <w:t>14. 不可抗力</w:t>
      </w:r>
      <w:bookmarkEnd w:id="53"/>
      <w:bookmarkEnd w:id="54"/>
      <w:bookmarkEnd w:id="55"/>
    </w:p>
    <w:p>
      <w:pPr>
        <w:overflowPunct w:val="0"/>
        <w:autoSpaceDE w:val="0"/>
        <w:autoSpaceDN w:val="0"/>
        <w:adjustRightInd w:val="0"/>
        <w:snapToGrid w:val="0"/>
        <w:spacing w:line="480" w:lineRule="exact"/>
        <w:ind w:firstLine="560" w:firstLineChars="200"/>
        <w:jc w:val="left"/>
        <w:textAlignment w:val="baseline"/>
        <w:rPr>
          <w:rFonts w:ascii="仿宋" w:hAnsi="仿宋" w:eastAsia="仿宋"/>
          <w:sz w:val="28"/>
        </w:rPr>
      </w:pPr>
      <w:r>
        <w:rPr>
          <w:rFonts w:hint="eastAsia" w:ascii="仿宋" w:hAnsi="仿宋" w:eastAsia="仿宋"/>
          <w:sz w:val="28"/>
        </w:rPr>
        <w:t>14.1 本合同中不可抗力是指不能预见、不能避免并不能克服的客观情况，包括但不限于自然灾害、战争、武装冲突、社会动乱、暴乱或按照本条的定义构成不可抗力的其他事件。</w:t>
      </w:r>
    </w:p>
    <w:p>
      <w:pPr>
        <w:overflowPunct w:val="0"/>
        <w:autoSpaceDE w:val="0"/>
        <w:autoSpaceDN w:val="0"/>
        <w:adjustRightInd w:val="0"/>
        <w:snapToGrid w:val="0"/>
        <w:spacing w:line="480" w:lineRule="exact"/>
        <w:ind w:firstLine="560" w:firstLineChars="200"/>
        <w:textAlignment w:val="baseline"/>
        <w:rPr>
          <w:rFonts w:ascii="仿宋" w:hAnsi="仿宋" w:eastAsia="仿宋"/>
          <w:sz w:val="28"/>
        </w:rPr>
      </w:pPr>
      <w:r>
        <w:rPr>
          <w:rFonts w:hint="eastAsia" w:ascii="仿宋" w:hAnsi="仿宋" w:eastAsia="仿宋"/>
          <w:sz w:val="28"/>
        </w:rPr>
        <w:t>14.2 任何一方由于不可抗力而影响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pPr>
        <w:overflowPunct w:val="0"/>
        <w:autoSpaceDE w:val="0"/>
        <w:autoSpaceDN w:val="0"/>
        <w:adjustRightInd w:val="0"/>
        <w:snapToGrid w:val="0"/>
        <w:spacing w:line="480" w:lineRule="exact"/>
        <w:ind w:firstLine="560" w:firstLineChars="200"/>
        <w:textAlignment w:val="baseline"/>
        <w:rPr>
          <w:rFonts w:ascii="仿宋" w:hAnsi="仿宋" w:eastAsia="仿宋"/>
          <w:sz w:val="28"/>
        </w:rPr>
      </w:pPr>
      <w:r>
        <w:rPr>
          <w:rFonts w:hint="eastAsia" w:ascii="仿宋" w:hAnsi="仿宋" w:eastAsia="仿宋"/>
          <w:sz w:val="28"/>
        </w:rPr>
        <w:t>14.3 受到不可抗力影响的一方应在不可抗力事件发生后2周内，取得有关部门关于发生不可抗力事件的证明文件，并以传真等书面形式提交另一方确认。否则，无权以不可抗力为由要求减轻或免除合同责任。</w:t>
      </w:r>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14.4 如果不可抗力事件的影响已达120天或双方预计不可抗力事件的影响将延续120天以上时，任何一方有权终止本合同。由于合同终止所引起的后续问题由双方友好协商解决。</w:t>
      </w:r>
    </w:p>
    <w:p>
      <w:pPr>
        <w:pStyle w:val="3"/>
        <w:spacing w:line="480" w:lineRule="exact"/>
        <w:ind w:firstLine="560"/>
        <w:rPr>
          <w:rFonts w:ascii="仿宋" w:hAnsi="仿宋" w:eastAsia="仿宋"/>
          <w:sz w:val="28"/>
        </w:rPr>
      </w:pPr>
      <w:bookmarkStart w:id="56" w:name="_Toc238534072"/>
      <w:bookmarkStart w:id="57" w:name="_Toc146772607"/>
      <w:bookmarkStart w:id="58" w:name="_Toc146771531"/>
      <w:bookmarkStart w:id="59" w:name="_Toc437466587"/>
      <w:bookmarkStart w:id="60" w:name="_Toc150948446"/>
      <w:r>
        <w:rPr>
          <w:rFonts w:hint="eastAsia" w:ascii="黑体" w:eastAsia="黑体"/>
          <w:b w:val="0"/>
          <w:sz w:val="28"/>
        </w:rPr>
        <w:t xml:space="preserve">15. </w:t>
      </w:r>
      <w:r>
        <w:rPr>
          <w:rFonts w:ascii="黑体" w:eastAsia="黑体"/>
          <w:b w:val="0"/>
          <w:sz w:val="28"/>
        </w:rPr>
        <w:t>适用法律</w:t>
      </w:r>
      <w:bookmarkEnd w:id="56"/>
      <w:bookmarkEnd w:id="57"/>
      <w:bookmarkEnd w:id="58"/>
      <w:bookmarkEnd w:id="59"/>
      <w:bookmarkEnd w:id="60"/>
    </w:p>
    <w:p>
      <w:pPr>
        <w:snapToGrid w:val="0"/>
        <w:spacing w:line="480" w:lineRule="exact"/>
        <w:ind w:firstLine="560" w:firstLineChars="200"/>
        <w:jc w:val="left"/>
        <w:rPr>
          <w:rFonts w:ascii="仿宋" w:hAnsi="仿宋" w:eastAsia="仿宋"/>
          <w:sz w:val="28"/>
        </w:rPr>
      </w:pPr>
      <w:r>
        <w:rPr>
          <w:rFonts w:hint="eastAsia" w:ascii="仿宋" w:hAnsi="仿宋" w:eastAsia="仿宋"/>
          <w:sz w:val="28"/>
        </w:rPr>
        <w:t>本合同的订立、解释、履行及争议解决，均适用中华人民共和国法律。</w:t>
      </w:r>
    </w:p>
    <w:p>
      <w:pPr>
        <w:pStyle w:val="3"/>
        <w:spacing w:line="480" w:lineRule="exact"/>
        <w:ind w:firstLine="560"/>
        <w:rPr>
          <w:rFonts w:ascii="仿宋" w:hAnsi="仿宋" w:eastAsia="仿宋"/>
          <w:sz w:val="28"/>
        </w:rPr>
      </w:pPr>
      <w:bookmarkStart w:id="61" w:name="_Toc246906533"/>
      <w:bookmarkStart w:id="62" w:name="_Toc437466588"/>
      <w:bookmarkStart w:id="63" w:name="_Toc150948442"/>
      <w:bookmarkStart w:id="64" w:name="_Toc146771527"/>
      <w:bookmarkStart w:id="65" w:name="_Toc238534071"/>
      <w:bookmarkStart w:id="66" w:name="_Toc146772603"/>
      <w:r>
        <w:rPr>
          <w:rFonts w:hint="eastAsia" w:ascii="黑体" w:eastAsia="黑体"/>
          <w:b w:val="0"/>
          <w:sz w:val="28"/>
        </w:rPr>
        <w:t>16. 争议解决</w:t>
      </w:r>
      <w:bookmarkEnd w:id="61"/>
      <w:r>
        <w:rPr>
          <w:rStyle w:val="21"/>
          <w:rFonts w:ascii="黑体" w:eastAsia="黑体"/>
          <w:b w:val="0"/>
          <w:sz w:val="28"/>
        </w:rPr>
        <w:footnoteReference w:id="2"/>
      </w:r>
      <w:bookmarkEnd w:id="62"/>
    </w:p>
    <w:p>
      <w:pPr>
        <w:adjustRightInd w:val="0"/>
        <w:snapToGrid w:val="0"/>
        <w:spacing w:line="480" w:lineRule="exact"/>
        <w:ind w:firstLine="560" w:firstLineChars="200"/>
        <w:jc w:val="left"/>
        <w:rPr>
          <w:rFonts w:ascii="仿宋" w:hAnsi="仿宋" w:eastAsia="仿宋"/>
          <w:sz w:val="28"/>
        </w:rPr>
      </w:pPr>
      <w:r>
        <w:rPr>
          <w:rFonts w:hint="eastAsia" w:ascii="仿宋" w:hAnsi="仿宋" w:eastAsia="仿宋"/>
          <w:sz w:val="28"/>
        </w:rPr>
        <w:t>16.1因合同及合同有关事项发生的争议，双方应本着诚实信用原则，通过友好协商解决。经协商仍无法达成一致的，按以下第</w:t>
      </w:r>
      <w:r>
        <w:rPr>
          <w:rFonts w:hint="eastAsia" w:ascii="仿宋" w:hAnsi="仿宋" w:eastAsia="仿宋"/>
          <w:sz w:val="28"/>
          <w:u w:val="single"/>
        </w:rPr>
        <w:t xml:space="preserve"> （</w:t>
      </w:r>
      <w:r>
        <w:rPr>
          <w:rFonts w:ascii="仿宋" w:hAnsi="仿宋" w:eastAsia="仿宋"/>
          <w:sz w:val="28"/>
          <w:u w:val="single"/>
        </w:rPr>
        <w:t>1</w:t>
      </w:r>
      <w:r>
        <w:rPr>
          <w:rFonts w:hint="eastAsia" w:ascii="仿宋" w:hAnsi="仿宋" w:eastAsia="仿宋"/>
          <w:sz w:val="28"/>
          <w:u w:val="single"/>
        </w:rPr>
        <w:t xml:space="preserve">） </w:t>
      </w:r>
      <w:r>
        <w:rPr>
          <w:rFonts w:hint="eastAsia" w:ascii="仿宋" w:hAnsi="仿宋" w:eastAsia="仿宋"/>
          <w:sz w:val="28"/>
        </w:rPr>
        <w:t>种方式处理：</w:t>
      </w:r>
    </w:p>
    <w:p>
      <w:pPr>
        <w:spacing w:line="480" w:lineRule="exact"/>
        <w:ind w:firstLine="420" w:firstLineChars="150"/>
        <w:rPr>
          <w:rFonts w:ascii="仿宋" w:hAnsi="仿宋" w:eastAsia="仿宋"/>
          <w:sz w:val="28"/>
        </w:rPr>
      </w:pPr>
      <w:r>
        <w:rPr>
          <w:rFonts w:hint="eastAsia" w:ascii="仿宋" w:hAnsi="仿宋" w:eastAsia="仿宋"/>
          <w:sz w:val="28"/>
        </w:rPr>
        <w:t>（</w:t>
      </w:r>
      <w:r>
        <w:rPr>
          <w:rFonts w:ascii="仿宋" w:hAnsi="仿宋" w:eastAsia="仿宋"/>
          <w:sz w:val="28"/>
        </w:rPr>
        <w:t>1</w:t>
      </w:r>
      <w:r>
        <w:rPr>
          <w:rFonts w:hint="eastAsia" w:ascii="仿宋" w:hAnsi="仿宋" w:eastAsia="仿宋"/>
          <w:sz w:val="28"/>
        </w:rPr>
        <w:t>）仲裁：提交</w:t>
      </w:r>
      <w:r>
        <w:rPr>
          <w:rFonts w:hint="eastAsia" w:ascii="仿宋" w:hAnsi="仿宋" w:eastAsia="仿宋"/>
          <w:sz w:val="28"/>
          <w:u w:val="single"/>
        </w:rPr>
        <w:t xml:space="preserve"> 北京 </w:t>
      </w:r>
      <w:r>
        <w:rPr>
          <w:rFonts w:hint="eastAsia" w:ascii="仿宋" w:hAnsi="仿宋" w:eastAsia="仿宋"/>
          <w:sz w:val="28"/>
        </w:rPr>
        <w:t>仲裁委员会，按照申请仲裁时该仲裁机构有效的仲裁规则</w:t>
      </w:r>
      <w:r>
        <w:rPr>
          <w:rStyle w:val="21"/>
          <w:rFonts w:ascii="仿宋" w:hAnsi="仿宋" w:eastAsia="仿宋"/>
          <w:sz w:val="28"/>
        </w:rPr>
        <w:footnoteReference w:id="3"/>
      </w:r>
      <w:r>
        <w:rPr>
          <w:rFonts w:hint="eastAsia" w:ascii="仿宋" w:hAnsi="仿宋" w:eastAsia="仿宋"/>
          <w:sz w:val="28"/>
        </w:rPr>
        <w:t>进行仲裁。仲裁裁决是终局的，对双方均有约束力。</w:t>
      </w:r>
    </w:p>
    <w:p>
      <w:pPr>
        <w:spacing w:line="480" w:lineRule="exact"/>
        <w:ind w:firstLine="420" w:firstLineChars="150"/>
        <w:rPr>
          <w:rFonts w:ascii="仿宋" w:hAnsi="仿宋" w:eastAsia="仿宋"/>
          <w:sz w:val="28"/>
        </w:rPr>
      </w:pPr>
      <w:r>
        <w:rPr>
          <w:rFonts w:hint="eastAsia" w:ascii="仿宋" w:hAnsi="仿宋" w:eastAsia="仿宋"/>
          <w:sz w:val="28"/>
        </w:rPr>
        <w:t>（</w:t>
      </w:r>
      <w:r>
        <w:rPr>
          <w:rFonts w:ascii="仿宋" w:hAnsi="仿宋" w:eastAsia="仿宋"/>
          <w:sz w:val="28"/>
        </w:rPr>
        <w:t>2</w:t>
      </w:r>
      <w:r>
        <w:rPr>
          <w:rFonts w:hint="eastAsia" w:ascii="仿宋" w:hAnsi="仿宋" w:eastAsia="仿宋"/>
          <w:sz w:val="28"/>
        </w:rPr>
        <w:t>）诉讼：向</w:t>
      </w:r>
      <w:r>
        <w:rPr>
          <w:rFonts w:hint="eastAsia" w:ascii="仿宋" w:hAnsi="仿宋" w:eastAsia="仿宋"/>
          <w:sz w:val="28"/>
          <w:u w:val="single"/>
        </w:rPr>
        <w:t xml:space="preserve"> /</w:t>
      </w:r>
      <w:r>
        <w:rPr>
          <w:rFonts w:ascii="仿宋" w:hAnsi="仿宋" w:eastAsia="仿宋"/>
          <w:sz w:val="28"/>
          <w:u w:val="single"/>
        </w:rPr>
        <w:t xml:space="preserve"> </w:t>
      </w:r>
      <w:r>
        <w:rPr>
          <w:rFonts w:hint="eastAsia" w:ascii="仿宋" w:hAnsi="仿宋" w:eastAsia="仿宋"/>
          <w:sz w:val="28"/>
        </w:rPr>
        <w:t>所在地人民法院提起诉讼。</w:t>
      </w:r>
    </w:p>
    <w:p>
      <w:pPr>
        <w:pStyle w:val="32"/>
        <w:spacing w:line="480" w:lineRule="exact"/>
        <w:ind w:firstLine="560"/>
        <w:rPr>
          <w:rFonts w:ascii="仿宋" w:hAnsi="仿宋" w:eastAsia="仿宋"/>
          <w:sz w:val="28"/>
        </w:rPr>
      </w:pPr>
      <w:r>
        <w:rPr>
          <w:rFonts w:hint="eastAsia" w:ascii="仿宋" w:hAnsi="仿宋" w:eastAsia="仿宋"/>
          <w:sz w:val="28"/>
        </w:rPr>
        <w:t>16.2 在争议解决期间，合同中未涉及争议部分的条款仍须履行。</w:t>
      </w:r>
    </w:p>
    <w:bookmarkEnd w:id="63"/>
    <w:bookmarkEnd w:id="64"/>
    <w:bookmarkEnd w:id="65"/>
    <w:bookmarkEnd w:id="66"/>
    <w:p>
      <w:pPr>
        <w:pStyle w:val="3"/>
        <w:adjustRightInd w:val="0"/>
        <w:spacing w:line="480" w:lineRule="exact"/>
        <w:ind w:firstLine="560" w:firstLineChars="0"/>
        <w:jc w:val="left"/>
        <w:rPr>
          <w:rFonts w:ascii="黑体" w:eastAsia="黑体"/>
          <w:b w:val="0"/>
          <w:sz w:val="28"/>
        </w:rPr>
      </w:pPr>
      <w:bookmarkStart w:id="67" w:name="_Toc437466589"/>
      <w:bookmarkStart w:id="68" w:name="_Toc146771535"/>
      <w:bookmarkStart w:id="69" w:name="_Toc150948450"/>
      <w:bookmarkStart w:id="70" w:name="_Toc146772611"/>
      <w:bookmarkStart w:id="71" w:name="_Toc238534073"/>
      <w:r>
        <w:rPr>
          <w:rFonts w:hint="eastAsia" w:ascii="黑体" w:eastAsia="黑体"/>
          <w:b w:val="0"/>
          <w:sz w:val="28"/>
        </w:rPr>
        <w:t xml:space="preserve">17. </w:t>
      </w:r>
      <w:r>
        <w:rPr>
          <w:rFonts w:ascii="黑体" w:eastAsia="黑体"/>
          <w:b w:val="0"/>
          <w:sz w:val="28"/>
        </w:rPr>
        <w:t>合同生效</w:t>
      </w:r>
      <w:bookmarkEnd w:id="67"/>
      <w:bookmarkEnd w:id="68"/>
      <w:bookmarkEnd w:id="69"/>
      <w:bookmarkEnd w:id="70"/>
      <w:bookmarkEnd w:id="71"/>
    </w:p>
    <w:p>
      <w:pPr>
        <w:spacing w:line="480" w:lineRule="exact"/>
        <w:ind w:firstLine="560" w:firstLineChars="200"/>
        <w:rPr>
          <w:rFonts w:ascii="仿宋" w:hAnsi="仿宋" w:eastAsia="仿宋"/>
          <w:sz w:val="28"/>
        </w:rPr>
      </w:pPr>
      <w:r>
        <w:rPr>
          <w:rFonts w:hint="eastAsia" w:ascii="仿宋" w:hAnsi="仿宋" w:eastAsia="仿宋"/>
          <w:sz w:val="28"/>
        </w:rPr>
        <w:t>本合同经双方法定代表人（负责人）或其授权代表签署并加盖双方公章或合同专用章之日起生效。合同签订日期以最后一方签署并加盖公章或合同专用章的日期为准。</w:t>
      </w:r>
      <w:bookmarkStart w:id="72" w:name="_Toc238534074"/>
    </w:p>
    <w:p>
      <w:pPr>
        <w:pStyle w:val="3"/>
        <w:adjustRightInd w:val="0"/>
        <w:spacing w:line="480" w:lineRule="exact"/>
        <w:ind w:firstLine="560" w:firstLineChars="0"/>
        <w:jc w:val="left"/>
        <w:rPr>
          <w:rFonts w:ascii="黑体" w:eastAsia="黑体"/>
          <w:b w:val="0"/>
          <w:sz w:val="28"/>
        </w:rPr>
      </w:pPr>
      <w:bookmarkStart w:id="73" w:name="_Toc437466590"/>
      <w:r>
        <w:rPr>
          <w:rFonts w:hint="eastAsia" w:ascii="黑体" w:eastAsia="黑体"/>
          <w:b w:val="0"/>
          <w:sz w:val="28"/>
        </w:rPr>
        <w:t>18. 份数</w:t>
      </w:r>
      <w:bookmarkEnd w:id="72"/>
      <w:bookmarkEnd w:id="73"/>
    </w:p>
    <w:p>
      <w:pPr>
        <w:spacing w:line="480" w:lineRule="exact"/>
        <w:ind w:firstLine="641"/>
        <w:rPr>
          <w:rFonts w:ascii="仿宋" w:hAnsi="仿宋" w:eastAsia="仿宋"/>
          <w:sz w:val="28"/>
        </w:rPr>
      </w:pPr>
      <w:r>
        <w:rPr>
          <w:rFonts w:hint="eastAsia" w:ascii="仿宋" w:hAnsi="仿宋" w:eastAsia="仿宋"/>
          <w:sz w:val="28"/>
        </w:rPr>
        <w:t>本合同一式</w:t>
      </w:r>
      <w:r>
        <w:rPr>
          <w:rFonts w:hint="eastAsia" w:ascii="仿宋" w:hAnsi="仿宋" w:eastAsia="仿宋"/>
          <w:sz w:val="28"/>
          <w:u w:val="single"/>
        </w:rPr>
        <w:t xml:space="preserve"> 肆 </w:t>
      </w:r>
      <w:r>
        <w:rPr>
          <w:rFonts w:hint="eastAsia" w:ascii="仿宋" w:hAnsi="仿宋" w:eastAsia="仿宋"/>
          <w:sz w:val="28"/>
        </w:rPr>
        <w:t>份，甲方执</w:t>
      </w:r>
      <w:r>
        <w:rPr>
          <w:rFonts w:hint="eastAsia" w:ascii="仿宋" w:hAnsi="仿宋" w:eastAsia="仿宋"/>
          <w:sz w:val="28"/>
          <w:u w:val="single"/>
        </w:rPr>
        <w:t xml:space="preserve"> 贰 </w:t>
      </w:r>
      <w:r>
        <w:rPr>
          <w:rFonts w:hint="eastAsia" w:ascii="仿宋" w:hAnsi="仿宋" w:eastAsia="仿宋"/>
          <w:sz w:val="28"/>
        </w:rPr>
        <w:t>份，乙方执</w:t>
      </w:r>
      <w:r>
        <w:rPr>
          <w:rFonts w:hint="eastAsia" w:ascii="仿宋" w:hAnsi="仿宋" w:eastAsia="仿宋"/>
          <w:sz w:val="28"/>
          <w:u w:val="single"/>
        </w:rPr>
        <w:t xml:space="preserve"> 贰 </w:t>
      </w:r>
      <w:r>
        <w:rPr>
          <w:rFonts w:hint="eastAsia" w:ascii="仿宋" w:hAnsi="仿宋" w:eastAsia="仿宋"/>
          <w:sz w:val="28"/>
        </w:rPr>
        <w:t>份，具有同等效力。</w:t>
      </w:r>
    </w:p>
    <w:p>
      <w:pPr>
        <w:pStyle w:val="3"/>
        <w:spacing w:line="480" w:lineRule="exact"/>
        <w:ind w:firstLine="560"/>
        <w:rPr>
          <w:rFonts w:ascii="仿宋" w:hAnsi="仿宋" w:eastAsia="仿宋"/>
          <w:sz w:val="28"/>
        </w:rPr>
      </w:pPr>
      <w:bookmarkStart w:id="74" w:name="_Toc150930908"/>
      <w:bookmarkEnd w:id="74"/>
      <w:bookmarkStart w:id="75" w:name="_Toc150930883"/>
      <w:bookmarkEnd w:id="75"/>
      <w:bookmarkStart w:id="76" w:name="_Toc239498608"/>
      <w:bookmarkStart w:id="77" w:name="_Toc246906537"/>
      <w:bookmarkStart w:id="78" w:name="_Toc239494036"/>
      <w:bookmarkStart w:id="79" w:name="_Toc437466591"/>
      <w:bookmarkStart w:id="80" w:name="_Toc238534075"/>
      <w:r>
        <w:rPr>
          <w:rFonts w:hint="eastAsia" w:ascii="黑体" w:eastAsia="黑体"/>
          <w:b w:val="0"/>
          <w:sz w:val="28"/>
        </w:rPr>
        <w:t>19. 特别约定</w:t>
      </w:r>
      <w:bookmarkEnd w:id="76"/>
      <w:bookmarkEnd w:id="77"/>
      <w:bookmarkEnd w:id="78"/>
      <w:r>
        <w:rPr>
          <w:rStyle w:val="21"/>
          <w:rFonts w:ascii="黑体" w:eastAsia="黑体"/>
          <w:b w:val="0"/>
          <w:sz w:val="28"/>
        </w:rPr>
        <w:footnoteReference w:id="4"/>
      </w:r>
      <w:bookmarkEnd w:id="79"/>
    </w:p>
    <w:p>
      <w:pPr>
        <w:spacing w:line="480" w:lineRule="exact"/>
        <w:ind w:firstLine="560"/>
        <w:rPr>
          <w:rFonts w:ascii="仿宋" w:hAnsi="仿宋" w:eastAsia="仿宋"/>
          <w:sz w:val="28"/>
        </w:rPr>
      </w:pPr>
      <w:r>
        <w:rPr>
          <w:rFonts w:hint="eastAsia" w:ascii="仿宋" w:hAnsi="仿宋" w:eastAsia="仿宋"/>
          <w:sz w:val="28"/>
        </w:rPr>
        <w:t>本特别约定是合同各方经协商后对合同其他条款的修改或补充，如有不一致，以特别约定为准。</w:t>
      </w:r>
      <w:bookmarkEnd w:id="80"/>
    </w:p>
    <w:p>
      <w:pPr>
        <w:spacing w:line="480" w:lineRule="exact"/>
        <w:ind w:firstLine="560" w:firstLineChars="200"/>
        <w:jc w:val="left"/>
        <w:rPr>
          <w:rFonts w:ascii="仿宋" w:hAnsi="仿宋" w:eastAsia="仿宋"/>
          <w:sz w:val="28"/>
          <w:u w:val="single"/>
        </w:rPr>
      </w:pPr>
      <w:r>
        <w:rPr>
          <w:rFonts w:hint="eastAsia" w:ascii="仿宋" w:hAnsi="仿宋" w:eastAsia="仿宋"/>
          <w:sz w:val="28"/>
          <w:u w:val="single"/>
        </w:rPr>
        <w:t>本</w:t>
      </w:r>
      <w:r>
        <w:rPr>
          <w:rFonts w:ascii="仿宋" w:hAnsi="仿宋" w:eastAsia="仿宋"/>
          <w:sz w:val="28"/>
          <w:u w:val="single"/>
        </w:rPr>
        <w:t>合同</w:t>
      </w:r>
      <w:r>
        <w:rPr>
          <w:rFonts w:hint="eastAsia" w:ascii="仿宋" w:hAnsi="仿宋" w:eastAsia="仿宋"/>
          <w:sz w:val="28"/>
          <w:u w:val="single"/>
        </w:rPr>
        <w:t>第1</w:t>
      </w:r>
      <w:r>
        <w:rPr>
          <w:rFonts w:ascii="仿宋" w:hAnsi="仿宋" w:eastAsia="仿宋"/>
          <w:sz w:val="28"/>
          <w:u w:val="single"/>
        </w:rPr>
        <w:t>2</w:t>
      </w:r>
      <w:r>
        <w:rPr>
          <w:rFonts w:hint="eastAsia" w:ascii="仿宋" w:hAnsi="仿宋" w:eastAsia="仿宋"/>
          <w:sz w:val="28"/>
          <w:u w:val="single"/>
        </w:rPr>
        <w:t>条履约保证金条款、</w:t>
      </w:r>
      <w:r>
        <w:rPr>
          <w:rFonts w:ascii="仿宋" w:hAnsi="仿宋" w:eastAsia="仿宋"/>
          <w:sz w:val="28"/>
          <w:u w:val="single"/>
        </w:rPr>
        <w:t>附件</w:t>
      </w:r>
      <w:r>
        <w:rPr>
          <w:rFonts w:hint="eastAsia" w:ascii="仿宋" w:hAnsi="仿宋" w:eastAsia="仿宋"/>
          <w:sz w:val="28"/>
          <w:u w:val="single"/>
        </w:rPr>
        <w:t>4不适用；</w:t>
      </w:r>
    </w:p>
    <w:p>
      <w:pPr>
        <w:spacing w:line="480" w:lineRule="exact"/>
        <w:ind w:firstLine="560" w:firstLineChars="200"/>
        <w:rPr>
          <w:rFonts w:ascii="仿宋" w:hAnsi="仿宋" w:eastAsia="仿宋"/>
          <w:sz w:val="28"/>
        </w:rPr>
      </w:pPr>
      <w:r>
        <w:rPr>
          <w:rFonts w:hint="eastAsia" w:ascii="仿宋" w:hAnsi="仿宋" w:eastAsia="仿宋"/>
          <w:sz w:val="28"/>
        </w:rPr>
        <w:t>（以下无正文）</w:t>
      </w:r>
    </w:p>
    <w:p>
      <w:pPr>
        <w:snapToGrid w:val="0"/>
        <w:jc w:val="center"/>
        <w:rPr>
          <w:rFonts w:ascii="仿宋" w:hAnsi="仿宋" w:eastAsia="仿宋"/>
          <w:b/>
          <w:sz w:val="28"/>
        </w:rPr>
      </w:pPr>
      <w:r>
        <w:rPr>
          <w:rFonts w:ascii="仿宋" w:hAnsi="仿宋" w:eastAsia="仿宋"/>
          <w:sz w:val="28"/>
        </w:rPr>
        <w:br w:type="page"/>
      </w:r>
      <w:r>
        <w:rPr>
          <w:rFonts w:hint="eastAsia" w:ascii="华文中宋" w:hAnsi="华文中宋" w:eastAsia="华文中宋"/>
          <w:b/>
          <w:w w:val="101"/>
          <w:kern w:val="0"/>
          <w:sz w:val="32"/>
        </w:rPr>
        <w:t>签 署 页</w:t>
      </w:r>
    </w:p>
    <w:p>
      <w:pPr>
        <w:spacing w:line="480" w:lineRule="exact"/>
        <w:jc w:val="center"/>
        <w:rPr>
          <w:rFonts w:ascii="仿宋" w:hAnsi="仿宋" w:eastAsia="仿宋"/>
          <w:b/>
          <w:sz w:val="28"/>
        </w:rPr>
      </w:pPr>
    </w:p>
    <w:tbl>
      <w:tblPr>
        <w:tblStyle w:val="22"/>
        <w:tblW w:w="8473" w:type="dxa"/>
        <w:jc w:val="center"/>
        <w:tblInd w:w="0" w:type="dxa"/>
        <w:tblLayout w:type="fixed"/>
        <w:tblCellMar>
          <w:top w:w="0" w:type="dxa"/>
          <w:left w:w="108" w:type="dxa"/>
          <w:bottom w:w="0" w:type="dxa"/>
          <w:right w:w="108" w:type="dxa"/>
        </w:tblCellMar>
      </w:tblPr>
      <w:tblGrid>
        <w:gridCol w:w="4346"/>
        <w:gridCol w:w="4127"/>
      </w:tblGrid>
      <w:tr>
        <w:tblPrEx>
          <w:tblLayout w:type="fixed"/>
          <w:tblCellMar>
            <w:top w:w="0" w:type="dxa"/>
            <w:left w:w="108" w:type="dxa"/>
            <w:bottom w:w="0" w:type="dxa"/>
            <w:right w:w="108" w:type="dxa"/>
          </w:tblCellMar>
        </w:tblPrEx>
        <w:trPr>
          <w:cantSplit/>
          <w:jc w:val="center"/>
        </w:trPr>
        <w:tc>
          <w:tcPr>
            <w:tcW w:w="4346" w:type="dxa"/>
            <w:vAlign w:val="center"/>
          </w:tcPr>
          <w:p>
            <w:pPr>
              <w:snapToGrid w:val="0"/>
              <w:spacing w:line="480" w:lineRule="exact"/>
              <w:jc w:val="left"/>
              <w:rPr>
                <w:rFonts w:ascii="仿宋" w:hAnsi="仿宋" w:eastAsia="仿宋"/>
                <w:sz w:val="28"/>
              </w:rPr>
            </w:pPr>
            <w:r>
              <w:rPr>
                <w:rFonts w:hint="eastAsia" w:ascii="仿宋" w:hAnsi="仿宋" w:eastAsia="仿宋"/>
                <w:sz w:val="28"/>
              </w:rPr>
              <w:t>甲方：国网汇通金</w:t>
            </w:r>
            <w:r>
              <w:rPr>
                <w:rFonts w:ascii="仿宋" w:hAnsi="仿宋" w:eastAsia="仿宋"/>
                <w:sz w:val="28"/>
              </w:rPr>
              <w:t>财</w:t>
            </w:r>
            <w:r>
              <w:rPr>
                <w:rFonts w:hint="eastAsia" w:ascii="仿宋" w:hAnsi="仿宋" w:eastAsia="仿宋"/>
                <w:sz w:val="28"/>
              </w:rPr>
              <w:t>（北京）信息</w:t>
            </w:r>
            <w:r>
              <w:rPr>
                <w:rFonts w:ascii="仿宋" w:hAnsi="仿宋" w:eastAsia="仿宋"/>
                <w:sz w:val="28"/>
              </w:rPr>
              <w:t>科技有限公司</w:t>
            </w:r>
          </w:p>
          <w:p>
            <w:pPr>
              <w:snapToGrid w:val="0"/>
              <w:spacing w:line="480" w:lineRule="exact"/>
              <w:jc w:val="left"/>
              <w:rPr>
                <w:rFonts w:ascii="仿宋" w:hAnsi="仿宋" w:eastAsia="仿宋"/>
                <w:sz w:val="28"/>
              </w:rPr>
            </w:pPr>
            <w:r>
              <w:rPr>
                <w:rFonts w:hint="eastAsia" w:ascii="仿宋" w:hAnsi="仿宋" w:eastAsia="仿宋"/>
                <w:sz w:val="28"/>
              </w:rPr>
              <w:t xml:space="preserve">（盖章）     </w:t>
            </w:r>
          </w:p>
          <w:p>
            <w:pPr>
              <w:pStyle w:val="2"/>
              <w:rPr>
                <w:rFonts w:ascii="Times New Roman" w:hAnsi="Times New Roman" w:eastAsia="宋体"/>
              </w:rPr>
            </w:pPr>
          </w:p>
        </w:tc>
        <w:tc>
          <w:tcPr>
            <w:tcW w:w="4127" w:type="dxa"/>
            <w:vAlign w:val="center"/>
          </w:tcPr>
          <w:p>
            <w:pPr>
              <w:snapToGrid w:val="0"/>
              <w:spacing w:line="480" w:lineRule="exact"/>
              <w:jc w:val="left"/>
              <w:rPr>
                <w:rFonts w:ascii="仿宋" w:hAnsi="仿宋" w:eastAsia="仿宋"/>
                <w:sz w:val="28"/>
              </w:rPr>
            </w:pPr>
            <w:r>
              <w:rPr>
                <w:rFonts w:hint="eastAsia" w:ascii="仿宋" w:hAnsi="仿宋" w:eastAsia="仿宋"/>
                <w:sz w:val="28"/>
              </w:rPr>
              <w:t xml:space="preserve">乙方：北京创联致信科技有限公司   </w:t>
            </w:r>
          </w:p>
          <w:p>
            <w:pPr>
              <w:snapToGrid w:val="0"/>
              <w:spacing w:line="480" w:lineRule="exact"/>
              <w:jc w:val="left"/>
              <w:rPr>
                <w:rFonts w:ascii="仿宋" w:hAnsi="仿宋" w:eastAsia="仿宋"/>
                <w:sz w:val="28"/>
              </w:rPr>
            </w:pPr>
            <w:r>
              <w:rPr>
                <w:rFonts w:hint="eastAsia" w:ascii="仿宋" w:hAnsi="仿宋" w:eastAsia="仿宋"/>
                <w:sz w:val="28"/>
              </w:rPr>
              <w:t>（盖章）</w:t>
            </w:r>
          </w:p>
          <w:p>
            <w:pPr>
              <w:snapToGrid w:val="0"/>
              <w:spacing w:line="480" w:lineRule="exact"/>
              <w:jc w:val="left"/>
              <w:rPr>
                <w:rFonts w:ascii="仿宋" w:hAnsi="仿宋" w:eastAsia="仿宋"/>
                <w:sz w:val="28"/>
              </w:rPr>
            </w:pPr>
          </w:p>
        </w:tc>
      </w:tr>
      <w:tr>
        <w:tblPrEx>
          <w:tblLayout w:type="fixed"/>
          <w:tblCellMar>
            <w:top w:w="0" w:type="dxa"/>
            <w:left w:w="108" w:type="dxa"/>
            <w:bottom w:w="0" w:type="dxa"/>
            <w:right w:w="108" w:type="dxa"/>
          </w:tblCellMar>
        </w:tblPrEx>
        <w:trPr>
          <w:cantSplit/>
          <w:jc w:val="center"/>
        </w:trPr>
        <w:tc>
          <w:tcPr>
            <w:tcW w:w="4346" w:type="dxa"/>
            <w:vAlign w:val="center"/>
          </w:tcPr>
          <w:p>
            <w:pPr>
              <w:snapToGrid w:val="0"/>
              <w:spacing w:line="480" w:lineRule="exact"/>
              <w:jc w:val="left"/>
              <w:rPr>
                <w:rFonts w:ascii="仿宋" w:hAnsi="仿宋" w:eastAsia="仿宋"/>
                <w:sz w:val="28"/>
              </w:rPr>
            </w:pPr>
            <w:r>
              <w:rPr>
                <w:rFonts w:hint="eastAsia" w:ascii="仿宋" w:hAnsi="仿宋" w:eastAsia="仿宋"/>
                <w:sz w:val="28"/>
              </w:rPr>
              <w:t>法定代表人（负责人）或</w:t>
            </w:r>
          </w:p>
          <w:p>
            <w:pPr>
              <w:snapToGrid w:val="0"/>
              <w:spacing w:line="480" w:lineRule="exact"/>
              <w:jc w:val="left"/>
              <w:rPr>
                <w:rFonts w:ascii="仿宋" w:hAnsi="仿宋" w:eastAsia="仿宋"/>
                <w:sz w:val="28"/>
              </w:rPr>
            </w:pPr>
            <w:r>
              <w:rPr>
                <w:rFonts w:hint="eastAsia" w:ascii="仿宋" w:hAnsi="仿宋" w:eastAsia="仿宋"/>
                <w:sz w:val="28"/>
              </w:rPr>
              <w:t>授权代表（签字）：</w:t>
            </w:r>
          </w:p>
        </w:tc>
        <w:tc>
          <w:tcPr>
            <w:tcW w:w="4127" w:type="dxa"/>
            <w:vAlign w:val="center"/>
          </w:tcPr>
          <w:p>
            <w:pPr>
              <w:snapToGrid w:val="0"/>
              <w:spacing w:line="480" w:lineRule="exact"/>
              <w:jc w:val="left"/>
              <w:rPr>
                <w:rFonts w:ascii="仿宋" w:hAnsi="仿宋" w:eastAsia="仿宋"/>
                <w:sz w:val="28"/>
              </w:rPr>
            </w:pPr>
            <w:r>
              <w:rPr>
                <w:rFonts w:hint="eastAsia" w:ascii="仿宋" w:hAnsi="仿宋" w:eastAsia="仿宋"/>
                <w:sz w:val="28"/>
              </w:rPr>
              <w:t>法定代表人（负责人）或</w:t>
            </w:r>
          </w:p>
          <w:p>
            <w:pPr>
              <w:snapToGrid w:val="0"/>
              <w:spacing w:line="480" w:lineRule="exact"/>
              <w:jc w:val="left"/>
              <w:rPr>
                <w:rFonts w:ascii="仿宋" w:hAnsi="仿宋" w:eastAsia="仿宋"/>
                <w:sz w:val="28"/>
              </w:rPr>
            </w:pPr>
            <w:r>
              <w:rPr>
                <w:rFonts w:hint="eastAsia" w:ascii="仿宋" w:hAnsi="仿宋" w:eastAsia="仿宋"/>
                <w:sz w:val="28"/>
              </w:rPr>
              <w:t>授权代表（签字）：</w:t>
            </w:r>
          </w:p>
        </w:tc>
      </w:tr>
      <w:tr>
        <w:tblPrEx>
          <w:tblLayout w:type="fixed"/>
          <w:tblCellMar>
            <w:top w:w="0" w:type="dxa"/>
            <w:left w:w="108" w:type="dxa"/>
            <w:bottom w:w="0" w:type="dxa"/>
            <w:right w:w="108" w:type="dxa"/>
          </w:tblCellMar>
        </w:tblPrEx>
        <w:trPr>
          <w:cantSplit/>
          <w:jc w:val="center"/>
        </w:trPr>
        <w:tc>
          <w:tcPr>
            <w:tcW w:w="4346" w:type="dxa"/>
            <w:vAlign w:val="center"/>
          </w:tcPr>
          <w:p>
            <w:pPr>
              <w:snapToGrid w:val="0"/>
              <w:spacing w:line="480" w:lineRule="exact"/>
              <w:jc w:val="left"/>
              <w:rPr>
                <w:rFonts w:ascii="仿宋" w:hAnsi="仿宋" w:eastAsia="仿宋"/>
                <w:sz w:val="28"/>
              </w:rPr>
            </w:pPr>
            <w:r>
              <w:rPr>
                <w:rFonts w:hint="eastAsia" w:ascii="仿宋" w:hAnsi="仿宋" w:eastAsia="仿宋"/>
                <w:sz w:val="28"/>
              </w:rPr>
              <w:t>签订日期：</w:t>
            </w:r>
          </w:p>
        </w:tc>
        <w:tc>
          <w:tcPr>
            <w:tcW w:w="4127" w:type="dxa"/>
            <w:vAlign w:val="center"/>
          </w:tcPr>
          <w:p>
            <w:pPr>
              <w:snapToGrid w:val="0"/>
              <w:spacing w:line="480" w:lineRule="exact"/>
              <w:jc w:val="left"/>
              <w:rPr>
                <w:rFonts w:ascii="仿宋" w:hAnsi="仿宋" w:eastAsia="仿宋"/>
                <w:sz w:val="28"/>
              </w:rPr>
            </w:pPr>
            <w:r>
              <w:rPr>
                <w:rFonts w:hint="eastAsia" w:ascii="仿宋" w:hAnsi="仿宋" w:eastAsia="仿宋"/>
                <w:sz w:val="28"/>
              </w:rPr>
              <w:t>签订日期：</w:t>
            </w:r>
          </w:p>
        </w:tc>
      </w:tr>
      <w:tr>
        <w:tblPrEx>
          <w:tblLayout w:type="fixed"/>
          <w:tblCellMar>
            <w:top w:w="0" w:type="dxa"/>
            <w:left w:w="108" w:type="dxa"/>
            <w:bottom w:w="0" w:type="dxa"/>
            <w:right w:w="108" w:type="dxa"/>
          </w:tblCellMar>
        </w:tblPrEx>
        <w:trPr>
          <w:cantSplit/>
          <w:jc w:val="center"/>
        </w:trPr>
        <w:tc>
          <w:tcPr>
            <w:tcW w:w="4346" w:type="dxa"/>
            <w:vAlign w:val="center"/>
          </w:tcPr>
          <w:p>
            <w:pPr>
              <w:snapToGrid w:val="0"/>
              <w:spacing w:line="480" w:lineRule="exact"/>
              <w:jc w:val="left"/>
              <w:rPr>
                <w:rFonts w:ascii="仿宋" w:hAnsi="仿宋" w:eastAsia="仿宋"/>
                <w:sz w:val="28"/>
              </w:rPr>
            </w:pPr>
            <w:r>
              <w:rPr>
                <w:rFonts w:hint="eastAsia" w:ascii="仿宋" w:hAnsi="仿宋" w:eastAsia="仿宋"/>
                <w:sz w:val="28"/>
              </w:rPr>
              <w:t>地址：北京市</w:t>
            </w:r>
            <w:r>
              <w:rPr>
                <w:rFonts w:ascii="仿宋" w:hAnsi="仿宋" w:eastAsia="仿宋"/>
                <w:sz w:val="28"/>
              </w:rPr>
              <w:t>西城区广安门内</w:t>
            </w:r>
            <w:r>
              <w:rPr>
                <w:rFonts w:hint="eastAsia" w:ascii="仿宋" w:hAnsi="仿宋" w:eastAsia="仿宋"/>
                <w:sz w:val="28"/>
              </w:rPr>
              <w:t>大街311号</w:t>
            </w:r>
            <w:r>
              <w:rPr>
                <w:rFonts w:ascii="仿宋" w:hAnsi="仿宋" w:eastAsia="仿宋"/>
                <w:sz w:val="28"/>
              </w:rPr>
              <w:t>祥龙商务大厦</w:t>
            </w:r>
            <w:r>
              <w:rPr>
                <w:rFonts w:hint="eastAsia" w:ascii="仿宋" w:hAnsi="仿宋" w:eastAsia="仿宋"/>
                <w:sz w:val="28"/>
              </w:rPr>
              <w:t>5层</w:t>
            </w:r>
          </w:p>
        </w:tc>
        <w:tc>
          <w:tcPr>
            <w:tcW w:w="4127" w:type="dxa"/>
            <w:vAlign w:val="center"/>
          </w:tcPr>
          <w:p>
            <w:pPr>
              <w:snapToGrid w:val="0"/>
              <w:spacing w:line="480" w:lineRule="exact"/>
              <w:jc w:val="left"/>
              <w:rPr>
                <w:rFonts w:ascii="仿宋" w:hAnsi="仿宋" w:eastAsia="仿宋"/>
                <w:sz w:val="28"/>
              </w:rPr>
            </w:pPr>
            <w:r>
              <w:rPr>
                <w:rFonts w:hint="eastAsia" w:ascii="仿宋" w:hAnsi="仿宋" w:eastAsia="仿宋"/>
                <w:sz w:val="28"/>
              </w:rPr>
              <w:t>地址：北京市海淀区苏州街</w:t>
            </w:r>
            <w:r>
              <w:rPr>
                <w:rFonts w:ascii="仿宋" w:hAnsi="仿宋" w:eastAsia="仿宋"/>
                <w:sz w:val="28"/>
              </w:rPr>
              <w:t>3号509-36</w:t>
            </w:r>
            <w:r>
              <w:rPr>
                <w:rFonts w:hint="eastAsia" w:ascii="仿宋" w:hAnsi="仿宋" w:eastAsia="仿宋"/>
                <w:sz w:val="28"/>
              </w:rPr>
              <w:t xml:space="preserve"> </w:t>
            </w:r>
          </w:p>
        </w:tc>
      </w:tr>
      <w:tr>
        <w:tblPrEx>
          <w:tblLayout w:type="fixed"/>
          <w:tblCellMar>
            <w:top w:w="0" w:type="dxa"/>
            <w:left w:w="108" w:type="dxa"/>
            <w:bottom w:w="0" w:type="dxa"/>
            <w:right w:w="108" w:type="dxa"/>
          </w:tblCellMar>
        </w:tblPrEx>
        <w:trPr>
          <w:cantSplit/>
          <w:jc w:val="center"/>
        </w:trPr>
        <w:tc>
          <w:tcPr>
            <w:tcW w:w="4346" w:type="dxa"/>
            <w:vAlign w:val="center"/>
          </w:tcPr>
          <w:p>
            <w:pPr>
              <w:snapToGrid w:val="0"/>
              <w:spacing w:line="480" w:lineRule="exact"/>
              <w:jc w:val="left"/>
              <w:rPr>
                <w:rFonts w:ascii="仿宋" w:hAnsi="仿宋" w:eastAsia="仿宋"/>
                <w:sz w:val="28"/>
              </w:rPr>
            </w:pPr>
            <w:r>
              <w:rPr>
                <w:rFonts w:hint="eastAsia" w:ascii="仿宋" w:hAnsi="仿宋" w:eastAsia="仿宋"/>
                <w:sz w:val="28"/>
              </w:rPr>
              <w:t>联系人：杜璐</w:t>
            </w:r>
          </w:p>
        </w:tc>
        <w:tc>
          <w:tcPr>
            <w:tcW w:w="4127" w:type="dxa"/>
            <w:vAlign w:val="center"/>
          </w:tcPr>
          <w:p>
            <w:pPr>
              <w:snapToGrid w:val="0"/>
              <w:spacing w:line="480" w:lineRule="exact"/>
              <w:jc w:val="left"/>
              <w:rPr>
                <w:rFonts w:ascii="仿宋" w:hAnsi="仿宋" w:eastAsia="仿宋"/>
                <w:sz w:val="28"/>
              </w:rPr>
            </w:pPr>
            <w:r>
              <w:rPr>
                <w:rFonts w:hint="eastAsia" w:ascii="仿宋" w:hAnsi="仿宋" w:eastAsia="仿宋"/>
                <w:sz w:val="28"/>
              </w:rPr>
              <w:t xml:space="preserve">联系人：张新浪  </w:t>
            </w:r>
          </w:p>
        </w:tc>
      </w:tr>
      <w:tr>
        <w:tblPrEx>
          <w:tblLayout w:type="fixed"/>
          <w:tblCellMar>
            <w:top w:w="0" w:type="dxa"/>
            <w:left w:w="108" w:type="dxa"/>
            <w:bottom w:w="0" w:type="dxa"/>
            <w:right w:w="108" w:type="dxa"/>
          </w:tblCellMar>
        </w:tblPrEx>
        <w:trPr>
          <w:cantSplit/>
          <w:jc w:val="center"/>
        </w:trPr>
        <w:tc>
          <w:tcPr>
            <w:tcW w:w="4346" w:type="dxa"/>
            <w:vAlign w:val="center"/>
          </w:tcPr>
          <w:p>
            <w:pPr>
              <w:snapToGrid w:val="0"/>
              <w:spacing w:line="480" w:lineRule="exact"/>
              <w:jc w:val="left"/>
              <w:rPr>
                <w:rFonts w:ascii="仿宋" w:hAnsi="仿宋" w:eastAsia="仿宋"/>
                <w:sz w:val="28"/>
              </w:rPr>
            </w:pPr>
            <w:r>
              <w:rPr>
                <w:rFonts w:hint="eastAsia" w:ascii="仿宋" w:hAnsi="仿宋" w:eastAsia="仿宋"/>
                <w:sz w:val="28"/>
              </w:rPr>
              <w:t>电话：13488716671</w:t>
            </w:r>
          </w:p>
        </w:tc>
        <w:tc>
          <w:tcPr>
            <w:tcW w:w="4127" w:type="dxa"/>
            <w:vAlign w:val="center"/>
          </w:tcPr>
          <w:p>
            <w:pPr>
              <w:snapToGrid w:val="0"/>
              <w:spacing w:line="480" w:lineRule="exact"/>
              <w:jc w:val="left"/>
              <w:rPr>
                <w:rFonts w:ascii="仿宋" w:hAnsi="仿宋" w:eastAsia="仿宋"/>
                <w:sz w:val="28"/>
              </w:rPr>
            </w:pPr>
            <w:r>
              <w:rPr>
                <w:rFonts w:hint="eastAsia" w:ascii="仿宋" w:hAnsi="仿宋" w:eastAsia="仿宋"/>
                <w:sz w:val="28"/>
              </w:rPr>
              <w:t>电话：</w:t>
            </w:r>
            <w:r>
              <w:rPr>
                <w:rFonts w:ascii="仿宋" w:hAnsi="仿宋" w:eastAsia="仿宋"/>
                <w:sz w:val="28"/>
              </w:rPr>
              <w:t xml:space="preserve"> </w:t>
            </w:r>
            <w:r>
              <w:rPr>
                <w:rFonts w:hint="eastAsia" w:ascii="仿宋" w:hAnsi="仿宋" w:eastAsia="仿宋"/>
                <w:sz w:val="28"/>
              </w:rPr>
              <w:t>18611201115</w:t>
            </w:r>
          </w:p>
        </w:tc>
      </w:tr>
      <w:tr>
        <w:tblPrEx>
          <w:tblLayout w:type="fixed"/>
          <w:tblCellMar>
            <w:top w:w="0" w:type="dxa"/>
            <w:left w:w="108" w:type="dxa"/>
            <w:bottom w:w="0" w:type="dxa"/>
            <w:right w:w="108" w:type="dxa"/>
          </w:tblCellMar>
        </w:tblPrEx>
        <w:trPr>
          <w:cantSplit/>
          <w:jc w:val="center"/>
        </w:trPr>
        <w:tc>
          <w:tcPr>
            <w:tcW w:w="4346" w:type="dxa"/>
            <w:vAlign w:val="center"/>
          </w:tcPr>
          <w:p>
            <w:pPr>
              <w:snapToGrid w:val="0"/>
              <w:spacing w:line="480" w:lineRule="exact"/>
              <w:jc w:val="left"/>
              <w:rPr>
                <w:rFonts w:ascii="仿宋" w:hAnsi="仿宋" w:eastAsia="仿宋"/>
                <w:sz w:val="28"/>
              </w:rPr>
            </w:pPr>
            <w:r>
              <w:rPr>
                <w:rFonts w:hint="eastAsia" w:ascii="仿宋" w:hAnsi="仿宋" w:eastAsia="仿宋"/>
                <w:sz w:val="28"/>
              </w:rPr>
              <w:t>传真：010-52617799</w:t>
            </w:r>
          </w:p>
        </w:tc>
        <w:tc>
          <w:tcPr>
            <w:tcW w:w="4127" w:type="dxa"/>
            <w:vAlign w:val="center"/>
          </w:tcPr>
          <w:p>
            <w:pPr>
              <w:snapToGrid w:val="0"/>
              <w:spacing w:line="480" w:lineRule="exact"/>
              <w:jc w:val="left"/>
              <w:rPr>
                <w:rFonts w:ascii="仿宋" w:hAnsi="仿宋" w:eastAsia="仿宋"/>
                <w:sz w:val="28"/>
              </w:rPr>
            </w:pPr>
            <w:r>
              <w:rPr>
                <w:rFonts w:hint="eastAsia" w:ascii="仿宋" w:hAnsi="仿宋" w:eastAsia="仿宋"/>
                <w:sz w:val="28"/>
              </w:rPr>
              <w:t>传真：</w:t>
            </w:r>
            <w:r>
              <w:rPr>
                <w:rFonts w:ascii="仿宋" w:hAnsi="仿宋" w:eastAsia="仿宋"/>
                <w:sz w:val="28"/>
              </w:rPr>
              <w:t xml:space="preserve"> </w:t>
            </w:r>
            <w:r>
              <w:rPr>
                <w:rFonts w:hint="eastAsia" w:ascii="仿宋" w:hAnsi="仿宋" w:eastAsia="仿宋"/>
                <w:sz w:val="28"/>
              </w:rPr>
              <w:t>010-82746954</w:t>
            </w:r>
          </w:p>
        </w:tc>
      </w:tr>
      <w:tr>
        <w:tblPrEx>
          <w:tblLayout w:type="fixed"/>
          <w:tblCellMar>
            <w:top w:w="0" w:type="dxa"/>
            <w:left w:w="108" w:type="dxa"/>
            <w:bottom w:w="0" w:type="dxa"/>
            <w:right w:w="108" w:type="dxa"/>
          </w:tblCellMar>
        </w:tblPrEx>
        <w:trPr>
          <w:cantSplit/>
          <w:jc w:val="center"/>
        </w:trPr>
        <w:tc>
          <w:tcPr>
            <w:tcW w:w="4346" w:type="dxa"/>
            <w:vAlign w:val="center"/>
          </w:tcPr>
          <w:p>
            <w:pPr>
              <w:snapToGrid w:val="0"/>
              <w:spacing w:line="480" w:lineRule="exact"/>
              <w:jc w:val="left"/>
              <w:rPr>
                <w:rFonts w:ascii="仿宋" w:hAnsi="仿宋" w:eastAsia="仿宋"/>
                <w:sz w:val="28"/>
              </w:rPr>
            </w:pPr>
            <w:r>
              <w:rPr>
                <w:rFonts w:ascii="仿宋" w:hAnsi="仿宋" w:eastAsia="仿宋"/>
                <w:sz w:val="28"/>
              </w:rPr>
              <w:t>E</w:t>
            </w:r>
            <w:r>
              <w:rPr>
                <w:rFonts w:hint="eastAsia" w:ascii="仿宋" w:hAnsi="仿宋" w:eastAsia="仿宋"/>
                <w:sz w:val="28"/>
              </w:rPr>
              <w:t>mail：dulu@sgec.sgcc.com.cn</w:t>
            </w:r>
          </w:p>
        </w:tc>
        <w:tc>
          <w:tcPr>
            <w:tcW w:w="4127" w:type="dxa"/>
            <w:vAlign w:val="center"/>
          </w:tcPr>
          <w:p>
            <w:pPr>
              <w:snapToGrid w:val="0"/>
              <w:spacing w:line="480" w:lineRule="exact"/>
              <w:jc w:val="left"/>
              <w:rPr>
                <w:rFonts w:ascii="仿宋" w:hAnsi="仿宋" w:eastAsia="仿宋"/>
                <w:sz w:val="28"/>
              </w:rPr>
            </w:pPr>
            <w:r>
              <w:rPr>
                <w:rFonts w:ascii="仿宋" w:hAnsi="仿宋" w:eastAsia="仿宋"/>
                <w:sz w:val="28"/>
              </w:rPr>
              <w:t>E</w:t>
            </w:r>
            <w:r>
              <w:rPr>
                <w:rFonts w:hint="eastAsia" w:ascii="仿宋" w:hAnsi="仿宋" w:eastAsia="仿宋"/>
                <w:sz w:val="28"/>
              </w:rPr>
              <w:t>mail：</w:t>
            </w:r>
            <w:r>
              <w:rPr>
                <w:rFonts w:ascii="仿宋" w:hAnsi="仿宋" w:eastAsia="仿宋"/>
                <w:sz w:val="28"/>
              </w:rPr>
              <w:t xml:space="preserve"> </w:t>
            </w:r>
            <w:r>
              <w:rPr>
                <w:rFonts w:hint="eastAsia" w:ascii="仿宋" w:hAnsi="仿宋" w:eastAsia="仿宋"/>
                <w:sz w:val="28"/>
              </w:rPr>
              <w:t>liupeng@iufc.cn</w:t>
            </w:r>
          </w:p>
        </w:tc>
      </w:tr>
      <w:tr>
        <w:tblPrEx>
          <w:tblLayout w:type="fixed"/>
          <w:tblCellMar>
            <w:top w:w="0" w:type="dxa"/>
            <w:left w:w="108" w:type="dxa"/>
            <w:bottom w:w="0" w:type="dxa"/>
            <w:right w:w="108" w:type="dxa"/>
          </w:tblCellMar>
        </w:tblPrEx>
        <w:trPr>
          <w:cantSplit/>
          <w:jc w:val="center"/>
        </w:trPr>
        <w:tc>
          <w:tcPr>
            <w:tcW w:w="4346" w:type="dxa"/>
            <w:vAlign w:val="center"/>
          </w:tcPr>
          <w:p>
            <w:pPr>
              <w:snapToGrid w:val="0"/>
              <w:spacing w:line="480" w:lineRule="exact"/>
              <w:jc w:val="left"/>
              <w:rPr>
                <w:rFonts w:ascii="仿宋" w:hAnsi="仿宋" w:eastAsia="仿宋"/>
                <w:sz w:val="28"/>
              </w:rPr>
            </w:pPr>
            <w:r>
              <w:rPr>
                <w:rFonts w:hint="eastAsia" w:ascii="仿宋" w:hAnsi="仿宋" w:eastAsia="仿宋"/>
                <w:sz w:val="28"/>
              </w:rPr>
              <w:t>开户银行：工行北京樱桃园支行</w:t>
            </w:r>
          </w:p>
        </w:tc>
        <w:tc>
          <w:tcPr>
            <w:tcW w:w="4127" w:type="dxa"/>
            <w:vAlign w:val="center"/>
          </w:tcPr>
          <w:p>
            <w:pPr>
              <w:snapToGrid w:val="0"/>
              <w:spacing w:line="480" w:lineRule="exact"/>
              <w:jc w:val="left"/>
              <w:rPr>
                <w:rFonts w:ascii="仿宋" w:hAnsi="仿宋" w:eastAsia="仿宋"/>
                <w:sz w:val="28"/>
              </w:rPr>
            </w:pPr>
            <w:r>
              <w:rPr>
                <w:rFonts w:hint="eastAsia" w:ascii="仿宋" w:hAnsi="仿宋" w:eastAsia="仿宋"/>
                <w:sz w:val="28"/>
              </w:rPr>
              <w:t>开户银行：中国</w:t>
            </w:r>
            <w:r>
              <w:rPr>
                <w:rFonts w:ascii="仿宋" w:hAnsi="仿宋" w:eastAsia="仿宋"/>
                <w:sz w:val="28"/>
              </w:rPr>
              <w:t>民生银行</w:t>
            </w:r>
            <w:r>
              <w:rPr>
                <w:rFonts w:hint="eastAsia" w:ascii="仿宋" w:hAnsi="仿宋" w:eastAsia="仿宋"/>
                <w:sz w:val="28"/>
              </w:rPr>
              <w:t>股份</w:t>
            </w:r>
            <w:r>
              <w:rPr>
                <w:rFonts w:ascii="仿宋" w:hAnsi="仿宋" w:eastAsia="仿宋"/>
                <w:sz w:val="28"/>
              </w:rPr>
              <w:t>有限</w:t>
            </w:r>
            <w:r>
              <w:rPr>
                <w:rFonts w:hint="eastAsia" w:ascii="仿宋" w:hAnsi="仿宋" w:eastAsia="仿宋"/>
                <w:sz w:val="28"/>
              </w:rPr>
              <w:t>公司</w:t>
            </w:r>
            <w:r>
              <w:rPr>
                <w:rFonts w:ascii="仿宋" w:hAnsi="仿宋" w:eastAsia="仿宋"/>
                <w:sz w:val="28"/>
              </w:rPr>
              <w:t>北京</w:t>
            </w:r>
            <w:r>
              <w:rPr>
                <w:rFonts w:hint="eastAsia" w:ascii="仿宋" w:hAnsi="仿宋" w:eastAsia="仿宋"/>
                <w:sz w:val="28"/>
              </w:rPr>
              <w:t>东</w:t>
            </w:r>
            <w:r>
              <w:rPr>
                <w:rFonts w:ascii="仿宋" w:hAnsi="仿宋" w:eastAsia="仿宋"/>
                <w:sz w:val="28"/>
              </w:rPr>
              <w:t>二</w:t>
            </w:r>
            <w:r>
              <w:rPr>
                <w:rFonts w:hint="eastAsia" w:ascii="仿宋" w:hAnsi="仿宋" w:eastAsia="仿宋"/>
                <w:sz w:val="28"/>
              </w:rPr>
              <w:t>环</w:t>
            </w:r>
            <w:r>
              <w:rPr>
                <w:rFonts w:ascii="仿宋" w:hAnsi="仿宋" w:eastAsia="仿宋"/>
                <w:sz w:val="28"/>
              </w:rPr>
              <w:t>支行</w:t>
            </w:r>
          </w:p>
        </w:tc>
      </w:tr>
      <w:tr>
        <w:tblPrEx>
          <w:tblLayout w:type="fixed"/>
          <w:tblCellMar>
            <w:top w:w="0" w:type="dxa"/>
            <w:left w:w="108" w:type="dxa"/>
            <w:bottom w:w="0" w:type="dxa"/>
            <w:right w:w="108" w:type="dxa"/>
          </w:tblCellMar>
        </w:tblPrEx>
        <w:trPr>
          <w:cantSplit/>
          <w:jc w:val="center"/>
        </w:trPr>
        <w:tc>
          <w:tcPr>
            <w:tcW w:w="4346" w:type="dxa"/>
            <w:vAlign w:val="center"/>
          </w:tcPr>
          <w:p>
            <w:pPr>
              <w:snapToGrid w:val="0"/>
              <w:spacing w:line="480" w:lineRule="exact"/>
              <w:jc w:val="left"/>
              <w:rPr>
                <w:rFonts w:ascii="仿宋" w:hAnsi="仿宋" w:eastAsia="仿宋"/>
                <w:sz w:val="28"/>
              </w:rPr>
            </w:pPr>
            <w:r>
              <w:rPr>
                <w:rFonts w:hint="eastAsia" w:ascii="仿宋" w:hAnsi="仿宋" w:eastAsia="仿宋"/>
                <w:sz w:val="28"/>
              </w:rPr>
              <w:t>账号：</w:t>
            </w:r>
            <w:r>
              <w:rPr>
                <w:rFonts w:ascii="仿宋" w:hAnsi="仿宋" w:eastAsia="仿宋"/>
                <w:sz w:val="28"/>
              </w:rPr>
              <w:t>0200000609067283641</w:t>
            </w:r>
          </w:p>
        </w:tc>
        <w:tc>
          <w:tcPr>
            <w:tcW w:w="4127" w:type="dxa"/>
            <w:vAlign w:val="center"/>
          </w:tcPr>
          <w:p>
            <w:pPr>
              <w:snapToGrid w:val="0"/>
              <w:spacing w:line="480" w:lineRule="exact"/>
              <w:jc w:val="left"/>
              <w:rPr>
                <w:rFonts w:ascii="仿宋" w:hAnsi="仿宋" w:eastAsia="仿宋"/>
                <w:sz w:val="28"/>
              </w:rPr>
            </w:pPr>
            <w:r>
              <w:rPr>
                <w:rFonts w:hint="eastAsia" w:ascii="仿宋" w:hAnsi="仿宋" w:eastAsia="仿宋"/>
                <w:sz w:val="28"/>
              </w:rPr>
              <w:t>账号：0148012830000756</w:t>
            </w:r>
          </w:p>
        </w:tc>
      </w:tr>
      <w:tr>
        <w:tblPrEx>
          <w:tblLayout w:type="fixed"/>
          <w:tblCellMar>
            <w:top w:w="0" w:type="dxa"/>
            <w:left w:w="108" w:type="dxa"/>
            <w:bottom w:w="0" w:type="dxa"/>
            <w:right w:w="108" w:type="dxa"/>
          </w:tblCellMar>
        </w:tblPrEx>
        <w:trPr>
          <w:cantSplit/>
          <w:jc w:val="center"/>
        </w:trPr>
        <w:tc>
          <w:tcPr>
            <w:tcW w:w="4346" w:type="dxa"/>
            <w:vAlign w:val="center"/>
          </w:tcPr>
          <w:p>
            <w:pPr>
              <w:wordWrap w:val="0"/>
              <w:adjustRightInd w:val="0"/>
              <w:snapToGrid w:val="0"/>
              <w:spacing w:line="480" w:lineRule="exact"/>
              <w:jc w:val="left"/>
              <w:rPr>
                <w:rFonts w:ascii="仿宋" w:hAnsi="仿宋" w:eastAsia="仿宋"/>
                <w:sz w:val="28"/>
              </w:rPr>
            </w:pPr>
            <w:r>
              <w:rPr>
                <w:rFonts w:hint="eastAsia" w:ascii="仿宋" w:hAnsi="仿宋" w:eastAsia="仿宋"/>
                <w:sz w:val="28"/>
              </w:rPr>
              <w:t>统一社会信用代码：</w:t>
            </w:r>
          </w:p>
          <w:p>
            <w:pPr>
              <w:adjustRightInd w:val="0"/>
              <w:snapToGrid w:val="0"/>
              <w:spacing w:line="480" w:lineRule="exact"/>
              <w:jc w:val="left"/>
              <w:rPr>
                <w:rFonts w:ascii="仿宋" w:hAnsi="仿宋" w:eastAsia="仿宋"/>
                <w:sz w:val="28"/>
              </w:rPr>
            </w:pPr>
            <w:r>
              <w:rPr>
                <w:rFonts w:ascii="仿宋" w:hAnsi="仿宋" w:eastAsia="仿宋"/>
                <w:sz w:val="28"/>
              </w:rPr>
              <w:t>91110108675715688R</w:t>
            </w:r>
          </w:p>
        </w:tc>
        <w:tc>
          <w:tcPr>
            <w:tcW w:w="4127" w:type="dxa"/>
            <w:vAlign w:val="center"/>
          </w:tcPr>
          <w:p>
            <w:pPr>
              <w:adjustRightInd w:val="0"/>
              <w:snapToGrid w:val="0"/>
              <w:spacing w:line="480" w:lineRule="exact"/>
              <w:jc w:val="left"/>
              <w:rPr>
                <w:rFonts w:ascii="仿宋" w:hAnsi="仿宋" w:eastAsia="仿宋"/>
                <w:sz w:val="28"/>
              </w:rPr>
            </w:pPr>
            <w:r>
              <w:rPr>
                <w:rFonts w:hint="eastAsia" w:ascii="仿宋" w:hAnsi="仿宋" w:eastAsia="仿宋"/>
                <w:sz w:val="28"/>
              </w:rPr>
              <w:t xml:space="preserve">统一社会信用代码：91110108596007659D </w:t>
            </w:r>
            <w:r>
              <w:rPr>
                <w:rFonts w:ascii="仿宋" w:hAnsi="仿宋" w:eastAsia="仿宋"/>
                <w:sz w:val="28"/>
              </w:rPr>
              <w:t xml:space="preserve"> </w:t>
            </w:r>
          </w:p>
        </w:tc>
      </w:tr>
      <w:tr>
        <w:tblPrEx>
          <w:tblLayout w:type="fixed"/>
          <w:tblCellMar>
            <w:top w:w="0" w:type="dxa"/>
            <w:left w:w="108" w:type="dxa"/>
            <w:bottom w:w="0" w:type="dxa"/>
            <w:right w:w="108" w:type="dxa"/>
          </w:tblCellMar>
        </w:tblPrEx>
        <w:trPr>
          <w:cantSplit/>
          <w:jc w:val="center"/>
        </w:trPr>
        <w:tc>
          <w:tcPr>
            <w:tcW w:w="4346" w:type="dxa"/>
            <w:vAlign w:val="center"/>
          </w:tcPr>
          <w:p>
            <w:pPr>
              <w:adjustRightInd w:val="0"/>
              <w:snapToGrid w:val="0"/>
              <w:spacing w:line="480" w:lineRule="exact"/>
              <w:jc w:val="left"/>
              <w:rPr>
                <w:rFonts w:ascii="仿宋" w:hAnsi="仿宋" w:eastAsia="仿宋"/>
                <w:sz w:val="28"/>
              </w:rPr>
            </w:pPr>
            <w:r>
              <w:rPr>
                <w:rFonts w:hint="eastAsia" w:ascii="仿宋" w:hAnsi="仿宋" w:eastAsia="仿宋"/>
                <w:sz w:val="28"/>
              </w:rPr>
              <w:t>开户行联行号：</w:t>
            </w:r>
            <w:r>
              <w:rPr>
                <w:rFonts w:ascii="仿宋" w:hAnsi="仿宋" w:eastAsia="仿宋"/>
                <w:sz w:val="28"/>
              </w:rPr>
              <w:t>102100000064</w:t>
            </w:r>
          </w:p>
        </w:tc>
        <w:tc>
          <w:tcPr>
            <w:tcW w:w="4127" w:type="dxa"/>
            <w:vAlign w:val="center"/>
          </w:tcPr>
          <w:p>
            <w:pPr>
              <w:adjustRightInd w:val="0"/>
              <w:snapToGrid w:val="0"/>
              <w:spacing w:line="480" w:lineRule="exact"/>
              <w:jc w:val="left"/>
              <w:rPr>
                <w:rFonts w:ascii="仿宋" w:hAnsi="仿宋" w:eastAsia="仿宋"/>
                <w:sz w:val="28"/>
              </w:rPr>
            </w:pPr>
            <w:r>
              <w:rPr>
                <w:rFonts w:hint="eastAsia" w:ascii="仿宋" w:hAnsi="仿宋" w:eastAsia="仿宋"/>
                <w:sz w:val="28"/>
              </w:rPr>
              <w:t>开户行联行号：</w:t>
            </w:r>
            <w:r>
              <w:rPr>
                <w:rFonts w:ascii="仿宋" w:hAnsi="仿宋" w:eastAsia="仿宋"/>
                <w:sz w:val="28"/>
              </w:rPr>
              <w:t xml:space="preserve">313100001547 </w:t>
            </w:r>
          </w:p>
        </w:tc>
      </w:tr>
      <w:tr>
        <w:tblPrEx>
          <w:tblLayout w:type="fixed"/>
          <w:tblCellMar>
            <w:top w:w="0" w:type="dxa"/>
            <w:left w:w="108" w:type="dxa"/>
            <w:bottom w:w="0" w:type="dxa"/>
            <w:right w:w="108" w:type="dxa"/>
          </w:tblCellMar>
        </w:tblPrEx>
        <w:trPr>
          <w:cantSplit/>
          <w:jc w:val="center"/>
        </w:trPr>
        <w:tc>
          <w:tcPr>
            <w:tcW w:w="4346" w:type="dxa"/>
            <w:vAlign w:val="center"/>
          </w:tcPr>
          <w:p>
            <w:pPr>
              <w:adjustRightInd w:val="0"/>
              <w:snapToGrid w:val="0"/>
              <w:spacing w:line="480" w:lineRule="exact"/>
              <w:jc w:val="left"/>
              <w:rPr>
                <w:rFonts w:ascii="仿宋" w:hAnsi="仿宋" w:eastAsia="仿宋"/>
                <w:sz w:val="28"/>
              </w:rPr>
            </w:pPr>
            <w:r>
              <w:rPr>
                <w:rFonts w:hint="eastAsia" w:ascii="仿宋" w:hAnsi="仿宋" w:eastAsia="仿宋"/>
                <w:sz w:val="28"/>
              </w:rPr>
              <w:t>执行单位：</w:t>
            </w:r>
          </w:p>
        </w:tc>
        <w:tc>
          <w:tcPr>
            <w:tcW w:w="4127" w:type="dxa"/>
            <w:vAlign w:val="center"/>
          </w:tcPr>
          <w:p>
            <w:pPr>
              <w:adjustRightInd w:val="0"/>
              <w:snapToGrid w:val="0"/>
              <w:spacing w:line="480" w:lineRule="exact"/>
              <w:jc w:val="left"/>
              <w:rPr>
                <w:rFonts w:ascii="仿宋" w:hAnsi="仿宋" w:eastAsia="仿宋"/>
                <w:sz w:val="28"/>
              </w:rPr>
            </w:pPr>
            <w:r>
              <w:rPr>
                <w:rFonts w:hint="eastAsia" w:ascii="仿宋" w:hAnsi="仿宋" w:eastAsia="仿宋"/>
                <w:sz w:val="28"/>
              </w:rPr>
              <w:t xml:space="preserve">执行单位：  </w:t>
            </w:r>
          </w:p>
        </w:tc>
      </w:tr>
      <w:tr>
        <w:tblPrEx>
          <w:tblLayout w:type="fixed"/>
          <w:tblCellMar>
            <w:top w:w="0" w:type="dxa"/>
            <w:left w:w="108" w:type="dxa"/>
            <w:bottom w:w="0" w:type="dxa"/>
            <w:right w:w="108" w:type="dxa"/>
          </w:tblCellMar>
        </w:tblPrEx>
        <w:trPr>
          <w:cantSplit/>
          <w:jc w:val="center"/>
        </w:trPr>
        <w:tc>
          <w:tcPr>
            <w:tcW w:w="4346" w:type="dxa"/>
            <w:vAlign w:val="center"/>
          </w:tcPr>
          <w:p>
            <w:pPr>
              <w:adjustRightInd w:val="0"/>
              <w:snapToGrid w:val="0"/>
              <w:spacing w:line="480" w:lineRule="exact"/>
              <w:jc w:val="left"/>
              <w:rPr>
                <w:rFonts w:ascii="仿宋" w:hAnsi="仿宋" w:eastAsia="仿宋"/>
                <w:sz w:val="28"/>
              </w:rPr>
            </w:pPr>
            <w:r>
              <w:rPr>
                <w:rFonts w:hint="eastAsia" w:ascii="仿宋" w:hAnsi="仿宋" w:eastAsia="仿宋"/>
                <w:sz w:val="28"/>
              </w:rPr>
              <w:t>执行人：</w:t>
            </w:r>
          </w:p>
        </w:tc>
        <w:tc>
          <w:tcPr>
            <w:tcW w:w="4127" w:type="dxa"/>
            <w:vAlign w:val="center"/>
          </w:tcPr>
          <w:p>
            <w:pPr>
              <w:adjustRightInd w:val="0"/>
              <w:snapToGrid w:val="0"/>
              <w:spacing w:line="480" w:lineRule="exact"/>
              <w:jc w:val="left"/>
              <w:rPr>
                <w:rFonts w:ascii="仿宋" w:hAnsi="仿宋" w:eastAsia="仿宋"/>
                <w:sz w:val="28"/>
              </w:rPr>
            </w:pPr>
            <w:r>
              <w:rPr>
                <w:rFonts w:hint="eastAsia" w:ascii="仿宋" w:hAnsi="仿宋" w:eastAsia="仿宋"/>
                <w:sz w:val="28"/>
              </w:rPr>
              <w:t xml:space="preserve">执行人： </w:t>
            </w:r>
          </w:p>
        </w:tc>
      </w:tr>
      <w:tr>
        <w:tblPrEx>
          <w:tblLayout w:type="fixed"/>
          <w:tblCellMar>
            <w:top w:w="0" w:type="dxa"/>
            <w:left w:w="108" w:type="dxa"/>
            <w:bottom w:w="0" w:type="dxa"/>
            <w:right w:w="108" w:type="dxa"/>
          </w:tblCellMar>
        </w:tblPrEx>
        <w:trPr>
          <w:cantSplit/>
          <w:jc w:val="center"/>
        </w:trPr>
        <w:tc>
          <w:tcPr>
            <w:tcW w:w="4346" w:type="dxa"/>
            <w:vAlign w:val="center"/>
          </w:tcPr>
          <w:p>
            <w:pPr>
              <w:adjustRightInd w:val="0"/>
              <w:snapToGrid w:val="0"/>
              <w:spacing w:line="480" w:lineRule="exact"/>
              <w:jc w:val="left"/>
              <w:rPr>
                <w:rFonts w:ascii="仿宋" w:hAnsi="仿宋" w:eastAsia="仿宋"/>
                <w:sz w:val="28"/>
              </w:rPr>
            </w:pPr>
            <w:r>
              <w:rPr>
                <w:rFonts w:hint="eastAsia" w:ascii="仿宋" w:hAnsi="仿宋" w:eastAsia="仿宋"/>
                <w:sz w:val="28"/>
              </w:rPr>
              <w:t>电话：</w:t>
            </w:r>
          </w:p>
        </w:tc>
        <w:tc>
          <w:tcPr>
            <w:tcW w:w="4127" w:type="dxa"/>
            <w:vAlign w:val="center"/>
          </w:tcPr>
          <w:p>
            <w:pPr>
              <w:adjustRightInd w:val="0"/>
              <w:snapToGrid w:val="0"/>
              <w:spacing w:line="480" w:lineRule="exact"/>
              <w:jc w:val="left"/>
              <w:rPr>
                <w:rFonts w:ascii="仿宋" w:hAnsi="仿宋" w:eastAsia="仿宋"/>
                <w:sz w:val="28"/>
              </w:rPr>
            </w:pPr>
            <w:r>
              <w:rPr>
                <w:rFonts w:hint="eastAsia" w:ascii="仿宋" w:hAnsi="仿宋" w:eastAsia="仿宋"/>
                <w:sz w:val="28"/>
              </w:rPr>
              <w:t xml:space="preserve">电话： </w:t>
            </w:r>
          </w:p>
        </w:tc>
      </w:tr>
      <w:tr>
        <w:tblPrEx>
          <w:tblLayout w:type="fixed"/>
          <w:tblCellMar>
            <w:top w:w="0" w:type="dxa"/>
            <w:left w:w="108" w:type="dxa"/>
            <w:bottom w:w="0" w:type="dxa"/>
            <w:right w:w="108" w:type="dxa"/>
          </w:tblCellMar>
        </w:tblPrEx>
        <w:trPr>
          <w:cantSplit/>
          <w:jc w:val="center"/>
        </w:trPr>
        <w:tc>
          <w:tcPr>
            <w:tcW w:w="4346" w:type="dxa"/>
            <w:vAlign w:val="center"/>
          </w:tcPr>
          <w:p>
            <w:pPr>
              <w:adjustRightInd w:val="0"/>
              <w:snapToGrid w:val="0"/>
              <w:spacing w:line="480" w:lineRule="exact"/>
              <w:jc w:val="left"/>
              <w:rPr>
                <w:rFonts w:ascii="仿宋" w:hAnsi="仿宋" w:eastAsia="仿宋"/>
                <w:sz w:val="28"/>
              </w:rPr>
            </w:pPr>
            <w:r>
              <w:rPr>
                <w:rFonts w:hint="eastAsia" w:ascii="仿宋" w:hAnsi="仿宋" w:eastAsia="仿宋"/>
                <w:sz w:val="28"/>
              </w:rPr>
              <w:t>物资调配中心受理电话：</w:t>
            </w:r>
          </w:p>
        </w:tc>
        <w:tc>
          <w:tcPr>
            <w:tcW w:w="4127" w:type="dxa"/>
            <w:vAlign w:val="center"/>
          </w:tcPr>
          <w:p>
            <w:pPr>
              <w:adjustRightInd w:val="0"/>
              <w:snapToGrid w:val="0"/>
              <w:spacing w:line="480" w:lineRule="exact"/>
              <w:jc w:val="left"/>
              <w:rPr>
                <w:rFonts w:ascii="仿宋" w:hAnsi="仿宋" w:eastAsia="仿宋"/>
                <w:sz w:val="28"/>
              </w:rPr>
            </w:pPr>
            <w:r>
              <w:rPr>
                <w:rFonts w:hint="eastAsia" w:ascii="仿宋" w:hAnsi="仿宋" w:eastAsia="仿宋"/>
                <w:sz w:val="28"/>
              </w:rPr>
              <w:t xml:space="preserve">客服电话： </w:t>
            </w:r>
          </w:p>
        </w:tc>
      </w:tr>
      <w:tr>
        <w:tblPrEx>
          <w:tblLayout w:type="fixed"/>
          <w:tblCellMar>
            <w:top w:w="0" w:type="dxa"/>
            <w:left w:w="108" w:type="dxa"/>
            <w:bottom w:w="0" w:type="dxa"/>
            <w:right w:w="108" w:type="dxa"/>
          </w:tblCellMar>
        </w:tblPrEx>
        <w:trPr>
          <w:cantSplit/>
          <w:jc w:val="center"/>
        </w:trPr>
        <w:tc>
          <w:tcPr>
            <w:tcW w:w="4346" w:type="dxa"/>
            <w:vAlign w:val="center"/>
          </w:tcPr>
          <w:p>
            <w:pPr>
              <w:adjustRightInd w:val="0"/>
              <w:snapToGrid w:val="0"/>
              <w:spacing w:line="480" w:lineRule="exact"/>
              <w:jc w:val="left"/>
              <w:rPr>
                <w:rFonts w:ascii="仿宋" w:hAnsi="仿宋" w:eastAsia="仿宋"/>
                <w:sz w:val="28"/>
              </w:rPr>
            </w:pPr>
            <w:r>
              <w:rPr>
                <w:rFonts w:hint="eastAsia" w:ascii="仿宋" w:hAnsi="仿宋" w:eastAsia="仿宋"/>
                <w:sz w:val="28"/>
              </w:rPr>
              <w:t>需求单位：</w:t>
            </w:r>
          </w:p>
        </w:tc>
        <w:tc>
          <w:tcPr>
            <w:tcW w:w="4127" w:type="dxa"/>
            <w:vAlign w:val="center"/>
          </w:tcPr>
          <w:p>
            <w:pPr>
              <w:adjustRightInd w:val="0"/>
              <w:snapToGrid w:val="0"/>
              <w:spacing w:line="480" w:lineRule="exact"/>
              <w:jc w:val="left"/>
              <w:rPr>
                <w:rFonts w:ascii="仿宋" w:hAnsi="仿宋" w:eastAsia="仿宋"/>
                <w:sz w:val="28"/>
              </w:rPr>
            </w:pPr>
          </w:p>
        </w:tc>
      </w:tr>
    </w:tbl>
    <w:p>
      <w:pPr>
        <w:rPr>
          <w:rFonts w:ascii="黑体" w:eastAsia="黑体"/>
          <w:sz w:val="28"/>
        </w:rPr>
      </w:pPr>
      <w:r>
        <w:br w:type="page"/>
      </w:r>
      <w:r>
        <w:rPr>
          <w:rFonts w:hint="eastAsia" w:ascii="仿宋" w:hAnsi="仿宋" w:eastAsia="仿宋" w:cs="仿宋"/>
          <w:sz w:val="28"/>
        </w:rPr>
        <w:t>附件1：</w:t>
      </w:r>
    </w:p>
    <w:p>
      <w:pPr>
        <w:spacing w:line="480" w:lineRule="exact"/>
        <w:ind w:firstLine="207"/>
        <w:jc w:val="center"/>
        <w:rPr>
          <w:rFonts w:ascii="黑体" w:hAnsi="宋体" w:eastAsia="黑体"/>
          <w:sz w:val="28"/>
          <w:szCs w:val="28"/>
        </w:rPr>
      </w:pPr>
    </w:p>
    <w:p>
      <w:pPr>
        <w:pStyle w:val="2"/>
      </w:pPr>
    </w:p>
    <w:p>
      <w:pPr>
        <w:pStyle w:val="2"/>
      </w:pPr>
    </w:p>
    <w:p>
      <w:pPr>
        <w:pStyle w:val="2"/>
        <w:rPr>
          <w:rFonts w:ascii="Times New Roman" w:hAnsi="Times New Roman" w:eastAsia="宋体"/>
        </w:rPr>
      </w:pPr>
    </w:p>
    <w:p>
      <w:pPr>
        <w:ind w:firstLine="207"/>
        <w:jc w:val="center"/>
        <w:rPr>
          <w:rFonts w:ascii="宋体" w:hAnsi="宋体" w:eastAsia="宋体" w:cs="仿宋"/>
          <w:b/>
          <w:sz w:val="52"/>
          <w:szCs w:val="52"/>
        </w:rPr>
      </w:pPr>
      <w:r>
        <w:rPr>
          <w:rFonts w:hint="eastAsia" w:ascii="宋体" w:hAnsi="宋体" w:eastAsia="宋体" w:cs="仿宋"/>
          <w:b/>
          <w:sz w:val="52"/>
          <w:szCs w:val="52"/>
        </w:rPr>
        <w:t xml:space="preserve"> </w:t>
      </w:r>
    </w:p>
    <w:p>
      <w:pPr>
        <w:pStyle w:val="2"/>
        <w:ind w:firstLine="1044"/>
        <w:rPr>
          <w:rFonts w:ascii="宋体" w:hAnsi="宋体" w:eastAsia="宋体"/>
          <w:b/>
          <w:sz w:val="52"/>
          <w:szCs w:val="52"/>
        </w:rPr>
      </w:pPr>
    </w:p>
    <w:p>
      <w:pPr>
        <w:ind w:firstLine="207"/>
        <w:jc w:val="center"/>
        <w:rPr>
          <w:rFonts w:ascii="宋体" w:hAnsi="宋体" w:eastAsia="宋体" w:cs="仿宋"/>
          <w:b/>
          <w:sz w:val="52"/>
          <w:szCs w:val="52"/>
        </w:rPr>
      </w:pPr>
      <w:r>
        <w:rPr>
          <w:rFonts w:hint="eastAsia" w:ascii="宋体" w:hAnsi="宋体" w:eastAsia="宋体" w:cs="仿宋"/>
          <w:b/>
          <w:sz w:val="52"/>
          <w:szCs w:val="52"/>
        </w:rPr>
        <w:t>技术规范</w:t>
      </w:r>
    </w:p>
    <w:p>
      <w:pPr>
        <w:pStyle w:val="2"/>
      </w:pPr>
    </w:p>
    <w:p>
      <w:pPr>
        <w:pStyle w:val="2"/>
      </w:pPr>
    </w:p>
    <w:p>
      <w:pPr>
        <w:pStyle w:val="2"/>
      </w:pPr>
    </w:p>
    <w:p>
      <w:pPr>
        <w:pStyle w:val="2"/>
      </w:pPr>
    </w:p>
    <w:p>
      <w:pPr>
        <w:pStyle w:val="2"/>
      </w:pPr>
    </w:p>
    <w:p>
      <w:pPr>
        <w:widowControl/>
        <w:jc w:val="left"/>
      </w:pPr>
      <w:r>
        <w:br w:type="page"/>
      </w:r>
    </w:p>
    <w:p>
      <w:pPr>
        <w:pStyle w:val="6"/>
        <w:numPr>
          <w:ilvl w:val="0"/>
          <w:numId w:val="1"/>
        </w:numPr>
        <w:spacing w:before="40" w:after="40" w:line="480" w:lineRule="atLeast"/>
        <w:jc w:val="left"/>
        <w:rPr>
          <w:rFonts w:ascii="仿宋_GB2312" w:eastAsia="仿宋_GB2312"/>
          <w:color w:val="000000"/>
          <w:szCs w:val="28"/>
        </w:rPr>
      </w:pPr>
      <w:bookmarkStart w:id="81" w:name="_Toc526272772"/>
      <w:bookmarkStart w:id="82" w:name="_Toc174546109"/>
      <w:bookmarkStart w:id="83" w:name="_Toc10970"/>
      <w:bookmarkStart w:id="84" w:name="_Toc140044893"/>
      <w:bookmarkStart w:id="85" w:name="_Toc44215917"/>
      <w:bookmarkStart w:id="86" w:name="_Toc526272364"/>
      <w:bookmarkStart w:id="87" w:name="_Toc44215756"/>
      <w:bookmarkStart w:id="88" w:name="_Toc255808351"/>
      <w:bookmarkStart w:id="89" w:name="_Toc114881469"/>
      <w:r>
        <w:rPr>
          <w:rFonts w:hint="eastAsia" w:ascii="仿宋_GB2312" w:eastAsia="仿宋_GB2312"/>
          <w:color w:val="000000"/>
          <w:szCs w:val="28"/>
        </w:rPr>
        <w:t>总体要求</w:t>
      </w:r>
      <w:bookmarkEnd w:id="81"/>
      <w:bookmarkEnd w:id="82"/>
      <w:bookmarkEnd w:id="83"/>
      <w:bookmarkEnd w:id="84"/>
      <w:bookmarkEnd w:id="85"/>
      <w:bookmarkEnd w:id="86"/>
      <w:bookmarkEnd w:id="87"/>
      <w:bookmarkEnd w:id="88"/>
    </w:p>
    <w:p>
      <w:pPr>
        <w:pStyle w:val="7"/>
        <w:numPr>
          <w:ilvl w:val="0"/>
          <w:numId w:val="2"/>
        </w:numPr>
        <w:overflowPunct w:val="0"/>
        <w:autoSpaceDE w:val="0"/>
        <w:autoSpaceDN w:val="0"/>
        <w:adjustRightInd w:val="0"/>
        <w:spacing w:before="0" w:after="60" w:line="480" w:lineRule="atLeast"/>
        <w:ind w:firstLine="0"/>
        <w:textAlignment w:val="baseline"/>
        <w:rPr>
          <w:rFonts w:ascii="仿宋_GB2312" w:eastAsia="仿宋_GB2312"/>
          <w:color w:val="000000"/>
          <w:sz w:val="28"/>
          <w:szCs w:val="28"/>
        </w:rPr>
      </w:pPr>
      <w:bookmarkStart w:id="90" w:name="_Toc24372"/>
      <w:bookmarkStart w:id="91" w:name="_Toc44215766"/>
      <w:bookmarkStart w:id="92" w:name="_Toc44215927"/>
      <w:bookmarkStart w:id="93" w:name="_Toc526272374"/>
      <w:bookmarkStart w:id="94" w:name="_Toc526272782"/>
      <w:bookmarkStart w:id="95" w:name="_Toc140044899"/>
      <w:r>
        <w:rPr>
          <w:rFonts w:hint="eastAsia" w:ascii="仿宋_GB2312" w:eastAsia="仿宋_GB2312"/>
          <w:color w:val="000000"/>
          <w:sz w:val="28"/>
          <w:szCs w:val="28"/>
        </w:rPr>
        <w:t>项目说明</w:t>
      </w:r>
      <w:bookmarkEnd w:id="90"/>
    </w:p>
    <w:p>
      <w:pPr>
        <w:spacing w:line="480" w:lineRule="atLeast"/>
        <w:ind w:firstLine="426"/>
        <w:rPr>
          <w:rFonts w:ascii="仿宋_GB2312" w:hAnsi="宋体" w:eastAsia="仿宋_GB2312"/>
          <w:color w:val="000000"/>
          <w:sz w:val="28"/>
          <w:szCs w:val="28"/>
        </w:rPr>
      </w:pPr>
      <w:r>
        <w:rPr>
          <w:rFonts w:hint="eastAsia" w:ascii="仿宋_GB2312" w:hAnsi="宋体" w:eastAsia="仿宋_GB2312"/>
          <w:color w:val="000000"/>
          <w:sz w:val="28"/>
          <w:szCs w:val="28"/>
        </w:rPr>
        <w:t>通过本期系统建设，在公司全国统一电力市场建设框架下，构建电力市场电费结算系统，满足省间电费结算业务功能，为各类电力市场主体提供安全、快捷、高效、公正的电费清分和资金结算服务，全面落实电网企业电费结算主体责任，为公司能源互联网战略提供坚强保障。</w:t>
      </w:r>
    </w:p>
    <w:p>
      <w:pPr>
        <w:pStyle w:val="7"/>
        <w:numPr>
          <w:ilvl w:val="0"/>
          <w:numId w:val="2"/>
        </w:numPr>
        <w:overflowPunct w:val="0"/>
        <w:autoSpaceDE w:val="0"/>
        <w:autoSpaceDN w:val="0"/>
        <w:adjustRightInd w:val="0"/>
        <w:spacing w:before="0" w:after="60" w:line="480" w:lineRule="atLeast"/>
        <w:ind w:firstLine="0"/>
        <w:textAlignment w:val="baseline"/>
        <w:rPr>
          <w:rFonts w:ascii="仿宋_GB2312" w:eastAsia="仿宋_GB2312"/>
          <w:color w:val="000000"/>
          <w:sz w:val="28"/>
          <w:szCs w:val="28"/>
        </w:rPr>
      </w:pPr>
      <w:bookmarkStart w:id="96" w:name="_Toc15701"/>
      <w:r>
        <w:rPr>
          <w:rFonts w:hint="eastAsia" w:ascii="仿宋_GB2312" w:eastAsia="仿宋_GB2312"/>
          <w:color w:val="000000"/>
          <w:sz w:val="28"/>
          <w:szCs w:val="28"/>
        </w:rPr>
        <w:t>项目单位</w:t>
      </w:r>
      <w:bookmarkEnd w:id="96"/>
    </w:p>
    <w:p>
      <w:pPr>
        <w:spacing w:line="480" w:lineRule="atLeast"/>
        <w:ind w:firstLine="426"/>
        <w:rPr>
          <w:rFonts w:ascii="仿宋_GB2312" w:hAnsi="宋体" w:eastAsia="仿宋_GB2312"/>
          <w:color w:val="000000"/>
          <w:sz w:val="28"/>
          <w:szCs w:val="28"/>
        </w:rPr>
      </w:pPr>
      <w:r>
        <w:rPr>
          <w:rFonts w:hint="eastAsia" w:ascii="仿宋_GB2312" w:hAnsi="宋体" w:eastAsia="仿宋_GB2312"/>
          <w:color w:val="000000"/>
          <w:sz w:val="28"/>
          <w:szCs w:val="28"/>
        </w:rPr>
        <w:t>本项目的项目单位为：甲方指定项目单位。</w:t>
      </w:r>
    </w:p>
    <w:p>
      <w:pPr>
        <w:pStyle w:val="7"/>
        <w:numPr>
          <w:ilvl w:val="0"/>
          <w:numId w:val="2"/>
        </w:numPr>
        <w:overflowPunct w:val="0"/>
        <w:autoSpaceDE w:val="0"/>
        <w:autoSpaceDN w:val="0"/>
        <w:adjustRightInd w:val="0"/>
        <w:spacing w:before="0" w:after="60" w:line="480" w:lineRule="atLeast"/>
        <w:ind w:firstLine="0"/>
        <w:textAlignment w:val="baseline"/>
        <w:rPr>
          <w:rFonts w:ascii="仿宋_GB2312" w:eastAsia="仿宋_GB2312"/>
          <w:color w:val="000000"/>
          <w:sz w:val="28"/>
          <w:szCs w:val="28"/>
        </w:rPr>
      </w:pPr>
      <w:bookmarkStart w:id="97" w:name="_Toc28368"/>
      <w:r>
        <w:rPr>
          <w:rFonts w:hint="eastAsia" w:ascii="仿宋_GB2312" w:eastAsia="仿宋_GB2312"/>
          <w:color w:val="000000"/>
          <w:sz w:val="28"/>
          <w:szCs w:val="28"/>
        </w:rPr>
        <w:t>部署方式</w:t>
      </w:r>
      <w:bookmarkEnd w:id="97"/>
    </w:p>
    <w:p>
      <w:pPr>
        <w:spacing w:line="480" w:lineRule="atLeast"/>
        <w:ind w:firstLine="426"/>
        <w:rPr>
          <w:rFonts w:ascii="仿宋_GB2312" w:hAnsi="宋体" w:eastAsia="仿宋_GB2312"/>
          <w:color w:val="000000"/>
          <w:sz w:val="28"/>
          <w:szCs w:val="28"/>
        </w:rPr>
      </w:pPr>
      <w:r>
        <w:rPr>
          <w:rFonts w:hint="eastAsia" w:ascii="仿宋_GB2312" w:hAnsi="宋体" w:eastAsia="仿宋_GB2312"/>
          <w:color w:val="000000"/>
          <w:sz w:val="28"/>
          <w:szCs w:val="28"/>
        </w:rPr>
        <w:t>部署方式为二级部署。</w:t>
      </w:r>
    </w:p>
    <w:p>
      <w:pPr>
        <w:pStyle w:val="7"/>
        <w:numPr>
          <w:ilvl w:val="0"/>
          <w:numId w:val="2"/>
        </w:numPr>
        <w:overflowPunct w:val="0"/>
        <w:autoSpaceDE w:val="0"/>
        <w:autoSpaceDN w:val="0"/>
        <w:adjustRightInd w:val="0"/>
        <w:spacing w:before="0" w:after="60" w:line="480" w:lineRule="atLeast"/>
        <w:ind w:firstLine="0"/>
        <w:textAlignment w:val="baseline"/>
        <w:rPr>
          <w:rFonts w:ascii="仿宋_GB2312" w:eastAsia="仿宋_GB2312"/>
          <w:color w:val="000000"/>
          <w:sz w:val="28"/>
          <w:szCs w:val="28"/>
        </w:rPr>
      </w:pPr>
      <w:bookmarkStart w:id="98" w:name="_Toc32374"/>
      <w:r>
        <w:rPr>
          <w:rFonts w:hint="eastAsia" w:ascii="仿宋_GB2312" w:eastAsia="仿宋_GB2312"/>
          <w:color w:val="000000"/>
          <w:sz w:val="28"/>
          <w:szCs w:val="28"/>
        </w:rPr>
        <w:t>项目进度要求</w:t>
      </w:r>
      <w:bookmarkEnd w:id="98"/>
    </w:p>
    <w:p>
      <w:pPr>
        <w:spacing w:line="480" w:lineRule="atLeas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综述项目总工期3月。</w:t>
      </w:r>
    </w:p>
    <w:p>
      <w:pPr>
        <w:spacing w:line="480" w:lineRule="atLeast"/>
        <w:ind w:firstLine="426"/>
        <w:rPr>
          <w:rFonts w:ascii="仿宋_GB2312" w:hAnsi="宋体" w:eastAsia="仿宋_GB2312"/>
          <w:color w:val="000000"/>
          <w:sz w:val="28"/>
          <w:szCs w:val="28"/>
        </w:rPr>
      </w:pPr>
      <w:r>
        <w:rPr>
          <w:rFonts w:hint="eastAsia" w:ascii="仿宋_GB2312" w:hAnsi="宋体" w:eastAsia="仿宋_GB2312"/>
          <w:color w:val="000000"/>
          <w:sz w:val="28"/>
          <w:szCs w:val="28"/>
        </w:rPr>
        <w:t>具体进度要求参见里程碑计划表：</w:t>
      </w:r>
    </w:p>
    <w:tbl>
      <w:tblPr>
        <w:tblStyle w:val="22"/>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5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53" w:type="dxa"/>
            <w:shd w:val="clear" w:color="auto" w:fill="C6D9F1"/>
            <w:vAlign w:val="center"/>
          </w:tcPr>
          <w:p>
            <w:pPr>
              <w:spacing w:line="480" w:lineRule="atLeast"/>
              <w:jc w:val="center"/>
              <w:textAlignment w:val="baseline"/>
              <w:rPr>
                <w:rFonts w:ascii="仿宋_GB2312" w:hAnsi="宋体" w:eastAsia="仿宋_GB2312"/>
                <w:b/>
                <w:color w:val="000000"/>
                <w:sz w:val="28"/>
                <w:szCs w:val="28"/>
              </w:rPr>
            </w:pPr>
            <w:r>
              <w:rPr>
                <w:rFonts w:hint="eastAsia" w:ascii="仿宋_GB2312" w:hAnsi="宋体" w:eastAsia="仿宋_GB2312"/>
                <w:b/>
                <w:color w:val="000000"/>
                <w:sz w:val="28"/>
                <w:szCs w:val="28"/>
              </w:rPr>
              <w:t>合同签订日起</w:t>
            </w:r>
          </w:p>
        </w:tc>
        <w:tc>
          <w:tcPr>
            <w:tcW w:w="5724" w:type="dxa"/>
            <w:shd w:val="clear" w:color="auto" w:fill="C6D9F1"/>
            <w:vAlign w:val="center"/>
          </w:tcPr>
          <w:p>
            <w:pPr>
              <w:spacing w:line="480" w:lineRule="atLeast"/>
              <w:jc w:val="center"/>
              <w:textAlignment w:val="baseline"/>
              <w:rPr>
                <w:rFonts w:ascii="仿宋_GB2312" w:hAnsi="宋体" w:eastAsia="仿宋_GB2312"/>
                <w:b/>
                <w:color w:val="000000"/>
                <w:sz w:val="28"/>
                <w:szCs w:val="28"/>
              </w:rPr>
            </w:pPr>
            <w:r>
              <w:rPr>
                <w:rFonts w:hint="eastAsia" w:ascii="仿宋_GB2312" w:hAnsi="宋体" w:eastAsia="仿宋_GB2312"/>
                <w:b/>
                <w:color w:val="000000"/>
                <w:sz w:val="28"/>
                <w:szCs w:val="28"/>
              </w:rPr>
              <w:t>里程碑</w:t>
            </w:r>
          </w:p>
        </w:tc>
      </w:tr>
      <w:bookmarkEnd w:id="89"/>
      <w:bookmarkEnd w:id="91"/>
      <w:bookmarkEnd w:id="92"/>
      <w:bookmarkEnd w:id="93"/>
      <w:bookmarkEnd w:id="94"/>
      <w:bookmark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53" w:type="dxa"/>
            <w:vAlign w:val="center"/>
          </w:tcPr>
          <w:p>
            <w:pPr>
              <w:spacing w:line="480" w:lineRule="atLeast"/>
              <w:jc w:val="center"/>
              <w:textAlignment w:val="baseline"/>
              <w:rPr>
                <w:rFonts w:ascii="仿宋_GB2312" w:hAnsi="宋体" w:eastAsia="仿宋_GB2312"/>
                <w:color w:val="000000"/>
                <w:sz w:val="28"/>
                <w:szCs w:val="28"/>
              </w:rPr>
            </w:pPr>
            <w:r>
              <w:rPr>
                <w:rFonts w:hint="eastAsia" w:ascii="仿宋_GB2312" w:hAnsi="宋体" w:eastAsia="仿宋_GB2312"/>
                <w:color w:val="000000"/>
                <w:sz w:val="28"/>
                <w:szCs w:val="28"/>
              </w:rPr>
              <w:t>1个月</w:t>
            </w:r>
          </w:p>
        </w:tc>
        <w:tc>
          <w:tcPr>
            <w:tcW w:w="5724" w:type="dxa"/>
            <w:vAlign w:val="center"/>
          </w:tcPr>
          <w:p>
            <w:pPr>
              <w:spacing w:line="480" w:lineRule="atLeast"/>
              <w:jc w:val="center"/>
              <w:textAlignment w:val="baseline"/>
              <w:rPr>
                <w:rFonts w:ascii="仿宋_GB2312" w:hAnsi="宋体" w:eastAsia="仿宋_GB2312"/>
                <w:color w:val="000000"/>
                <w:sz w:val="28"/>
                <w:szCs w:val="28"/>
              </w:rPr>
            </w:pPr>
            <w:r>
              <w:rPr>
                <w:rFonts w:hint="eastAsia" w:ascii="仿宋_GB2312" w:hAnsi="宋体" w:eastAsia="仿宋_GB2312"/>
                <w:color w:val="000000"/>
                <w:sz w:val="28"/>
                <w:szCs w:val="28"/>
              </w:rPr>
              <w:t>完成</w:t>
            </w:r>
            <w:r>
              <w:rPr>
                <w:rFonts w:hint="eastAsia" w:ascii="仿宋_GB2312" w:hAnsi="宋体" w:eastAsia="仿宋_GB2312" w:cs="宋体"/>
                <w:color w:val="000000"/>
                <w:sz w:val="28"/>
                <w:szCs w:val="28"/>
              </w:rPr>
              <w:t>需求分析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53" w:type="dxa"/>
            <w:vAlign w:val="center"/>
          </w:tcPr>
          <w:p>
            <w:pPr>
              <w:spacing w:line="480" w:lineRule="atLeast"/>
              <w:jc w:val="center"/>
              <w:textAlignment w:val="baseline"/>
              <w:rPr>
                <w:rFonts w:ascii="仿宋_GB2312" w:hAnsi="宋体" w:eastAsia="仿宋_GB2312"/>
                <w:color w:val="000000"/>
                <w:sz w:val="28"/>
                <w:szCs w:val="28"/>
              </w:rPr>
            </w:pPr>
            <w:r>
              <w:rPr>
                <w:rFonts w:hint="eastAsia" w:ascii="仿宋_GB2312" w:hAnsi="宋体" w:eastAsia="仿宋_GB2312"/>
                <w:color w:val="000000"/>
                <w:sz w:val="28"/>
                <w:szCs w:val="28"/>
              </w:rPr>
              <w:t>1个月</w:t>
            </w:r>
          </w:p>
        </w:tc>
        <w:tc>
          <w:tcPr>
            <w:tcW w:w="5724" w:type="dxa"/>
            <w:vAlign w:val="center"/>
          </w:tcPr>
          <w:p>
            <w:pPr>
              <w:spacing w:line="480" w:lineRule="atLeast"/>
              <w:jc w:val="center"/>
              <w:textAlignment w:val="baseline"/>
              <w:rPr>
                <w:rFonts w:ascii="仿宋_GB2312" w:hAnsi="宋体" w:eastAsia="仿宋_GB2312"/>
                <w:color w:val="000000"/>
                <w:sz w:val="28"/>
                <w:szCs w:val="28"/>
              </w:rPr>
            </w:pPr>
            <w:r>
              <w:rPr>
                <w:rFonts w:hint="eastAsia" w:ascii="仿宋_GB2312" w:hAnsi="宋体" w:eastAsia="仿宋_GB2312"/>
                <w:color w:val="000000"/>
                <w:sz w:val="28"/>
                <w:szCs w:val="28"/>
              </w:rPr>
              <w:t>完成系统设计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53" w:type="dxa"/>
            <w:vAlign w:val="center"/>
          </w:tcPr>
          <w:p>
            <w:pPr>
              <w:spacing w:line="480" w:lineRule="atLeast"/>
              <w:jc w:val="center"/>
              <w:textAlignment w:val="baseline"/>
              <w:rPr>
                <w:rFonts w:ascii="仿宋_GB2312" w:hAnsi="宋体" w:eastAsia="仿宋_GB2312"/>
                <w:color w:val="000000"/>
                <w:sz w:val="28"/>
                <w:szCs w:val="28"/>
              </w:rPr>
            </w:pPr>
            <w:r>
              <w:rPr>
                <w:rFonts w:hint="eastAsia" w:ascii="仿宋_GB2312" w:hAnsi="宋体" w:eastAsia="仿宋_GB2312"/>
                <w:color w:val="000000"/>
                <w:sz w:val="28"/>
                <w:szCs w:val="28"/>
              </w:rPr>
              <w:t>2个月</w:t>
            </w:r>
          </w:p>
        </w:tc>
        <w:tc>
          <w:tcPr>
            <w:tcW w:w="5724" w:type="dxa"/>
            <w:vAlign w:val="center"/>
          </w:tcPr>
          <w:p>
            <w:pPr>
              <w:spacing w:line="480" w:lineRule="atLeast"/>
              <w:jc w:val="center"/>
              <w:textAlignment w:val="baseline"/>
              <w:rPr>
                <w:rFonts w:ascii="仿宋_GB2312" w:hAnsi="宋体" w:eastAsia="仿宋_GB2312"/>
                <w:color w:val="000000"/>
                <w:sz w:val="28"/>
                <w:szCs w:val="28"/>
              </w:rPr>
            </w:pPr>
            <w:r>
              <w:rPr>
                <w:rFonts w:hint="eastAsia" w:ascii="仿宋_GB2312" w:hAnsi="宋体" w:eastAsia="仿宋_GB2312"/>
                <w:color w:val="000000"/>
                <w:sz w:val="28"/>
                <w:szCs w:val="28"/>
              </w:rPr>
              <w:t>完成系统开发与测试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53" w:type="dxa"/>
            <w:vAlign w:val="center"/>
          </w:tcPr>
          <w:p>
            <w:pPr>
              <w:spacing w:line="480" w:lineRule="atLeast"/>
              <w:jc w:val="center"/>
              <w:textAlignment w:val="baseline"/>
              <w:rPr>
                <w:rFonts w:ascii="仿宋_GB2312" w:hAnsi="宋体" w:eastAsia="仿宋_GB2312"/>
                <w:color w:val="000000"/>
                <w:sz w:val="28"/>
                <w:szCs w:val="28"/>
              </w:rPr>
            </w:pPr>
            <w:r>
              <w:rPr>
                <w:rFonts w:hint="eastAsia" w:ascii="仿宋_GB2312" w:hAnsi="宋体" w:eastAsia="仿宋_GB2312"/>
                <w:color w:val="000000"/>
                <w:sz w:val="28"/>
                <w:szCs w:val="28"/>
              </w:rPr>
              <w:t>3个月</w:t>
            </w:r>
          </w:p>
        </w:tc>
        <w:tc>
          <w:tcPr>
            <w:tcW w:w="5724" w:type="dxa"/>
            <w:vAlign w:val="center"/>
          </w:tcPr>
          <w:p>
            <w:pPr>
              <w:spacing w:line="480" w:lineRule="atLeast"/>
              <w:jc w:val="center"/>
              <w:textAlignment w:val="baseline"/>
              <w:rPr>
                <w:rFonts w:ascii="仿宋_GB2312" w:hAnsi="宋体" w:eastAsia="仿宋_GB2312"/>
                <w:color w:val="000000"/>
                <w:sz w:val="28"/>
                <w:szCs w:val="28"/>
              </w:rPr>
            </w:pPr>
            <w:r>
              <w:rPr>
                <w:rFonts w:hint="eastAsia" w:ascii="仿宋_GB2312" w:hAnsi="宋体" w:eastAsia="仿宋_GB2312"/>
                <w:color w:val="000000"/>
                <w:sz w:val="28"/>
                <w:szCs w:val="28"/>
              </w:rPr>
              <w:t>完成系统实施</w:t>
            </w:r>
          </w:p>
        </w:tc>
      </w:tr>
    </w:tbl>
    <w:p>
      <w:pPr>
        <w:pStyle w:val="6"/>
        <w:numPr>
          <w:ilvl w:val="0"/>
          <w:numId w:val="1"/>
        </w:numPr>
        <w:spacing w:before="40" w:after="40" w:line="480" w:lineRule="atLeast"/>
        <w:jc w:val="left"/>
        <w:rPr>
          <w:rFonts w:ascii="仿宋_GB2312" w:eastAsia="仿宋_GB2312"/>
          <w:color w:val="000000"/>
          <w:sz w:val="28"/>
          <w:szCs w:val="28"/>
        </w:rPr>
      </w:pPr>
      <w:r>
        <w:rPr>
          <w:rFonts w:hint="eastAsia" w:ascii="仿宋_GB2312" w:eastAsia="仿宋_GB2312"/>
          <w:color w:val="000000"/>
          <w:sz w:val="28"/>
          <w:szCs w:val="28"/>
        </w:rPr>
        <w:br w:type="page"/>
      </w:r>
      <w:bookmarkStart w:id="99" w:name="_Toc3125"/>
      <w:r>
        <w:rPr>
          <w:rFonts w:hint="eastAsia" w:ascii="仿宋_GB2312" w:eastAsia="仿宋_GB2312"/>
          <w:color w:val="000000"/>
          <w:szCs w:val="28"/>
        </w:rPr>
        <w:t>设计开发需求</w:t>
      </w:r>
      <w:bookmarkEnd w:id="99"/>
    </w:p>
    <w:p>
      <w:pPr>
        <w:pStyle w:val="7"/>
        <w:numPr>
          <w:ilvl w:val="0"/>
          <w:numId w:val="3"/>
        </w:numPr>
        <w:overflowPunct w:val="0"/>
        <w:autoSpaceDE w:val="0"/>
        <w:autoSpaceDN w:val="0"/>
        <w:adjustRightInd w:val="0"/>
        <w:spacing w:before="0" w:after="60" w:line="480" w:lineRule="atLeast"/>
        <w:ind w:firstLine="0"/>
        <w:textAlignment w:val="baseline"/>
        <w:rPr>
          <w:rFonts w:ascii="仿宋_GB2312" w:eastAsia="仿宋_GB2312"/>
          <w:color w:val="000000"/>
          <w:sz w:val="28"/>
          <w:szCs w:val="28"/>
        </w:rPr>
      </w:pPr>
      <w:bookmarkStart w:id="100" w:name="_Toc29208"/>
      <w:r>
        <w:rPr>
          <w:rFonts w:hint="eastAsia" w:ascii="仿宋_GB2312" w:eastAsia="仿宋_GB2312"/>
          <w:color w:val="000000"/>
          <w:sz w:val="28"/>
          <w:szCs w:val="28"/>
        </w:rPr>
        <w:t>功能性需求</w:t>
      </w:r>
      <w:bookmarkEnd w:id="100"/>
    </w:p>
    <w:p>
      <w:pPr>
        <w:pStyle w:val="8"/>
        <w:numPr>
          <w:ilvl w:val="0"/>
          <w:numId w:val="4"/>
        </w:numPr>
        <w:spacing w:before="0" w:after="0" w:line="480" w:lineRule="atLeast"/>
        <w:rPr>
          <w:rFonts w:ascii="仿宋_GB2312" w:eastAsia="仿宋_GB2312" w:cs="宋体"/>
          <w:color w:val="000000"/>
          <w:lang w:val="zh-CN"/>
        </w:rPr>
      </w:pPr>
      <w:r>
        <w:rPr>
          <w:rFonts w:hint="eastAsia" w:ascii="仿宋_GB2312" w:eastAsia="仿宋_GB2312" w:cs="宋体"/>
          <w:color w:val="000000"/>
          <w:lang w:val="zh-CN"/>
        </w:rPr>
        <w:t>设计工作</w:t>
      </w:r>
    </w:p>
    <w:p>
      <w:pPr>
        <w:spacing w:line="480" w:lineRule="atLeast"/>
        <w:ind w:firstLine="426"/>
        <w:rPr>
          <w:rFonts w:ascii="仿宋_GB2312" w:hAnsi="宋体" w:eastAsia="仿宋_GB2312"/>
          <w:color w:val="000000"/>
          <w:sz w:val="28"/>
          <w:szCs w:val="28"/>
        </w:rPr>
      </w:pPr>
      <w:r>
        <w:rPr>
          <w:rFonts w:hint="eastAsia" w:ascii="仿宋_GB2312" w:hAnsi="宋体" w:eastAsia="仿宋_GB2312"/>
          <w:color w:val="000000"/>
          <w:sz w:val="28"/>
          <w:szCs w:val="28"/>
        </w:rPr>
        <w:t>完成</w:t>
      </w:r>
      <w:r>
        <w:rPr>
          <w:rFonts w:hint="eastAsia" w:ascii="仿宋_GB2312" w:hAnsi="宋体" w:eastAsia="仿宋_GB2312"/>
          <w:color w:val="000000"/>
          <w:sz w:val="28"/>
          <w:szCs w:val="28"/>
          <w:lang w:val="zh-CN"/>
        </w:rPr>
        <w:t>基础数据管理、价格管理、</w:t>
      </w:r>
      <w:r>
        <w:rPr>
          <w:rFonts w:hint="eastAsia" w:ascii="仿宋_GB2312" w:hAnsi="宋体" w:eastAsia="仿宋_GB2312"/>
          <w:color w:val="000000"/>
          <w:sz w:val="28"/>
          <w:szCs w:val="28"/>
        </w:rPr>
        <w:t>结算依据</w:t>
      </w:r>
      <w:r>
        <w:rPr>
          <w:rFonts w:hint="eastAsia" w:ascii="仿宋_GB2312" w:hAnsi="宋体" w:eastAsia="仿宋_GB2312"/>
          <w:color w:val="000000"/>
          <w:sz w:val="28"/>
          <w:szCs w:val="28"/>
          <w:lang w:val="zh-CN"/>
        </w:rPr>
        <w:t>管理、查询统计4</w:t>
      </w:r>
      <w:r>
        <w:rPr>
          <w:rFonts w:hint="eastAsia" w:ascii="仿宋_GB2312" w:hAnsi="宋体" w:eastAsia="仿宋_GB2312"/>
          <w:color w:val="000000"/>
          <w:sz w:val="28"/>
          <w:szCs w:val="28"/>
        </w:rPr>
        <w:t>个任务内容的需求分析和系统设计工作。其中，需求分析包括需求调研、需求梳理和需求确认，系统设计包括功能设计、非功能性设计、数据库设计、安全防护设计、灾备设计、可视化设计等。</w:t>
      </w:r>
    </w:p>
    <w:p>
      <w:pPr>
        <w:pStyle w:val="8"/>
        <w:numPr>
          <w:ilvl w:val="0"/>
          <w:numId w:val="4"/>
        </w:numPr>
        <w:spacing w:before="0" w:after="0" w:line="480" w:lineRule="atLeast"/>
        <w:rPr>
          <w:rFonts w:ascii="仿宋_GB2312" w:eastAsia="仿宋_GB2312" w:cs="宋体"/>
          <w:color w:val="000000"/>
          <w:lang w:val="zh-CN"/>
        </w:rPr>
      </w:pPr>
      <w:r>
        <w:rPr>
          <w:rFonts w:hint="eastAsia" w:ascii="仿宋_GB2312" w:eastAsia="仿宋_GB2312" w:cs="宋体"/>
          <w:color w:val="000000"/>
          <w:lang w:val="zh-CN"/>
        </w:rPr>
        <w:t>开发工作</w:t>
      </w:r>
    </w:p>
    <w:p>
      <w:pPr>
        <w:spacing w:line="480" w:lineRule="atLeast"/>
        <w:ind w:firstLine="426"/>
        <w:rPr>
          <w:rFonts w:ascii="仿宋_GB2312" w:hAnsi="宋体" w:eastAsia="仿宋_GB2312"/>
          <w:color w:val="000000"/>
          <w:sz w:val="28"/>
          <w:szCs w:val="28"/>
          <w:lang w:val="zh-CN"/>
        </w:rPr>
      </w:pPr>
      <w:r>
        <w:rPr>
          <w:rFonts w:hint="eastAsia" w:ascii="仿宋_GB2312" w:hAnsi="宋体" w:eastAsia="仿宋_GB2312"/>
          <w:color w:val="000000"/>
          <w:sz w:val="28"/>
          <w:szCs w:val="28"/>
          <w:lang w:val="zh-CN"/>
        </w:rPr>
        <w:t>完成基础数据管理、价格管理、</w:t>
      </w:r>
      <w:r>
        <w:rPr>
          <w:rFonts w:hint="eastAsia" w:ascii="仿宋_GB2312" w:hAnsi="宋体" w:eastAsia="仿宋_GB2312"/>
          <w:color w:val="000000"/>
          <w:sz w:val="28"/>
          <w:szCs w:val="28"/>
        </w:rPr>
        <w:t>结算依据</w:t>
      </w:r>
      <w:r>
        <w:rPr>
          <w:rFonts w:hint="eastAsia" w:ascii="仿宋_GB2312" w:hAnsi="宋体" w:eastAsia="仿宋_GB2312"/>
          <w:color w:val="000000"/>
          <w:sz w:val="28"/>
          <w:szCs w:val="28"/>
          <w:lang w:val="zh-CN"/>
        </w:rPr>
        <w:t>管理、查询统计4个任务内容的开发工作。</w:t>
      </w:r>
    </w:p>
    <w:p>
      <w:pPr>
        <w:pStyle w:val="9"/>
        <w:numPr>
          <w:ilvl w:val="4"/>
          <w:numId w:val="0"/>
        </w:numPr>
        <w:tabs>
          <w:tab w:val="left" w:pos="0"/>
          <w:tab w:val="left" w:pos="426"/>
        </w:tabs>
        <w:spacing w:before="160" w:after="170" w:line="480" w:lineRule="atLeast"/>
        <w:ind w:left="426"/>
        <w:jc w:val="left"/>
        <w:rPr>
          <w:rFonts w:ascii="仿宋_GB2312" w:hAnsi="宋体" w:eastAsia="仿宋_GB2312"/>
          <w:color w:val="000000"/>
          <w:lang w:val="zh-CN"/>
        </w:rPr>
      </w:pPr>
      <w:r>
        <w:rPr>
          <w:rFonts w:hint="eastAsia" w:ascii="仿宋_GB2312" w:hAnsi="宋体" w:eastAsia="仿宋_GB2312"/>
          <w:color w:val="000000"/>
          <w:lang w:val="zh-CN"/>
        </w:rPr>
        <w:t>基础数据管理</w:t>
      </w:r>
    </w:p>
    <w:p>
      <w:pPr>
        <w:spacing w:line="480" w:lineRule="atLeast"/>
        <w:ind w:firstLine="560" w:firstLineChars="200"/>
        <w:rPr>
          <w:rFonts w:ascii="仿宋_GB2312" w:hAnsi="宋体" w:eastAsia="仿宋_GB2312"/>
          <w:color w:val="000000"/>
          <w:sz w:val="28"/>
          <w:szCs w:val="28"/>
        </w:rPr>
      </w:pPr>
      <w:r>
        <w:rPr>
          <w:rFonts w:hint="eastAsia" w:ascii="仿宋_GB2312" w:eastAsia="仿宋_GB2312"/>
          <w:color w:val="000000"/>
          <w:sz w:val="28"/>
          <w:szCs w:val="28"/>
          <w:lang w:val="zh-CN"/>
        </w:rPr>
        <w:t>包含基础数据管理等一级任务项，具体功能要求详见附</w:t>
      </w:r>
      <w:r>
        <w:rPr>
          <w:rFonts w:hint="eastAsia" w:ascii="仿宋_GB2312" w:hAnsi="宋体" w:eastAsia="仿宋_GB2312"/>
          <w:color w:val="000000"/>
          <w:sz w:val="28"/>
          <w:szCs w:val="28"/>
        </w:rPr>
        <w:t>件1。</w:t>
      </w:r>
    </w:p>
    <w:p>
      <w:pPr>
        <w:pStyle w:val="9"/>
        <w:numPr>
          <w:ilvl w:val="4"/>
          <w:numId w:val="0"/>
        </w:numPr>
        <w:tabs>
          <w:tab w:val="left" w:pos="0"/>
          <w:tab w:val="left" w:pos="426"/>
        </w:tabs>
        <w:spacing w:before="160" w:after="170" w:line="480" w:lineRule="atLeast"/>
        <w:ind w:left="426"/>
        <w:jc w:val="left"/>
        <w:rPr>
          <w:rFonts w:ascii="仿宋_GB2312" w:hAnsi="宋体" w:eastAsia="仿宋_GB2312"/>
          <w:color w:val="000000"/>
          <w:lang w:val="zh-CN"/>
        </w:rPr>
      </w:pPr>
      <w:r>
        <w:rPr>
          <w:rFonts w:hint="eastAsia" w:ascii="仿宋_GB2312" w:hAnsi="宋体" w:eastAsia="仿宋_GB2312"/>
          <w:color w:val="000000"/>
          <w:lang w:val="zh-CN"/>
        </w:rPr>
        <w:t>价格管理</w:t>
      </w:r>
    </w:p>
    <w:p>
      <w:pPr>
        <w:spacing w:line="480" w:lineRule="atLeast"/>
        <w:ind w:firstLine="560" w:firstLineChars="200"/>
        <w:rPr>
          <w:rFonts w:ascii="仿宋_GB2312" w:hAnsi="宋体" w:eastAsia="仿宋_GB2312"/>
          <w:color w:val="000000"/>
          <w:sz w:val="28"/>
          <w:szCs w:val="28"/>
        </w:rPr>
      </w:pPr>
      <w:r>
        <w:rPr>
          <w:rFonts w:hint="eastAsia" w:ascii="仿宋_GB2312" w:eastAsia="仿宋_GB2312"/>
          <w:color w:val="000000"/>
          <w:sz w:val="28"/>
          <w:szCs w:val="28"/>
          <w:lang w:val="zh-CN"/>
        </w:rPr>
        <w:t>包含价格管理等一级任务项，具体功能要求详见附</w:t>
      </w:r>
      <w:r>
        <w:rPr>
          <w:rFonts w:hint="eastAsia" w:ascii="仿宋_GB2312" w:hAnsi="宋体" w:eastAsia="仿宋_GB2312"/>
          <w:color w:val="000000"/>
          <w:sz w:val="28"/>
          <w:szCs w:val="28"/>
        </w:rPr>
        <w:t>件1。</w:t>
      </w:r>
    </w:p>
    <w:p>
      <w:pPr>
        <w:pStyle w:val="9"/>
        <w:numPr>
          <w:ilvl w:val="4"/>
          <w:numId w:val="0"/>
        </w:numPr>
        <w:tabs>
          <w:tab w:val="left" w:pos="0"/>
          <w:tab w:val="left" w:pos="426"/>
        </w:tabs>
        <w:spacing w:before="160" w:after="170" w:line="480" w:lineRule="atLeast"/>
        <w:ind w:left="426"/>
        <w:jc w:val="left"/>
        <w:rPr>
          <w:rFonts w:ascii="仿宋_GB2312" w:hAnsi="宋体" w:eastAsia="仿宋_GB2312"/>
          <w:color w:val="000000"/>
          <w:lang w:val="zh-CN"/>
        </w:rPr>
      </w:pPr>
      <w:r>
        <w:rPr>
          <w:rFonts w:hint="eastAsia" w:ascii="仿宋_GB2312" w:hAnsi="宋体" w:eastAsia="仿宋_GB2312"/>
          <w:color w:val="000000"/>
          <w:lang w:val="zh-CN"/>
        </w:rPr>
        <w:t>结算依据管理</w:t>
      </w:r>
    </w:p>
    <w:p>
      <w:pPr>
        <w:spacing w:line="480" w:lineRule="atLeast"/>
        <w:ind w:firstLine="560" w:firstLineChars="200"/>
        <w:rPr>
          <w:rFonts w:ascii="仿宋_GB2312" w:hAnsi="宋体" w:eastAsia="仿宋_GB2312"/>
          <w:color w:val="000000"/>
          <w:sz w:val="28"/>
          <w:szCs w:val="28"/>
        </w:rPr>
      </w:pPr>
      <w:r>
        <w:rPr>
          <w:rFonts w:hint="eastAsia" w:ascii="仿宋_GB2312" w:eastAsia="仿宋_GB2312"/>
          <w:color w:val="000000"/>
          <w:sz w:val="28"/>
          <w:szCs w:val="28"/>
          <w:lang w:val="zh-CN"/>
        </w:rPr>
        <w:t>包含</w:t>
      </w:r>
      <w:r>
        <w:rPr>
          <w:rFonts w:hint="eastAsia" w:ascii="仿宋_GB2312" w:hAnsi="宋体" w:eastAsia="仿宋_GB2312"/>
          <w:color w:val="000000"/>
          <w:sz w:val="28"/>
          <w:szCs w:val="28"/>
        </w:rPr>
        <w:t>结算依据</w:t>
      </w:r>
      <w:r>
        <w:rPr>
          <w:rFonts w:hint="eastAsia" w:ascii="仿宋_GB2312" w:hAnsi="宋体" w:eastAsia="仿宋_GB2312"/>
          <w:color w:val="000000"/>
          <w:sz w:val="28"/>
          <w:szCs w:val="28"/>
          <w:lang w:val="zh-CN"/>
        </w:rPr>
        <w:t>管理</w:t>
      </w:r>
      <w:r>
        <w:rPr>
          <w:rFonts w:hint="eastAsia" w:ascii="仿宋_GB2312" w:eastAsia="仿宋_GB2312"/>
          <w:color w:val="000000"/>
          <w:sz w:val="28"/>
          <w:szCs w:val="28"/>
          <w:lang w:val="zh-CN"/>
        </w:rPr>
        <w:t>等一级任务项，具体功能要求详见附</w:t>
      </w:r>
      <w:r>
        <w:rPr>
          <w:rFonts w:hint="eastAsia" w:ascii="仿宋_GB2312" w:hAnsi="宋体" w:eastAsia="仿宋_GB2312"/>
          <w:color w:val="000000"/>
          <w:sz w:val="28"/>
          <w:szCs w:val="28"/>
        </w:rPr>
        <w:t>件1。</w:t>
      </w:r>
    </w:p>
    <w:p>
      <w:pPr>
        <w:pStyle w:val="9"/>
        <w:numPr>
          <w:ilvl w:val="4"/>
          <w:numId w:val="0"/>
        </w:numPr>
        <w:tabs>
          <w:tab w:val="left" w:pos="0"/>
          <w:tab w:val="left" w:pos="426"/>
        </w:tabs>
        <w:spacing w:before="160" w:after="170" w:line="480" w:lineRule="atLeast"/>
        <w:ind w:left="426"/>
        <w:jc w:val="left"/>
        <w:rPr>
          <w:rFonts w:ascii="仿宋_GB2312" w:hAnsi="宋体" w:eastAsia="仿宋_GB2312"/>
          <w:color w:val="000000"/>
          <w:lang w:val="zh-CN"/>
        </w:rPr>
      </w:pPr>
      <w:r>
        <w:rPr>
          <w:rFonts w:hint="eastAsia" w:ascii="仿宋_GB2312" w:hAnsi="宋体" w:eastAsia="仿宋_GB2312"/>
          <w:color w:val="000000"/>
          <w:lang w:val="zh-CN"/>
        </w:rPr>
        <w:t>查询统计</w:t>
      </w:r>
    </w:p>
    <w:p>
      <w:pPr>
        <w:spacing w:line="480" w:lineRule="atLeast"/>
        <w:ind w:firstLine="560" w:firstLineChars="200"/>
        <w:rPr>
          <w:rFonts w:ascii="仿宋_GB2312" w:eastAsia="仿宋_GB2312"/>
          <w:color w:val="000000"/>
          <w:sz w:val="28"/>
          <w:szCs w:val="28"/>
          <w:lang w:val="zh-CN"/>
        </w:rPr>
      </w:pPr>
      <w:r>
        <w:rPr>
          <w:rFonts w:hint="eastAsia" w:ascii="仿宋_GB2312" w:eastAsia="仿宋_GB2312"/>
          <w:color w:val="000000"/>
          <w:sz w:val="28"/>
          <w:szCs w:val="28"/>
          <w:lang w:val="zh-CN"/>
        </w:rPr>
        <w:t>包含查询统计等一级任务项，具体功能要求详见附件1。</w:t>
      </w:r>
    </w:p>
    <w:p>
      <w:pPr>
        <w:pStyle w:val="7"/>
        <w:numPr>
          <w:ilvl w:val="0"/>
          <w:numId w:val="3"/>
        </w:numPr>
        <w:overflowPunct w:val="0"/>
        <w:autoSpaceDE w:val="0"/>
        <w:autoSpaceDN w:val="0"/>
        <w:adjustRightInd w:val="0"/>
        <w:spacing w:before="0" w:after="60" w:line="480" w:lineRule="atLeast"/>
        <w:ind w:firstLine="0"/>
        <w:textAlignment w:val="baseline"/>
        <w:rPr>
          <w:rFonts w:ascii="仿宋_GB2312" w:eastAsia="仿宋_GB2312"/>
          <w:color w:val="000000"/>
          <w:sz w:val="28"/>
          <w:szCs w:val="28"/>
        </w:rPr>
      </w:pPr>
      <w:bookmarkStart w:id="101" w:name="_Toc890"/>
      <w:r>
        <w:rPr>
          <w:rFonts w:hint="eastAsia" w:ascii="仿宋_GB2312" w:eastAsia="仿宋_GB2312"/>
          <w:color w:val="000000"/>
          <w:sz w:val="28"/>
          <w:szCs w:val="28"/>
        </w:rPr>
        <w:t>技术方案</w:t>
      </w:r>
      <w:bookmarkEnd w:id="101"/>
    </w:p>
    <w:p>
      <w:pPr>
        <w:spacing w:line="480" w:lineRule="atLeast"/>
        <w:ind w:firstLine="641"/>
        <w:rPr>
          <w:rFonts w:ascii="仿宋_GB2312" w:eastAsia="仿宋_GB2312"/>
          <w:sz w:val="28"/>
          <w:szCs w:val="28"/>
        </w:rPr>
      </w:pPr>
      <w:r>
        <w:rPr>
          <w:rFonts w:hint="eastAsia" w:ascii="仿宋_GB2312" w:hAnsi="宋体" w:eastAsia="仿宋_GB2312" w:cs="方正仿宋_GBK"/>
          <w:iCs/>
          <w:color w:val="000000"/>
          <w:sz w:val="28"/>
          <w:szCs w:val="28"/>
        </w:rPr>
        <w:t>新一代电费结算应用遵照公司信息化架构设计，按照多维精益管理体系变革和公司统一数据模型、企业级主数据等业务规则，两级市场按照统一系统架构进行设计，采用分层部署、相互解耦、模块化扩展的方式进行建设开发，平滑适配未来财务资源管理系统架构升级，达到“一系统、一平台、多场景、微应用”的技术要求。</w:t>
      </w:r>
    </w:p>
    <w:p>
      <w:pPr>
        <w:pStyle w:val="7"/>
        <w:numPr>
          <w:ilvl w:val="0"/>
          <w:numId w:val="3"/>
        </w:numPr>
        <w:overflowPunct w:val="0"/>
        <w:autoSpaceDE w:val="0"/>
        <w:autoSpaceDN w:val="0"/>
        <w:adjustRightInd w:val="0"/>
        <w:spacing w:before="0" w:after="60" w:line="480" w:lineRule="atLeast"/>
        <w:ind w:firstLine="0"/>
        <w:textAlignment w:val="baseline"/>
        <w:rPr>
          <w:rFonts w:ascii="仿宋_GB2312" w:eastAsia="仿宋_GB2312"/>
          <w:color w:val="000000"/>
          <w:sz w:val="28"/>
          <w:szCs w:val="28"/>
        </w:rPr>
      </w:pPr>
      <w:bookmarkStart w:id="102" w:name="_Toc29922"/>
      <w:r>
        <w:rPr>
          <w:rFonts w:hint="eastAsia" w:ascii="仿宋_GB2312" w:eastAsia="仿宋_GB2312"/>
          <w:color w:val="000000"/>
          <w:sz w:val="28"/>
          <w:szCs w:val="28"/>
        </w:rPr>
        <w:t>系统集成需求</w:t>
      </w:r>
      <w:bookmarkEnd w:id="102"/>
    </w:p>
    <w:p>
      <w:pPr>
        <w:spacing w:line="480" w:lineRule="atLeast"/>
        <w:ind w:firstLine="426"/>
        <w:rPr>
          <w:rFonts w:ascii="仿宋_GB2312" w:hAnsi="宋体" w:eastAsia="仿宋_GB2312"/>
          <w:color w:val="000000"/>
          <w:sz w:val="28"/>
          <w:szCs w:val="28"/>
        </w:rPr>
      </w:pPr>
      <w:r>
        <w:rPr>
          <w:rFonts w:hint="eastAsia" w:ascii="仿宋_GB2312" w:hAnsi="宋体" w:eastAsia="仿宋_GB2312"/>
          <w:color w:val="000000"/>
          <w:sz w:val="28"/>
          <w:szCs w:val="28"/>
          <w:lang w:val="zh-CN"/>
        </w:rPr>
        <w:t>完成与</w:t>
      </w:r>
      <w:r>
        <w:rPr>
          <w:rFonts w:hint="eastAsia" w:ascii="仿宋_GB2312" w:hAnsi="宋体" w:eastAsia="仿宋_GB2312"/>
          <w:color w:val="000000"/>
          <w:sz w:val="28"/>
          <w:szCs w:val="28"/>
        </w:rPr>
        <w:t>交易平台数据、调度系统数据、财务管控数据</w:t>
      </w:r>
      <w:r>
        <w:rPr>
          <w:rFonts w:hint="eastAsia" w:ascii="仿宋_GB2312" w:hAnsi="宋体" w:eastAsia="仿宋_GB2312"/>
          <w:color w:val="000000"/>
          <w:sz w:val="28"/>
          <w:szCs w:val="28"/>
          <w:lang w:val="zh-CN"/>
        </w:rPr>
        <w:t>等集成设计开发工作。</w:t>
      </w:r>
    </w:p>
    <w:p>
      <w:pPr>
        <w:pStyle w:val="6"/>
        <w:numPr>
          <w:ilvl w:val="0"/>
          <w:numId w:val="1"/>
        </w:numPr>
        <w:spacing w:before="40" w:after="40" w:line="480" w:lineRule="atLeast"/>
        <w:jc w:val="left"/>
        <w:rPr>
          <w:rFonts w:ascii="仿宋_GB2312" w:eastAsia="仿宋_GB2312"/>
          <w:color w:val="000000"/>
          <w:sz w:val="28"/>
          <w:szCs w:val="28"/>
        </w:rPr>
      </w:pPr>
      <w:bookmarkStart w:id="103" w:name="_Toc353996448"/>
      <w:bookmarkEnd w:id="103"/>
      <w:bookmarkStart w:id="104" w:name="_Toc353996670"/>
      <w:bookmarkEnd w:id="104"/>
      <w:bookmarkStart w:id="105" w:name="_Toc353995521"/>
      <w:bookmarkEnd w:id="105"/>
      <w:bookmarkStart w:id="106" w:name="_Toc353996227"/>
      <w:bookmarkEnd w:id="106"/>
      <w:bookmarkStart w:id="107" w:name="_Toc353996449"/>
      <w:bookmarkEnd w:id="107"/>
      <w:bookmarkStart w:id="108" w:name="_Toc353996669"/>
      <w:bookmarkEnd w:id="108"/>
      <w:bookmarkStart w:id="109" w:name="_Toc353996228"/>
      <w:bookmarkEnd w:id="109"/>
      <w:bookmarkStart w:id="110" w:name="_Toc353995520"/>
      <w:bookmarkEnd w:id="110"/>
      <w:bookmarkStart w:id="111" w:name="_Toc150770807"/>
      <w:bookmarkEnd w:id="111"/>
      <w:bookmarkStart w:id="112" w:name="_Toc151112836"/>
      <w:bookmarkEnd w:id="112"/>
      <w:bookmarkStart w:id="113" w:name="_Toc353995519"/>
      <w:bookmarkEnd w:id="113"/>
      <w:bookmarkStart w:id="114" w:name="_Toc353995518"/>
      <w:bookmarkEnd w:id="114"/>
      <w:bookmarkStart w:id="115" w:name="_Toc353996226"/>
      <w:bookmarkEnd w:id="115"/>
      <w:bookmarkStart w:id="116" w:name="_Toc353996447"/>
      <w:bookmarkEnd w:id="116"/>
      <w:bookmarkStart w:id="117" w:name="_Toc151113710"/>
      <w:bookmarkEnd w:id="117"/>
      <w:bookmarkStart w:id="118" w:name="_Toc151113792"/>
      <w:bookmarkEnd w:id="118"/>
      <w:bookmarkStart w:id="119" w:name="_Toc150770806"/>
      <w:bookmarkEnd w:id="119"/>
      <w:bookmarkStart w:id="120" w:name="_Toc151113628"/>
      <w:bookmarkEnd w:id="120"/>
      <w:bookmarkStart w:id="121" w:name="_Toc151112835"/>
      <w:bookmarkEnd w:id="121"/>
      <w:bookmarkStart w:id="122" w:name="_Toc151113485"/>
      <w:bookmarkEnd w:id="122"/>
      <w:bookmarkStart w:id="123" w:name="_Toc353996672"/>
      <w:bookmarkEnd w:id="123"/>
      <w:bookmarkStart w:id="124" w:name="_Toc353996450"/>
      <w:bookmarkEnd w:id="124"/>
      <w:bookmarkStart w:id="125" w:name="_Toc353996671"/>
      <w:bookmarkEnd w:id="125"/>
      <w:bookmarkStart w:id="126" w:name="_Toc353996229"/>
      <w:bookmarkEnd w:id="126"/>
      <w:bookmarkStart w:id="127" w:name="_Toc9203"/>
      <w:bookmarkStart w:id="128" w:name="_Toc140044923"/>
      <w:r>
        <w:rPr>
          <w:rFonts w:hint="eastAsia" w:ascii="仿宋_GB2312" w:eastAsia="仿宋_GB2312"/>
          <w:color w:val="000000"/>
          <w:sz w:val="28"/>
          <w:szCs w:val="28"/>
        </w:rPr>
        <w:t>非功能性要求</w:t>
      </w:r>
      <w:bookmarkEnd w:id="127"/>
    </w:p>
    <w:p>
      <w:pPr>
        <w:pStyle w:val="7"/>
        <w:numPr>
          <w:ilvl w:val="0"/>
          <w:numId w:val="5"/>
        </w:numPr>
        <w:overflowPunct w:val="0"/>
        <w:autoSpaceDE w:val="0"/>
        <w:autoSpaceDN w:val="0"/>
        <w:adjustRightInd w:val="0"/>
        <w:spacing w:before="0" w:after="60" w:line="480" w:lineRule="atLeast"/>
        <w:ind w:firstLine="0"/>
        <w:textAlignment w:val="baseline"/>
        <w:rPr>
          <w:rFonts w:ascii="仿宋_GB2312" w:eastAsia="仿宋_GB2312"/>
          <w:color w:val="000000"/>
          <w:sz w:val="28"/>
          <w:szCs w:val="28"/>
        </w:rPr>
      </w:pPr>
      <w:bookmarkStart w:id="129" w:name="_Toc375574930"/>
      <w:bookmarkStart w:id="130" w:name="_Toc28943"/>
      <w:bookmarkStart w:id="131" w:name="_Toc375679424"/>
      <w:bookmarkStart w:id="132" w:name="_Toc174546180"/>
      <w:r>
        <w:rPr>
          <w:rFonts w:hint="eastAsia" w:ascii="仿宋_GB2312" w:eastAsia="仿宋_GB2312"/>
          <w:color w:val="000000"/>
          <w:sz w:val="28"/>
          <w:szCs w:val="28"/>
        </w:rPr>
        <w:t>性能与可靠性</w:t>
      </w:r>
      <w:bookmarkEnd w:id="129"/>
      <w:bookmarkEnd w:id="130"/>
      <w:bookmarkEnd w:id="131"/>
    </w:p>
    <w:p>
      <w:pPr>
        <w:spacing w:line="480" w:lineRule="atLeast"/>
        <w:ind w:firstLine="426"/>
        <w:rPr>
          <w:rFonts w:ascii="仿宋_GB2312" w:hAnsi="宋体" w:eastAsia="仿宋_GB2312"/>
          <w:color w:val="000000"/>
          <w:sz w:val="28"/>
          <w:szCs w:val="28"/>
        </w:rPr>
      </w:pPr>
      <w:r>
        <w:rPr>
          <w:rFonts w:hint="eastAsia" w:ascii="仿宋_GB2312" w:hAnsi="宋体" w:eastAsia="仿宋_GB2312"/>
          <w:color w:val="000000"/>
          <w:sz w:val="28"/>
          <w:szCs w:val="28"/>
        </w:rPr>
        <w:t>1、系统的最大并发用户数不低于50。当系统进行多用户并发操作时，应满足如下要求：首页访问平均响应时间不得超过3秒；系统登录平均响应时间不得超过5秒；执行简单查询、添加和删除业务时，平均响应时间不得超过5秒；执行复杂的综合业务（同时包括查询、添加、删除等操作请求）时，平均响应时间不得超过8秒；在执行统计业务时，月统计业务的平均响应时间不得超过20秒，年统计业务的平均响应时间不得超过30秒。</w:t>
      </w:r>
    </w:p>
    <w:p>
      <w:pPr>
        <w:spacing w:line="480" w:lineRule="atLeast"/>
        <w:ind w:firstLine="426"/>
        <w:rPr>
          <w:rFonts w:ascii="仿宋_GB2312" w:hAnsi="宋体" w:eastAsia="仿宋_GB2312"/>
          <w:color w:val="000000"/>
          <w:sz w:val="28"/>
          <w:szCs w:val="28"/>
        </w:rPr>
      </w:pPr>
      <w:r>
        <w:rPr>
          <w:rFonts w:hint="eastAsia" w:ascii="仿宋_GB2312" w:hAnsi="宋体" w:eastAsia="仿宋_GB2312"/>
          <w:color w:val="000000"/>
          <w:kern w:val="0"/>
          <w:sz w:val="28"/>
          <w:szCs w:val="28"/>
        </w:rPr>
        <w:t>2、</w:t>
      </w:r>
      <w:r>
        <w:rPr>
          <w:rFonts w:hint="eastAsia" w:ascii="仿宋_GB2312" w:hAnsi="宋体" w:eastAsia="仿宋_GB2312"/>
          <w:color w:val="000000"/>
          <w:sz w:val="28"/>
          <w:szCs w:val="28"/>
        </w:rPr>
        <w:t>日常平均CPU占用率小于40%，忙时小于75%，内存占用率小于50%，最大并发时小于75%。</w:t>
      </w:r>
    </w:p>
    <w:p>
      <w:pPr>
        <w:spacing w:line="480" w:lineRule="atLeast"/>
        <w:ind w:firstLine="426"/>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3、系统稳定试运行三个月以上，运行安全、稳定，达到7×24h的可靠运行能力，年可用率＞99.97%，满足使用单位的有关要求。</w:t>
      </w:r>
    </w:p>
    <w:p>
      <w:pPr>
        <w:pStyle w:val="7"/>
        <w:numPr>
          <w:ilvl w:val="0"/>
          <w:numId w:val="5"/>
        </w:numPr>
        <w:overflowPunct w:val="0"/>
        <w:autoSpaceDE w:val="0"/>
        <w:autoSpaceDN w:val="0"/>
        <w:adjustRightInd w:val="0"/>
        <w:spacing w:before="0" w:after="60" w:line="480" w:lineRule="atLeast"/>
        <w:ind w:firstLine="0"/>
        <w:textAlignment w:val="baseline"/>
        <w:rPr>
          <w:rFonts w:ascii="仿宋_GB2312" w:eastAsia="仿宋_GB2312"/>
          <w:color w:val="000000"/>
          <w:sz w:val="28"/>
          <w:szCs w:val="28"/>
        </w:rPr>
      </w:pPr>
      <w:bookmarkStart w:id="133" w:name="_Toc375679425"/>
      <w:bookmarkStart w:id="134" w:name="_Toc375574931"/>
      <w:bookmarkStart w:id="135" w:name="_Toc3648"/>
      <w:r>
        <w:rPr>
          <w:rFonts w:hint="eastAsia" w:ascii="仿宋_GB2312" w:eastAsia="仿宋_GB2312"/>
          <w:color w:val="000000"/>
          <w:sz w:val="28"/>
          <w:szCs w:val="28"/>
        </w:rPr>
        <w:t>信息安全</w:t>
      </w:r>
      <w:bookmarkEnd w:id="133"/>
      <w:bookmarkEnd w:id="134"/>
      <w:bookmarkEnd w:id="135"/>
    </w:p>
    <w:p>
      <w:pPr>
        <w:spacing w:line="480" w:lineRule="atLeast"/>
        <w:ind w:firstLine="426"/>
        <w:rPr>
          <w:rFonts w:ascii="仿宋_GB2312" w:hAnsi="宋体" w:eastAsia="仿宋_GB2312"/>
          <w:color w:val="000000"/>
          <w:sz w:val="28"/>
          <w:szCs w:val="28"/>
          <w:highlight w:val="yellow"/>
        </w:rPr>
      </w:pPr>
      <w:bookmarkStart w:id="136" w:name="_Toc361579885"/>
      <w:bookmarkStart w:id="137" w:name="_Toc375679426"/>
      <w:bookmarkStart w:id="138" w:name="_Toc374453523"/>
      <w:bookmarkStart w:id="139" w:name="_Toc375574932"/>
      <w:r>
        <w:rPr>
          <w:rFonts w:hint="eastAsia" w:ascii="仿宋_GB2312" w:hAnsi="宋体" w:eastAsia="仿宋_GB2312"/>
          <w:kern w:val="0"/>
          <w:sz w:val="28"/>
          <w:szCs w:val="28"/>
        </w:rPr>
        <w:t>本项目信息系统，其安全防护依据《国家电网公司智能电网信息安全防护总体方案》（国家电网信息〔2011〕1727号）要求，遵循“分区分域、安全接入、动态感知、全面防护”的安全策略，按照等级保护三级系统要求进行安全防护设计，并根据业务系统的不断完善加强对网站的防护，最大限度的保障新一代电费结算应用的安全、可靠和稳定运行。</w:t>
      </w:r>
    </w:p>
    <w:p>
      <w:pPr>
        <w:pStyle w:val="7"/>
        <w:numPr>
          <w:ilvl w:val="0"/>
          <w:numId w:val="5"/>
        </w:numPr>
        <w:overflowPunct w:val="0"/>
        <w:autoSpaceDE w:val="0"/>
        <w:autoSpaceDN w:val="0"/>
        <w:adjustRightInd w:val="0"/>
        <w:spacing w:before="0" w:after="60" w:line="480" w:lineRule="atLeast"/>
        <w:ind w:firstLine="0"/>
        <w:textAlignment w:val="baseline"/>
        <w:rPr>
          <w:rFonts w:ascii="仿宋_GB2312" w:eastAsia="仿宋_GB2312"/>
          <w:color w:val="000000"/>
          <w:sz w:val="28"/>
          <w:szCs w:val="28"/>
        </w:rPr>
      </w:pPr>
      <w:bookmarkStart w:id="140" w:name="_Toc11980"/>
      <w:r>
        <w:rPr>
          <w:rFonts w:hint="eastAsia" w:ascii="仿宋_GB2312" w:eastAsia="仿宋_GB2312"/>
          <w:color w:val="000000"/>
          <w:sz w:val="28"/>
          <w:szCs w:val="28"/>
        </w:rPr>
        <w:t>应用及运行监控</w:t>
      </w:r>
      <w:bookmarkEnd w:id="136"/>
      <w:bookmarkEnd w:id="137"/>
      <w:bookmarkEnd w:id="138"/>
      <w:bookmarkEnd w:id="139"/>
      <w:bookmarkEnd w:id="140"/>
    </w:p>
    <w:p>
      <w:pPr>
        <w:spacing w:line="480" w:lineRule="atLeast"/>
        <w:ind w:firstLine="426"/>
        <w:rPr>
          <w:rFonts w:ascii="仿宋_GB2312" w:hAnsi="Arial" w:eastAsia="仿宋_GB2312"/>
          <w:color w:val="000000"/>
          <w:sz w:val="28"/>
          <w:szCs w:val="28"/>
        </w:rPr>
      </w:pPr>
      <w:r>
        <w:rPr>
          <w:rFonts w:hint="eastAsia" w:ascii="仿宋_GB2312" w:eastAsia="仿宋_GB2312"/>
          <w:color w:val="000000"/>
          <w:sz w:val="28"/>
          <w:szCs w:val="28"/>
        </w:rPr>
        <w:t>需满足国网</w:t>
      </w:r>
      <w:r>
        <w:rPr>
          <w:rFonts w:hint="eastAsia" w:ascii="仿宋_GB2312" w:hAnsi="Arial" w:eastAsia="仿宋_GB2312"/>
          <w:color w:val="000000"/>
          <w:sz w:val="28"/>
          <w:szCs w:val="28"/>
        </w:rPr>
        <w:t>信息通信调度运行支撑平台（SG-I6000）</w:t>
      </w:r>
      <w:r>
        <w:rPr>
          <w:rFonts w:hint="eastAsia" w:ascii="仿宋_GB2312" w:eastAsia="仿宋_GB2312"/>
          <w:color w:val="000000"/>
          <w:sz w:val="28"/>
          <w:szCs w:val="28"/>
        </w:rPr>
        <w:t>的接入需要，实现本项目的业务应用指标和系统运行指标的监控</w:t>
      </w:r>
      <w:r>
        <w:rPr>
          <w:rFonts w:hint="eastAsia" w:ascii="仿宋_GB2312" w:hAnsi="Arial" w:eastAsia="仿宋_GB2312"/>
          <w:color w:val="000000"/>
          <w:sz w:val="28"/>
          <w:szCs w:val="28"/>
        </w:rPr>
        <w:t>。</w:t>
      </w:r>
    </w:p>
    <w:p>
      <w:pPr>
        <w:pStyle w:val="7"/>
        <w:numPr>
          <w:ilvl w:val="0"/>
          <w:numId w:val="5"/>
        </w:numPr>
        <w:overflowPunct w:val="0"/>
        <w:autoSpaceDE w:val="0"/>
        <w:autoSpaceDN w:val="0"/>
        <w:adjustRightInd w:val="0"/>
        <w:spacing w:before="0" w:after="60" w:line="480" w:lineRule="atLeast"/>
        <w:ind w:firstLine="0"/>
        <w:textAlignment w:val="baseline"/>
        <w:rPr>
          <w:rFonts w:ascii="仿宋_GB2312" w:eastAsia="仿宋_GB2312"/>
          <w:color w:val="000000"/>
          <w:sz w:val="28"/>
          <w:szCs w:val="28"/>
        </w:rPr>
      </w:pPr>
      <w:bookmarkStart w:id="141" w:name="_Toc5052"/>
      <w:bookmarkStart w:id="142" w:name="_Toc375679427"/>
      <w:bookmarkStart w:id="143" w:name="_Toc375574933"/>
      <w:r>
        <w:rPr>
          <w:rFonts w:hint="eastAsia" w:ascii="仿宋_GB2312" w:eastAsia="仿宋_GB2312"/>
          <w:color w:val="000000"/>
          <w:sz w:val="28"/>
          <w:szCs w:val="28"/>
        </w:rPr>
        <w:t>可维护性</w:t>
      </w:r>
      <w:bookmarkEnd w:id="141"/>
      <w:bookmarkEnd w:id="142"/>
      <w:bookmarkEnd w:id="143"/>
    </w:p>
    <w:p>
      <w:pPr>
        <w:spacing w:line="480" w:lineRule="atLeast"/>
        <w:ind w:firstLine="426"/>
        <w:rPr>
          <w:rFonts w:ascii="仿宋_GB2312" w:hAnsi="宋体" w:eastAsia="仿宋_GB2312"/>
          <w:color w:val="000000"/>
          <w:sz w:val="28"/>
          <w:szCs w:val="28"/>
        </w:rPr>
      </w:pPr>
      <w:r>
        <w:rPr>
          <w:rFonts w:hint="eastAsia" w:ascii="仿宋_GB2312" w:hAnsi="宋体" w:eastAsia="仿宋_GB2312"/>
          <w:color w:val="000000"/>
          <w:sz w:val="28"/>
          <w:szCs w:val="28"/>
        </w:rPr>
        <w:t>为了便于运维人员对系统进行及时有效的维护，系统满足易理解、易分析、易配置、易修改、易测试的要求。</w:t>
      </w:r>
    </w:p>
    <w:p>
      <w:pPr>
        <w:pStyle w:val="7"/>
        <w:numPr>
          <w:ilvl w:val="0"/>
          <w:numId w:val="5"/>
        </w:numPr>
        <w:overflowPunct w:val="0"/>
        <w:autoSpaceDE w:val="0"/>
        <w:autoSpaceDN w:val="0"/>
        <w:adjustRightInd w:val="0"/>
        <w:spacing w:before="0" w:after="60" w:line="480" w:lineRule="atLeast"/>
        <w:ind w:firstLine="0"/>
        <w:textAlignment w:val="baseline"/>
        <w:rPr>
          <w:rFonts w:ascii="仿宋_GB2312" w:eastAsia="仿宋_GB2312"/>
          <w:color w:val="000000"/>
          <w:sz w:val="28"/>
          <w:szCs w:val="28"/>
        </w:rPr>
      </w:pPr>
      <w:bookmarkStart w:id="144" w:name="_Toc17506"/>
      <w:bookmarkStart w:id="145" w:name="_Toc375679428"/>
      <w:bookmarkStart w:id="146" w:name="_Toc375574934"/>
      <w:r>
        <w:rPr>
          <w:rFonts w:hint="eastAsia" w:ascii="仿宋_GB2312" w:eastAsia="仿宋_GB2312"/>
          <w:color w:val="000000"/>
          <w:sz w:val="28"/>
          <w:szCs w:val="28"/>
        </w:rPr>
        <w:t>易用性</w:t>
      </w:r>
      <w:bookmarkEnd w:id="144"/>
      <w:bookmarkEnd w:id="145"/>
      <w:bookmarkEnd w:id="146"/>
    </w:p>
    <w:p>
      <w:pPr>
        <w:spacing w:line="480" w:lineRule="atLeast"/>
        <w:ind w:firstLine="426"/>
        <w:rPr>
          <w:rFonts w:ascii="仿宋_GB2312" w:hAnsi="宋体" w:eastAsia="仿宋_GB2312"/>
          <w:color w:val="000000"/>
          <w:sz w:val="28"/>
          <w:szCs w:val="28"/>
        </w:rPr>
      </w:pPr>
      <w:r>
        <w:rPr>
          <w:rFonts w:hint="eastAsia" w:ascii="仿宋_GB2312" w:hAnsi="宋体" w:eastAsia="仿宋_GB2312"/>
          <w:color w:val="000000"/>
          <w:sz w:val="28"/>
          <w:szCs w:val="28"/>
        </w:rPr>
        <w:t>系统从用户体验维度出发，应满足页面布局合理，通用操作规范，出错处理、反馈与提示人性化等要求。</w:t>
      </w:r>
    </w:p>
    <w:p>
      <w:pPr>
        <w:pStyle w:val="7"/>
        <w:numPr>
          <w:ilvl w:val="0"/>
          <w:numId w:val="5"/>
        </w:numPr>
        <w:overflowPunct w:val="0"/>
        <w:autoSpaceDE w:val="0"/>
        <w:autoSpaceDN w:val="0"/>
        <w:adjustRightInd w:val="0"/>
        <w:spacing w:before="0" w:after="60" w:line="480" w:lineRule="atLeast"/>
        <w:ind w:firstLine="0"/>
        <w:textAlignment w:val="baseline"/>
        <w:rPr>
          <w:rFonts w:ascii="仿宋_GB2312" w:eastAsia="仿宋_GB2312"/>
          <w:color w:val="000000"/>
          <w:sz w:val="28"/>
          <w:szCs w:val="28"/>
        </w:rPr>
      </w:pPr>
      <w:bookmarkStart w:id="147" w:name="_Toc375679429"/>
      <w:bookmarkStart w:id="148" w:name="_Toc14972"/>
      <w:r>
        <w:rPr>
          <w:rFonts w:hint="eastAsia" w:ascii="仿宋_GB2312" w:eastAsia="仿宋_GB2312"/>
          <w:color w:val="000000"/>
          <w:sz w:val="28"/>
          <w:szCs w:val="28"/>
        </w:rPr>
        <w:t>系统灾备设计</w:t>
      </w:r>
      <w:bookmarkEnd w:id="147"/>
      <w:bookmarkEnd w:id="148"/>
    </w:p>
    <w:p>
      <w:pPr>
        <w:spacing w:line="480" w:lineRule="atLeast"/>
        <w:ind w:firstLine="425"/>
        <w:rPr>
          <w:rFonts w:ascii="仿宋_GB2312" w:eastAsia="仿宋_GB2312"/>
          <w:color w:val="000000"/>
          <w:sz w:val="28"/>
          <w:szCs w:val="28"/>
        </w:rPr>
      </w:pPr>
      <w:r>
        <w:rPr>
          <w:rFonts w:hint="eastAsia" w:ascii="仿宋_GB2312" w:hAnsi="宋体" w:eastAsia="仿宋_GB2312"/>
          <w:color w:val="000000"/>
          <w:sz w:val="28"/>
          <w:szCs w:val="28"/>
        </w:rPr>
        <w:t>乙方应满足本地数据备份、数据级灾备要求，</w:t>
      </w:r>
      <w:r>
        <w:rPr>
          <w:rFonts w:hint="eastAsia" w:ascii="仿宋_GB2312" w:eastAsia="仿宋_GB2312"/>
          <w:color w:val="000000"/>
          <w:sz w:val="28"/>
          <w:szCs w:val="28"/>
        </w:rPr>
        <w:t>根据国家电网公司灾备建设相关要求、应用和数据的特点，充分利用项目单位已有的软硬件资源，在应答文件中明确提出项目模块具体的备份、恢复方案，包括但不限于全备份、增量备份、归档日志备份、逻辑备份等策略，制定项目的灾备方案。</w:t>
      </w:r>
    </w:p>
    <w:bookmarkEnd w:id="132"/>
    <w:p>
      <w:pPr>
        <w:pStyle w:val="6"/>
        <w:numPr>
          <w:ilvl w:val="0"/>
          <w:numId w:val="1"/>
        </w:numPr>
        <w:spacing w:before="40" w:after="40" w:line="480" w:lineRule="atLeast"/>
        <w:jc w:val="left"/>
        <w:rPr>
          <w:rFonts w:ascii="仿宋_GB2312" w:eastAsia="仿宋_GB2312"/>
          <w:color w:val="000000"/>
          <w:sz w:val="28"/>
          <w:szCs w:val="28"/>
        </w:rPr>
      </w:pPr>
      <w:bookmarkStart w:id="149" w:name="_Toc353997126"/>
      <w:bookmarkEnd w:id="149"/>
      <w:bookmarkStart w:id="150" w:name="_Toc353996243"/>
      <w:bookmarkEnd w:id="150"/>
      <w:bookmarkStart w:id="151" w:name="_Toc353996902"/>
      <w:bookmarkEnd w:id="151"/>
      <w:bookmarkStart w:id="152" w:name="_Toc353996236"/>
      <w:bookmarkEnd w:id="152"/>
      <w:bookmarkStart w:id="153" w:name="_Toc353996459"/>
      <w:bookmarkEnd w:id="153"/>
      <w:bookmarkStart w:id="154" w:name="_Toc353997111"/>
      <w:bookmarkEnd w:id="154"/>
      <w:bookmarkStart w:id="155" w:name="_Toc353995542"/>
      <w:bookmarkEnd w:id="155"/>
      <w:bookmarkStart w:id="156" w:name="_Toc353996464"/>
      <w:bookmarkEnd w:id="156"/>
      <w:bookmarkStart w:id="157" w:name="_Toc353996894"/>
      <w:bookmarkEnd w:id="157"/>
      <w:bookmarkStart w:id="158" w:name="_Toc353996469"/>
      <w:bookmarkEnd w:id="158"/>
      <w:bookmarkStart w:id="159" w:name="_Toc353996248"/>
      <w:bookmarkEnd w:id="159"/>
      <w:bookmarkStart w:id="160" w:name="_Toc353996239"/>
      <w:bookmarkEnd w:id="160"/>
      <w:bookmarkStart w:id="161" w:name="_Toc353996250"/>
      <w:bookmarkEnd w:id="161"/>
      <w:bookmarkStart w:id="162" w:name="_Toc353996681"/>
      <w:bookmarkEnd w:id="162"/>
      <w:bookmarkStart w:id="163" w:name="_Toc353996242"/>
      <w:bookmarkEnd w:id="163"/>
      <w:bookmarkStart w:id="164" w:name="_Toc353996693"/>
      <w:bookmarkEnd w:id="164"/>
      <w:bookmarkStart w:id="165" w:name="_Toc353995536"/>
      <w:bookmarkEnd w:id="165"/>
      <w:bookmarkStart w:id="166" w:name="_Toc353997125"/>
      <w:bookmarkEnd w:id="166"/>
      <w:bookmarkStart w:id="167" w:name="_Toc353996245"/>
      <w:bookmarkEnd w:id="167"/>
      <w:bookmarkStart w:id="168" w:name="_Toc353995534"/>
      <w:bookmarkEnd w:id="168"/>
      <w:bookmarkStart w:id="169" w:name="_Toc353995532"/>
      <w:bookmarkEnd w:id="169"/>
      <w:bookmarkStart w:id="170" w:name="_Toc353996686"/>
      <w:bookmarkEnd w:id="170"/>
      <w:bookmarkStart w:id="171" w:name="_Toc353996240"/>
      <w:bookmarkEnd w:id="171"/>
      <w:bookmarkStart w:id="172" w:name="_Toc353996461"/>
      <w:bookmarkEnd w:id="172"/>
      <w:bookmarkStart w:id="173" w:name="_Toc353996457"/>
      <w:bookmarkEnd w:id="173"/>
      <w:bookmarkStart w:id="174" w:name="_Toc353995531"/>
      <w:bookmarkEnd w:id="174"/>
      <w:bookmarkStart w:id="175" w:name="_Toc353996901"/>
      <w:bookmarkEnd w:id="175"/>
      <w:bookmarkStart w:id="176" w:name="_Toc353995535"/>
      <w:bookmarkEnd w:id="176"/>
      <w:bookmarkStart w:id="177" w:name="_Toc353996899"/>
      <w:bookmarkEnd w:id="177"/>
      <w:bookmarkStart w:id="178" w:name="_Toc353996900"/>
      <w:bookmarkEnd w:id="178"/>
      <w:bookmarkStart w:id="179" w:name="_Toc353996684"/>
      <w:bookmarkEnd w:id="179"/>
      <w:bookmarkStart w:id="180" w:name="_Toc353996695"/>
      <w:bookmarkEnd w:id="180"/>
      <w:bookmarkStart w:id="181" w:name="_Toc353996456"/>
      <w:bookmarkEnd w:id="181"/>
      <w:bookmarkStart w:id="182" w:name="_Toc353996687"/>
      <w:bookmarkEnd w:id="182"/>
      <w:bookmarkStart w:id="183" w:name="_Toc353997118"/>
      <w:bookmarkEnd w:id="183"/>
      <w:bookmarkStart w:id="184" w:name="_Toc353996465"/>
      <w:bookmarkEnd w:id="184"/>
      <w:bookmarkStart w:id="185" w:name="_Toc353997114"/>
      <w:bookmarkEnd w:id="185"/>
      <w:bookmarkStart w:id="186" w:name="_Toc353996235"/>
      <w:bookmarkEnd w:id="186"/>
      <w:bookmarkStart w:id="187" w:name="_Toc353996685"/>
      <w:bookmarkEnd w:id="187"/>
      <w:bookmarkStart w:id="188" w:name="_Toc353997119"/>
      <w:bookmarkEnd w:id="188"/>
      <w:bookmarkStart w:id="189" w:name="_Toc353996909"/>
      <w:bookmarkEnd w:id="189"/>
      <w:bookmarkStart w:id="190" w:name="_Toc353995528"/>
      <w:bookmarkEnd w:id="190"/>
      <w:bookmarkStart w:id="191" w:name="_Toc353996678"/>
      <w:bookmarkEnd w:id="191"/>
      <w:bookmarkStart w:id="192" w:name="_Toc353996463"/>
      <w:bookmarkEnd w:id="192"/>
      <w:bookmarkStart w:id="193" w:name="_Toc353996244"/>
      <w:bookmarkEnd w:id="193"/>
      <w:bookmarkStart w:id="194" w:name="_Toc353996682"/>
      <w:bookmarkEnd w:id="194"/>
      <w:bookmarkStart w:id="195" w:name="_Toc353996237"/>
      <w:bookmarkEnd w:id="195"/>
      <w:bookmarkStart w:id="196" w:name="_Toc353996688"/>
      <w:bookmarkEnd w:id="196"/>
      <w:bookmarkStart w:id="197" w:name="_Toc353996911"/>
      <w:bookmarkEnd w:id="197"/>
      <w:bookmarkStart w:id="198" w:name="_Toc353996679"/>
      <w:bookmarkEnd w:id="198"/>
      <w:bookmarkStart w:id="199" w:name="_Toc353996252"/>
      <w:bookmarkEnd w:id="199"/>
      <w:bookmarkStart w:id="200" w:name="_Toc353996466"/>
      <w:bookmarkEnd w:id="200"/>
      <w:bookmarkStart w:id="201" w:name="_Toc353996690"/>
      <w:bookmarkEnd w:id="201"/>
      <w:bookmarkStart w:id="202" w:name="_Toc353995544"/>
      <w:bookmarkEnd w:id="202"/>
      <w:bookmarkStart w:id="203" w:name="_Toc353996905"/>
      <w:bookmarkEnd w:id="203"/>
      <w:bookmarkStart w:id="204" w:name="_Toc353995527"/>
      <w:bookmarkEnd w:id="204"/>
      <w:bookmarkStart w:id="205" w:name="_Toc353997116"/>
      <w:bookmarkEnd w:id="205"/>
      <w:bookmarkStart w:id="206" w:name="_Toc353997123"/>
      <w:bookmarkEnd w:id="206"/>
      <w:bookmarkStart w:id="207" w:name="_Toc353996904"/>
      <w:bookmarkEnd w:id="207"/>
      <w:bookmarkStart w:id="208" w:name="_Toc353996468"/>
      <w:bookmarkEnd w:id="208"/>
      <w:bookmarkStart w:id="209" w:name="_Toc353996906"/>
      <w:bookmarkEnd w:id="209"/>
      <w:bookmarkStart w:id="210" w:name="_Toc353996455"/>
      <w:bookmarkEnd w:id="210"/>
      <w:bookmarkStart w:id="211" w:name="_Toc353996683"/>
      <w:bookmarkEnd w:id="211"/>
      <w:bookmarkStart w:id="212" w:name="_Toc353996241"/>
      <w:bookmarkEnd w:id="212"/>
      <w:bookmarkStart w:id="213" w:name="_Toc353997120"/>
      <w:bookmarkEnd w:id="213"/>
      <w:bookmarkStart w:id="214" w:name="_Toc353996462"/>
      <w:bookmarkEnd w:id="214"/>
      <w:bookmarkStart w:id="215" w:name="_Toc353996680"/>
      <w:bookmarkEnd w:id="215"/>
      <w:bookmarkStart w:id="216" w:name="_Toc353995533"/>
      <w:bookmarkEnd w:id="216"/>
      <w:bookmarkStart w:id="217" w:name="_Toc353997117"/>
      <w:bookmarkEnd w:id="217"/>
      <w:bookmarkStart w:id="218" w:name="_Toc353995540"/>
      <w:bookmarkEnd w:id="218"/>
      <w:bookmarkStart w:id="219" w:name="_Toc353997115"/>
      <w:bookmarkEnd w:id="219"/>
      <w:bookmarkStart w:id="220" w:name="_Toc353995537"/>
      <w:bookmarkEnd w:id="220"/>
      <w:bookmarkStart w:id="221" w:name="_Toc353996897"/>
      <w:bookmarkEnd w:id="221"/>
      <w:bookmarkStart w:id="222" w:name="_Toc353996903"/>
      <w:bookmarkEnd w:id="222"/>
      <w:bookmarkStart w:id="223" w:name="_Toc353996898"/>
      <w:bookmarkEnd w:id="223"/>
      <w:bookmarkStart w:id="224" w:name="_Toc353997128"/>
      <w:bookmarkEnd w:id="224"/>
      <w:bookmarkStart w:id="225" w:name="_Toc353996460"/>
      <w:bookmarkEnd w:id="225"/>
      <w:bookmarkStart w:id="226" w:name="_Toc353996910"/>
      <w:bookmarkEnd w:id="226"/>
      <w:bookmarkStart w:id="227" w:name="_Toc353996689"/>
      <w:bookmarkEnd w:id="227"/>
      <w:bookmarkStart w:id="228" w:name="_Toc353995543"/>
      <w:bookmarkEnd w:id="228"/>
      <w:bookmarkStart w:id="229" w:name="_Toc353996471"/>
      <w:bookmarkEnd w:id="229"/>
      <w:bookmarkStart w:id="230" w:name="_Toc353995541"/>
      <w:bookmarkEnd w:id="230"/>
      <w:bookmarkStart w:id="231" w:name="_Toc353997113"/>
      <w:bookmarkEnd w:id="231"/>
      <w:bookmarkStart w:id="232" w:name="_Toc353997122"/>
      <w:bookmarkEnd w:id="232"/>
      <w:bookmarkStart w:id="233" w:name="_Toc353996692"/>
      <w:bookmarkEnd w:id="233"/>
      <w:bookmarkStart w:id="234" w:name="_Toc353996895"/>
      <w:bookmarkEnd w:id="234"/>
      <w:bookmarkStart w:id="235" w:name="_Toc353996694"/>
      <w:bookmarkEnd w:id="235"/>
      <w:bookmarkStart w:id="236" w:name="_Toc353996896"/>
      <w:bookmarkEnd w:id="236"/>
      <w:bookmarkStart w:id="237" w:name="_Toc353997110"/>
      <w:bookmarkEnd w:id="237"/>
      <w:bookmarkStart w:id="238" w:name="_Toc353997112"/>
      <w:bookmarkEnd w:id="238"/>
      <w:bookmarkStart w:id="239" w:name="_Toc353996893"/>
      <w:bookmarkEnd w:id="239"/>
      <w:bookmarkStart w:id="240" w:name="_Toc353996467"/>
      <w:bookmarkEnd w:id="240"/>
      <w:bookmarkStart w:id="241" w:name="_Toc353996458"/>
      <w:bookmarkEnd w:id="241"/>
      <w:bookmarkStart w:id="242" w:name="_Toc353996238"/>
      <w:bookmarkEnd w:id="242"/>
      <w:bookmarkStart w:id="243" w:name="_Toc353996247"/>
      <w:bookmarkEnd w:id="243"/>
      <w:bookmarkStart w:id="244" w:name="_Toc353995538"/>
      <w:bookmarkEnd w:id="244"/>
      <w:bookmarkStart w:id="245" w:name="_Toc353996677"/>
      <w:bookmarkEnd w:id="245"/>
      <w:bookmarkStart w:id="246" w:name="_Toc353995526"/>
      <w:bookmarkEnd w:id="246"/>
      <w:bookmarkStart w:id="247" w:name="_Toc353996908"/>
      <w:bookmarkEnd w:id="247"/>
      <w:bookmarkStart w:id="248" w:name="_Toc353996234"/>
      <w:bookmarkEnd w:id="248"/>
      <w:bookmarkStart w:id="249" w:name="_Toc353996472"/>
      <w:bookmarkEnd w:id="249"/>
      <w:bookmarkStart w:id="250" w:name="_Toc353996470"/>
      <w:bookmarkEnd w:id="250"/>
      <w:bookmarkStart w:id="251" w:name="_Toc353995530"/>
      <w:bookmarkEnd w:id="251"/>
      <w:bookmarkStart w:id="252" w:name="_Toc353996473"/>
      <w:bookmarkEnd w:id="252"/>
      <w:bookmarkStart w:id="253" w:name="_Toc353996246"/>
      <w:bookmarkEnd w:id="253"/>
      <w:bookmarkStart w:id="254" w:name="_Toc353995539"/>
      <w:bookmarkEnd w:id="254"/>
      <w:bookmarkStart w:id="255" w:name="_Toc353997127"/>
      <w:bookmarkEnd w:id="255"/>
      <w:bookmarkStart w:id="256" w:name="_Toc353995529"/>
      <w:bookmarkEnd w:id="256"/>
      <w:bookmarkStart w:id="257" w:name="_Toc353997121"/>
      <w:bookmarkEnd w:id="257"/>
      <w:bookmarkStart w:id="258" w:name="_Toc353996251"/>
      <w:bookmarkEnd w:id="258"/>
      <w:bookmarkStart w:id="259" w:name="_Toc353997124"/>
      <w:bookmarkEnd w:id="259"/>
      <w:bookmarkStart w:id="260" w:name="_Toc353996691"/>
      <w:bookmarkEnd w:id="260"/>
      <w:bookmarkStart w:id="261" w:name="_Toc353996907"/>
      <w:bookmarkEnd w:id="261"/>
      <w:bookmarkStart w:id="262" w:name="_Toc353996249"/>
      <w:bookmarkEnd w:id="262"/>
      <w:bookmarkStart w:id="263" w:name="_Toc3260"/>
      <w:bookmarkStart w:id="264" w:name="_Toc300927580"/>
      <w:bookmarkStart w:id="265" w:name="_Toc134946755"/>
      <w:bookmarkStart w:id="266" w:name="_Toc174546185"/>
      <w:bookmarkStart w:id="267" w:name="_Toc255808403"/>
      <w:bookmarkStart w:id="268" w:name="OLE_LINK1"/>
      <w:bookmarkStart w:id="269" w:name="OLE_LINK2"/>
      <w:r>
        <w:rPr>
          <w:rFonts w:hint="eastAsia" w:ascii="仿宋_GB2312" w:eastAsia="仿宋_GB2312"/>
          <w:color w:val="000000"/>
          <w:sz w:val="28"/>
          <w:szCs w:val="28"/>
        </w:rPr>
        <w:t>交付成果</w:t>
      </w:r>
      <w:bookmarkEnd w:id="263"/>
    </w:p>
    <w:p>
      <w:pPr>
        <w:spacing w:line="480" w:lineRule="atLeas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乙方应提供整个项目的成果，包括但不限于以下文档：</w:t>
      </w:r>
    </w:p>
    <w:bookmarkEnd w:id="128"/>
    <w:bookmarkEnd w:id="264"/>
    <w:bookmarkEnd w:id="265"/>
    <w:bookmarkEnd w:id="266"/>
    <w:bookmarkEnd w:id="267"/>
    <w:bookmarkEnd w:id="268"/>
    <w:bookmarkEnd w:id="269"/>
    <w:tbl>
      <w:tblPr>
        <w:tblStyle w:val="22"/>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3626"/>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5" w:type="dxa"/>
            <w:shd w:val="clear" w:color="auto" w:fill="C6D9F1"/>
            <w:vAlign w:val="center"/>
          </w:tcPr>
          <w:p>
            <w:pPr>
              <w:spacing w:line="480" w:lineRule="atLeast"/>
              <w:jc w:val="center"/>
              <w:rPr>
                <w:rFonts w:ascii="仿宋_GB2312" w:hAnsi="宋体" w:eastAsia="仿宋_GB2312"/>
                <w:b/>
                <w:color w:val="000000"/>
                <w:sz w:val="28"/>
                <w:szCs w:val="28"/>
              </w:rPr>
            </w:pPr>
            <w:r>
              <w:rPr>
                <w:rFonts w:hint="eastAsia" w:ascii="仿宋_GB2312" w:hAnsi="宋体" w:eastAsia="仿宋_GB2312"/>
                <w:b/>
                <w:color w:val="000000"/>
                <w:sz w:val="28"/>
                <w:szCs w:val="28"/>
              </w:rPr>
              <w:t>序号</w:t>
            </w:r>
          </w:p>
        </w:tc>
        <w:tc>
          <w:tcPr>
            <w:tcW w:w="3626" w:type="dxa"/>
            <w:shd w:val="clear" w:color="auto" w:fill="C6D9F1"/>
            <w:vAlign w:val="center"/>
          </w:tcPr>
          <w:p>
            <w:pPr>
              <w:spacing w:line="480" w:lineRule="atLeast"/>
              <w:jc w:val="center"/>
              <w:rPr>
                <w:rFonts w:ascii="仿宋_GB2312" w:hAnsi="宋体" w:eastAsia="仿宋_GB2312"/>
                <w:b/>
                <w:color w:val="000000"/>
                <w:sz w:val="28"/>
                <w:szCs w:val="28"/>
              </w:rPr>
            </w:pPr>
            <w:r>
              <w:rPr>
                <w:rFonts w:hint="eastAsia" w:ascii="仿宋_GB2312" w:hAnsi="宋体" w:eastAsia="仿宋_GB2312"/>
                <w:b/>
                <w:color w:val="000000"/>
                <w:sz w:val="28"/>
                <w:szCs w:val="28"/>
              </w:rPr>
              <w:t>成果名称</w:t>
            </w:r>
          </w:p>
        </w:tc>
        <w:tc>
          <w:tcPr>
            <w:tcW w:w="4536" w:type="dxa"/>
            <w:shd w:val="clear" w:color="auto" w:fill="C6D9F1"/>
            <w:vAlign w:val="center"/>
          </w:tcPr>
          <w:p>
            <w:pPr>
              <w:spacing w:line="480" w:lineRule="atLeast"/>
              <w:jc w:val="center"/>
              <w:rPr>
                <w:rFonts w:ascii="仿宋_GB2312" w:hAnsi="宋体" w:eastAsia="仿宋_GB2312"/>
                <w:b/>
                <w:color w:val="000000"/>
                <w:sz w:val="28"/>
                <w:szCs w:val="28"/>
              </w:rPr>
            </w:pPr>
            <w:r>
              <w:rPr>
                <w:rFonts w:hint="eastAsia" w:ascii="仿宋_GB2312" w:hAnsi="宋体" w:eastAsia="仿宋_GB2312"/>
                <w:b/>
                <w:color w:val="000000"/>
                <w:sz w:val="28"/>
                <w:szCs w:val="28"/>
              </w:rPr>
              <w:t>成果说明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5" w:type="dxa"/>
            <w:vAlign w:val="center"/>
          </w:tcPr>
          <w:p>
            <w:pPr>
              <w:spacing w:line="48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1</w:t>
            </w:r>
          </w:p>
        </w:tc>
        <w:tc>
          <w:tcPr>
            <w:tcW w:w="3626" w:type="dxa"/>
            <w:vAlign w:val="center"/>
          </w:tcPr>
          <w:p>
            <w:pPr>
              <w:tabs>
                <w:tab w:val="left" w:pos="426"/>
              </w:tabs>
              <w:spacing w:line="48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软件需求说明书</w:t>
            </w:r>
          </w:p>
        </w:tc>
        <w:tc>
          <w:tcPr>
            <w:tcW w:w="4536" w:type="dxa"/>
            <w:vAlign w:val="center"/>
          </w:tcPr>
          <w:p>
            <w:pPr>
              <w:pStyle w:val="38"/>
              <w:spacing w:after="0" w:afterLines="0" w:line="480" w:lineRule="atLeas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需求分析报告</w:t>
            </w:r>
          </w:p>
          <w:p>
            <w:pPr>
              <w:spacing w:line="480" w:lineRule="atLeast"/>
              <w:jc w:val="center"/>
              <w:rPr>
                <w:rFonts w:ascii="仿宋_GB2312" w:hAnsi="宋体" w:eastAsia="仿宋_GB2312"/>
                <w:color w:val="000000"/>
                <w:sz w:val="28"/>
                <w:szCs w:val="28"/>
              </w:rPr>
            </w:pPr>
            <w:r>
              <w:rPr>
                <w:rFonts w:hint="eastAsia" w:ascii="仿宋_GB2312" w:hAnsi="宋体" w:eastAsia="仿宋_GB2312" w:cs="宋体"/>
                <w:color w:val="000000"/>
                <w:kern w:val="0"/>
                <w:sz w:val="28"/>
                <w:szCs w:val="28"/>
              </w:rPr>
              <w:t>用户需求分析说明书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5" w:type="dxa"/>
            <w:vAlign w:val="center"/>
          </w:tcPr>
          <w:p>
            <w:pPr>
              <w:spacing w:line="48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2</w:t>
            </w:r>
          </w:p>
        </w:tc>
        <w:tc>
          <w:tcPr>
            <w:tcW w:w="3626" w:type="dxa"/>
            <w:vAlign w:val="center"/>
          </w:tcPr>
          <w:p>
            <w:pPr>
              <w:tabs>
                <w:tab w:val="left" w:pos="426"/>
              </w:tabs>
              <w:spacing w:line="48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概要设计报告</w:t>
            </w:r>
          </w:p>
        </w:tc>
        <w:tc>
          <w:tcPr>
            <w:tcW w:w="4536" w:type="dxa"/>
            <w:vAlign w:val="center"/>
          </w:tcPr>
          <w:p>
            <w:pPr>
              <w:spacing w:line="48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项目总体设计方案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5" w:type="dxa"/>
            <w:vAlign w:val="center"/>
          </w:tcPr>
          <w:p>
            <w:pPr>
              <w:spacing w:line="48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3</w:t>
            </w:r>
          </w:p>
        </w:tc>
        <w:tc>
          <w:tcPr>
            <w:tcW w:w="3626" w:type="dxa"/>
            <w:vAlign w:val="center"/>
          </w:tcPr>
          <w:p>
            <w:pPr>
              <w:tabs>
                <w:tab w:val="left" w:pos="426"/>
              </w:tabs>
              <w:spacing w:line="480" w:lineRule="atLeast"/>
              <w:jc w:val="center"/>
              <w:rPr>
                <w:rFonts w:ascii="仿宋_GB2312" w:hAnsi="宋体" w:eastAsia="仿宋_GB2312" w:cs="宋体"/>
                <w:sz w:val="28"/>
                <w:szCs w:val="28"/>
              </w:rPr>
            </w:pPr>
            <w:r>
              <w:rPr>
                <w:rFonts w:hint="eastAsia" w:ascii="仿宋_GB2312" w:hAnsi="宋体" w:eastAsia="仿宋_GB2312" w:cs="宋体"/>
                <w:sz w:val="28"/>
                <w:szCs w:val="28"/>
              </w:rPr>
              <w:t>技术服务承诺书</w:t>
            </w:r>
          </w:p>
        </w:tc>
        <w:tc>
          <w:tcPr>
            <w:tcW w:w="4536" w:type="dxa"/>
            <w:vAlign w:val="center"/>
          </w:tcPr>
          <w:p>
            <w:pPr>
              <w:tabs>
                <w:tab w:val="left" w:pos="426"/>
              </w:tabs>
              <w:spacing w:line="480" w:lineRule="atLeast"/>
              <w:jc w:val="center"/>
              <w:rPr>
                <w:rFonts w:ascii="仿宋_GB2312" w:hAnsi="宋体" w:eastAsia="仿宋_GB2312" w:cs="宋体"/>
                <w:sz w:val="28"/>
                <w:szCs w:val="28"/>
              </w:rPr>
            </w:pPr>
            <w:r>
              <w:rPr>
                <w:rFonts w:hint="eastAsia" w:ascii="仿宋_GB2312" w:hAnsi="宋体" w:eastAsia="仿宋_GB2312" w:cs="宋体"/>
                <w:sz w:val="28"/>
                <w:szCs w:val="28"/>
              </w:rPr>
              <w:t>技术服务承诺书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5" w:type="dxa"/>
            <w:vAlign w:val="center"/>
          </w:tcPr>
          <w:p>
            <w:pPr>
              <w:spacing w:line="48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4</w:t>
            </w:r>
          </w:p>
        </w:tc>
        <w:tc>
          <w:tcPr>
            <w:tcW w:w="3626" w:type="dxa"/>
            <w:vAlign w:val="center"/>
          </w:tcPr>
          <w:p>
            <w:pPr>
              <w:spacing w:line="48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实施方案</w:t>
            </w:r>
          </w:p>
        </w:tc>
        <w:tc>
          <w:tcPr>
            <w:tcW w:w="4536" w:type="dxa"/>
            <w:vAlign w:val="center"/>
          </w:tcPr>
          <w:p>
            <w:pPr>
              <w:spacing w:line="48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5" w:type="dxa"/>
            <w:vAlign w:val="center"/>
          </w:tcPr>
          <w:p>
            <w:pPr>
              <w:spacing w:line="48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5</w:t>
            </w:r>
          </w:p>
        </w:tc>
        <w:tc>
          <w:tcPr>
            <w:tcW w:w="3626" w:type="dxa"/>
            <w:vAlign w:val="center"/>
          </w:tcPr>
          <w:p>
            <w:pPr>
              <w:pStyle w:val="38"/>
              <w:spacing w:after="0" w:afterLines="0" w:line="480" w:lineRule="atLeast"/>
              <w:jc w:val="center"/>
              <w:rPr>
                <w:rFonts w:ascii="仿宋_GB2312" w:hAnsi="宋体" w:eastAsia="仿宋_GB2312"/>
                <w:color w:val="000000"/>
                <w:sz w:val="28"/>
                <w:szCs w:val="28"/>
              </w:rPr>
            </w:pPr>
            <w:r>
              <w:rPr>
                <w:rFonts w:hint="eastAsia" w:ascii="仿宋_GB2312" w:hAnsi="宋体" w:eastAsia="仿宋_GB2312" w:cs="宋体"/>
                <w:color w:val="000000"/>
                <w:sz w:val="28"/>
                <w:szCs w:val="28"/>
              </w:rPr>
              <w:t>上线试运行申请单</w:t>
            </w:r>
          </w:p>
        </w:tc>
        <w:tc>
          <w:tcPr>
            <w:tcW w:w="4536" w:type="dxa"/>
            <w:vAlign w:val="center"/>
          </w:tcPr>
          <w:p>
            <w:pPr>
              <w:pStyle w:val="38"/>
              <w:spacing w:after="0" w:afterLines="0" w:line="480" w:lineRule="atLeast"/>
              <w:jc w:val="center"/>
              <w:rPr>
                <w:rFonts w:ascii="仿宋_GB2312" w:hAnsi="宋体" w:eastAsia="仿宋_GB2312"/>
                <w:color w:val="000000"/>
                <w:sz w:val="28"/>
                <w:szCs w:val="28"/>
              </w:rPr>
            </w:pPr>
            <w:r>
              <w:rPr>
                <w:rFonts w:hint="eastAsia" w:ascii="仿宋_GB2312" w:hAnsi="宋体" w:eastAsia="仿宋_GB2312" w:cs="宋体"/>
                <w:color w:val="000000"/>
                <w:sz w:val="28"/>
                <w:szCs w:val="28"/>
              </w:rPr>
              <w:t>上线试运行申请单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5" w:type="dxa"/>
            <w:vAlign w:val="center"/>
          </w:tcPr>
          <w:p>
            <w:pPr>
              <w:spacing w:line="48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6</w:t>
            </w:r>
          </w:p>
        </w:tc>
        <w:tc>
          <w:tcPr>
            <w:tcW w:w="3626" w:type="dxa"/>
            <w:vAlign w:val="center"/>
          </w:tcPr>
          <w:p>
            <w:pPr>
              <w:widowControl/>
              <w:spacing w:line="48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用户使用反馈报告</w:t>
            </w:r>
          </w:p>
        </w:tc>
        <w:tc>
          <w:tcPr>
            <w:tcW w:w="4536" w:type="dxa"/>
            <w:vAlign w:val="center"/>
          </w:tcPr>
          <w:p>
            <w:pPr>
              <w:widowControl/>
              <w:spacing w:line="48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用户使用反馈报告（《系统试用（使用）报告》）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5" w:type="dxa"/>
            <w:vAlign w:val="center"/>
          </w:tcPr>
          <w:p>
            <w:pPr>
              <w:spacing w:line="48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7</w:t>
            </w:r>
          </w:p>
        </w:tc>
        <w:tc>
          <w:tcPr>
            <w:tcW w:w="3626" w:type="dxa"/>
            <w:vAlign w:val="center"/>
          </w:tcPr>
          <w:p>
            <w:pPr>
              <w:widowControl/>
              <w:spacing w:line="48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验收申请单</w:t>
            </w:r>
          </w:p>
        </w:tc>
        <w:tc>
          <w:tcPr>
            <w:tcW w:w="4536" w:type="dxa"/>
            <w:vAlign w:val="center"/>
          </w:tcPr>
          <w:p>
            <w:pPr>
              <w:widowControl/>
              <w:spacing w:line="48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验收申请单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5" w:type="dxa"/>
            <w:vAlign w:val="center"/>
          </w:tcPr>
          <w:p>
            <w:pPr>
              <w:spacing w:line="480" w:lineRule="atLeast"/>
              <w:jc w:val="center"/>
              <w:rPr>
                <w:rFonts w:ascii="仿宋_GB2312" w:hAnsi="宋体" w:eastAsia="仿宋_GB2312"/>
                <w:color w:val="000000"/>
                <w:sz w:val="28"/>
                <w:szCs w:val="28"/>
              </w:rPr>
            </w:pPr>
            <w:r>
              <w:rPr>
                <w:rFonts w:hint="eastAsia" w:ascii="仿宋_GB2312" w:hAnsi="宋体" w:eastAsia="仿宋_GB2312"/>
                <w:color w:val="000000"/>
                <w:sz w:val="28"/>
                <w:szCs w:val="28"/>
              </w:rPr>
              <w:t>8</w:t>
            </w:r>
          </w:p>
        </w:tc>
        <w:tc>
          <w:tcPr>
            <w:tcW w:w="3626" w:type="dxa"/>
            <w:vAlign w:val="center"/>
          </w:tcPr>
          <w:p>
            <w:pPr>
              <w:widowControl/>
              <w:spacing w:line="48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竣工总结报告（工作报告、技术报告）</w:t>
            </w:r>
          </w:p>
        </w:tc>
        <w:tc>
          <w:tcPr>
            <w:tcW w:w="4536" w:type="dxa"/>
            <w:vAlign w:val="center"/>
          </w:tcPr>
          <w:p>
            <w:pPr>
              <w:widowControl/>
              <w:spacing w:line="48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竣工总结报告（工作报告、技术报告）</w:t>
            </w:r>
          </w:p>
        </w:tc>
      </w:tr>
    </w:tbl>
    <w:p>
      <w:pPr>
        <w:spacing w:line="480" w:lineRule="atLeast"/>
        <w:rPr>
          <w:rFonts w:ascii="仿宋_GB2312" w:eastAsia="仿宋_GB2312"/>
          <w:color w:val="000000"/>
          <w:sz w:val="24"/>
          <w:szCs w:val="24"/>
        </w:rPr>
      </w:pPr>
    </w:p>
    <w:p>
      <w:pPr>
        <w:pStyle w:val="6"/>
        <w:numPr>
          <w:ilvl w:val="1"/>
          <w:numId w:val="0"/>
        </w:numPr>
        <w:spacing w:line="480" w:lineRule="atLeast"/>
        <w:jc w:val="left"/>
        <w:rPr>
          <w:rFonts w:ascii="仿宋_GB2312" w:eastAsia="仿宋_GB2312"/>
          <w:color w:val="000000"/>
          <w:sz w:val="24"/>
          <w:szCs w:val="24"/>
        </w:rPr>
      </w:pPr>
      <w:bookmarkStart w:id="270" w:name="_Toc10695"/>
      <w:bookmarkStart w:id="271" w:name="_Toc21059"/>
      <w:r>
        <w:rPr>
          <w:rFonts w:hint="eastAsia" w:ascii="仿宋_GB2312" w:eastAsia="仿宋_GB2312"/>
          <w:color w:val="000000"/>
          <w:sz w:val="24"/>
          <w:szCs w:val="24"/>
        </w:rPr>
        <w:br w:type="page"/>
      </w:r>
      <w:r>
        <w:rPr>
          <w:rFonts w:hint="eastAsia" w:ascii="仿宋_GB2312" w:eastAsia="仿宋_GB2312"/>
          <w:color w:val="000000"/>
          <w:sz w:val="28"/>
          <w:szCs w:val="24"/>
        </w:rPr>
        <w:t>附件 开发功能清单</w:t>
      </w:r>
      <w:bookmarkEnd w:id="270"/>
      <w:bookmarkEnd w:id="271"/>
    </w:p>
    <w:p>
      <w:pPr>
        <w:pStyle w:val="7"/>
        <w:numPr>
          <w:ilvl w:val="2"/>
          <w:numId w:val="0"/>
        </w:numPr>
        <w:spacing w:line="276" w:lineRule="auto"/>
        <w:rPr>
          <w:rFonts w:ascii="仿宋_GB2312" w:eastAsia="仿宋_GB2312"/>
          <w:color w:val="000000"/>
          <w:sz w:val="24"/>
          <w:szCs w:val="24"/>
        </w:rPr>
      </w:pPr>
      <w:bookmarkStart w:id="272" w:name="_Toc32521"/>
      <w:r>
        <w:rPr>
          <w:rFonts w:hint="eastAsia" w:ascii="仿宋_GB2312" w:eastAsia="仿宋_GB2312"/>
          <w:color w:val="000000"/>
          <w:sz w:val="24"/>
          <w:szCs w:val="24"/>
        </w:rPr>
        <w:t>附件1：设计开发任务清单</w:t>
      </w:r>
      <w:bookmarkEnd w:id="272"/>
    </w:p>
    <w:p>
      <w:pPr>
        <w:spacing w:line="276"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表1-1基础数据管理（新增）</w:t>
      </w:r>
    </w:p>
    <w:tbl>
      <w:tblPr>
        <w:tblStyle w:val="22"/>
        <w:tblW w:w="84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598"/>
        <w:gridCol w:w="772"/>
        <w:gridCol w:w="852"/>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285" w:hRule="atLeast"/>
        </w:trPr>
        <w:tc>
          <w:tcPr>
            <w:tcW w:w="5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一级任务项</w:t>
            </w:r>
          </w:p>
        </w:tc>
        <w:tc>
          <w:tcPr>
            <w:tcW w:w="772"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二级任务项</w:t>
            </w:r>
          </w:p>
        </w:tc>
        <w:tc>
          <w:tcPr>
            <w:tcW w:w="852"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状态</w:t>
            </w:r>
          </w:p>
        </w:tc>
        <w:tc>
          <w:tcPr>
            <w:tcW w:w="6240" w:type="dxa"/>
            <w:tcBorders>
              <w:top w:val="single" w:color="auto" w:sz="4" w:space="0"/>
              <w:left w:val="nil"/>
              <w:bottom w:val="single" w:color="auto" w:sz="4" w:space="0"/>
              <w:right w:val="single" w:color="auto" w:sz="4" w:space="0"/>
            </w:tcBorders>
            <w:vAlign w:val="center"/>
          </w:tcPr>
          <w:p>
            <w:pPr>
              <w:spacing w:line="276" w:lineRule="auto"/>
              <w:ind w:firstLine="482" w:firstLineChars="200"/>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1088" w:hRule="atLeast"/>
        </w:trPr>
        <w:tc>
          <w:tcPr>
            <w:tcW w:w="59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宋体" w:eastAsia="仿宋_GB2312"/>
                <w:color w:val="000000"/>
                <w:sz w:val="24"/>
                <w:szCs w:val="24"/>
              </w:rPr>
            </w:pPr>
            <w:r>
              <w:rPr>
                <w:rFonts w:hint="eastAsia" w:ascii="仿宋_GB2312" w:hAnsi="宋体" w:eastAsia="仿宋_GB2312"/>
                <w:color w:val="000000"/>
                <w:sz w:val="24"/>
                <w:szCs w:val="24"/>
              </w:rPr>
              <w:t>基础数据管理</w:t>
            </w:r>
          </w:p>
        </w:tc>
        <w:tc>
          <w:tcPr>
            <w:tcW w:w="772"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市场成员管理</w:t>
            </w:r>
          </w:p>
        </w:tc>
        <w:tc>
          <w:tcPr>
            <w:tcW w:w="852"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新增</w:t>
            </w:r>
          </w:p>
        </w:tc>
        <w:tc>
          <w:tcPr>
            <w:tcW w:w="6240" w:type="dxa"/>
            <w:tcBorders>
              <w:top w:val="single" w:color="auto" w:sz="4" w:space="0"/>
              <w:left w:val="nil"/>
              <w:bottom w:val="single" w:color="auto" w:sz="4" w:space="0"/>
              <w:right w:val="single" w:color="auto" w:sz="4" w:space="0"/>
            </w:tcBorders>
            <w:vAlign w:val="center"/>
          </w:tcPr>
          <w:p>
            <w:pPr>
              <w:spacing w:line="276" w:lineRule="auto"/>
              <w:ind w:firstLine="480" w:firstLineChars="200"/>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市场成员作为出具账单进行开票结算的法人单位，需具有独立法人资格。统一电力市场结算系统中市场成员，包括发电企业、电网公司等。完成各市场成员的注册、变更、注销、退市、税率版本等生命周期的行为；当市场成员信息发生变更、注销、退市等行为时，原基础模型的模型数据记录及模型对应的业务数据记录仍保存，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1417" w:hRule="atLeast"/>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_GB2312" w:hAnsi="宋体" w:eastAsia="仿宋_GB2312"/>
                <w:color w:val="000000"/>
                <w:sz w:val="24"/>
                <w:szCs w:val="24"/>
              </w:rPr>
            </w:pPr>
          </w:p>
        </w:tc>
        <w:tc>
          <w:tcPr>
            <w:tcW w:w="772"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发电机组</w:t>
            </w:r>
          </w:p>
          <w:p>
            <w:pPr>
              <w:spacing w:line="276" w:lineRule="auto"/>
              <w:ind w:firstLine="480" w:firstLineChars="200"/>
              <w:jc w:val="center"/>
              <w:rPr>
                <w:rFonts w:ascii="仿宋_GB2312" w:hAnsi="宋体" w:eastAsia="仿宋_GB2312"/>
                <w:color w:val="000000"/>
                <w:sz w:val="24"/>
                <w:szCs w:val="24"/>
              </w:rPr>
            </w:pPr>
          </w:p>
        </w:tc>
        <w:tc>
          <w:tcPr>
            <w:tcW w:w="852"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新增</w:t>
            </w:r>
          </w:p>
        </w:tc>
        <w:tc>
          <w:tcPr>
            <w:tcW w:w="6240" w:type="dxa"/>
            <w:tcBorders>
              <w:top w:val="single" w:color="auto" w:sz="4" w:space="0"/>
              <w:left w:val="nil"/>
              <w:bottom w:val="single" w:color="auto" w:sz="4" w:space="0"/>
              <w:right w:val="single" w:color="auto" w:sz="4" w:space="0"/>
            </w:tcBorders>
            <w:vAlign w:val="center"/>
          </w:tcPr>
          <w:p>
            <w:pPr>
              <w:spacing w:line="276" w:lineRule="auto"/>
              <w:ind w:firstLine="480" w:firstLineChars="200"/>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发电机组为市场成员法人单位下属的参与交易结算的最小单位，定义机组模型，需记录机组模型发生变更的全部过程，方便查看历史变更记录。电费结算应用的发电机组模型应具备与交易平台模型的同步功能，支持与交易、调度中心等系统间的数据关联和映射。进入市场后的机组自身发生增容、脱硫、脱硝等变化后，需通过交易平台提交变更申请，经审核通过后更改注册信息，将更新后的信息及时传递至电费结算应用。数据信息包含包括机组编码、名称、生效时间、失效时间、所属市场成员、装机容量、发电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285" w:hRule="atLeast"/>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_GB2312" w:hAnsi="宋体" w:eastAsia="仿宋_GB2312"/>
                <w:color w:val="000000"/>
                <w:sz w:val="24"/>
                <w:szCs w:val="24"/>
              </w:rPr>
            </w:pPr>
          </w:p>
        </w:tc>
        <w:tc>
          <w:tcPr>
            <w:tcW w:w="772"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路径管理</w:t>
            </w:r>
          </w:p>
        </w:tc>
        <w:tc>
          <w:tcPr>
            <w:tcW w:w="852"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新增</w:t>
            </w:r>
          </w:p>
        </w:tc>
        <w:tc>
          <w:tcPr>
            <w:tcW w:w="6240" w:type="dxa"/>
            <w:tcBorders>
              <w:top w:val="single" w:color="auto" w:sz="4" w:space="0"/>
              <w:left w:val="nil"/>
              <w:bottom w:val="single" w:color="auto" w:sz="4" w:space="0"/>
              <w:right w:val="single" w:color="auto" w:sz="4" w:space="0"/>
            </w:tcBorders>
            <w:vAlign w:val="center"/>
          </w:tcPr>
          <w:p>
            <w:pPr>
              <w:spacing w:line="276" w:lineRule="auto"/>
              <w:ind w:firstLine="480" w:firstLineChars="200"/>
              <w:jc w:val="left"/>
              <w:rPr>
                <w:rFonts w:ascii="仿宋_GB2312" w:hAnsi="宋体" w:eastAsia="仿宋_GB2312"/>
                <w:color w:val="000000"/>
                <w:sz w:val="24"/>
                <w:szCs w:val="24"/>
              </w:rPr>
            </w:pPr>
            <w:r>
              <w:rPr>
                <w:rFonts w:hint="eastAsia" w:ascii="仿宋_GB2312" w:hAnsi="宋体" w:eastAsia="仿宋_GB2312"/>
                <w:color w:val="000000"/>
                <w:sz w:val="24"/>
                <w:szCs w:val="24"/>
              </w:rPr>
              <w:t>交易路径定义交易输电的起止信息。交易路径包括路径编码、路径名称、送端机构、受端机构。例如：甘肃送浙江。路径由一系列的通道组成，将在价格方案中体现。交易路径由总部、分部在省间系统维护，各省公司可以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90" w:hRule="atLeast"/>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_GB2312" w:hAnsi="宋体" w:eastAsia="仿宋_GB2312"/>
                <w:color w:val="000000"/>
                <w:sz w:val="24"/>
                <w:szCs w:val="24"/>
              </w:rPr>
            </w:pPr>
          </w:p>
        </w:tc>
        <w:tc>
          <w:tcPr>
            <w:tcW w:w="772"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通道管理</w:t>
            </w:r>
          </w:p>
        </w:tc>
        <w:tc>
          <w:tcPr>
            <w:tcW w:w="852"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新增</w:t>
            </w:r>
          </w:p>
        </w:tc>
        <w:tc>
          <w:tcPr>
            <w:tcW w:w="6240" w:type="dxa"/>
            <w:tcBorders>
              <w:top w:val="single" w:color="auto" w:sz="4" w:space="0"/>
              <w:left w:val="nil"/>
              <w:bottom w:val="single" w:color="auto" w:sz="4" w:space="0"/>
              <w:right w:val="single" w:color="auto" w:sz="4" w:space="0"/>
            </w:tcBorders>
            <w:vAlign w:val="center"/>
          </w:tcPr>
          <w:p>
            <w:pPr>
              <w:spacing w:line="276" w:lineRule="auto"/>
              <w:ind w:firstLine="480" w:firstLineChars="200"/>
              <w:jc w:val="left"/>
              <w:rPr>
                <w:rFonts w:ascii="仿宋_GB2312" w:hAnsi="宋体" w:eastAsia="仿宋_GB2312"/>
                <w:color w:val="000000"/>
                <w:sz w:val="24"/>
                <w:szCs w:val="24"/>
              </w:rPr>
            </w:pPr>
            <w:r>
              <w:rPr>
                <w:rFonts w:hint="eastAsia" w:ascii="仿宋_GB2312" w:hAnsi="宋体" w:eastAsia="仿宋_GB2312"/>
                <w:color w:val="000000"/>
                <w:sz w:val="24"/>
                <w:szCs w:val="24"/>
              </w:rPr>
              <w:t>通道指两机构间的直接线路，包括通道编码、通道名称、属性、通道两端的机构名称、通道的输电价及网损。例如德宝直流、甘肃西北。通道由总部、分部在省间系统维护，各省公司可以查看。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285" w:hRule="atLeast"/>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_GB2312" w:hAnsi="宋体" w:eastAsia="仿宋_GB2312"/>
                <w:color w:val="000000"/>
                <w:sz w:val="24"/>
                <w:szCs w:val="24"/>
              </w:rPr>
            </w:pPr>
          </w:p>
        </w:tc>
        <w:tc>
          <w:tcPr>
            <w:tcW w:w="772"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通道结算方向</w:t>
            </w:r>
          </w:p>
        </w:tc>
        <w:tc>
          <w:tcPr>
            <w:tcW w:w="852"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新增</w:t>
            </w:r>
          </w:p>
        </w:tc>
        <w:tc>
          <w:tcPr>
            <w:tcW w:w="6240" w:type="dxa"/>
            <w:tcBorders>
              <w:top w:val="single" w:color="auto" w:sz="4" w:space="0"/>
              <w:left w:val="nil"/>
              <w:bottom w:val="single" w:color="auto" w:sz="4" w:space="0"/>
              <w:right w:val="single" w:color="auto" w:sz="4" w:space="0"/>
            </w:tcBorders>
            <w:vAlign w:val="center"/>
          </w:tcPr>
          <w:p>
            <w:pPr>
              <w:spacing w:line="276" w:lineRule="auto"/>
              <w:ind w:firstLine="480" w:firstLineChars="200"/>
              <w:jc w:val="left"/>
              <w:rPr>
                <w:rFonts w:ascii="仿宋_GB2312" w:hAnsi="宋体" w:eastAsia="仿宋_GB2312"/>
                <w:color w:val="000000"/>
                <w:sz w:val="24"/>
                <w:szCs w:val="24"/>
              </w:rPr>
            </w:pPr>
            <w:r>
              <w:rPr>
                <w:rFonts w:hint="eastAsia" w:ascii="仿宋_GB2312" w:hAnsi="宋体" w:eastAsia="仿宋_GB2312"/>
                <w:color w:val="000000"/>
                <w:sz w:val="24"/>
                <w:szCs w:val="24"/>
              </w:rPr>
              <w:t>通道结算方向主要是定义该通道路径上结算主体对应的售电机构和购电机构。系统功能主要满足用户对交易方向增、删、改、查的功能。交易方向背后映射的是售电机构与购电机构，维护好的交易方向主要用于被通道关联，一个通道可关联多个交易方向。通道结算方向由总部、分部在省间系统维护，各省公司可以查看。</w:t>
            </w:r>
          </w:p>
        </w:tc>
      </w:tr>
    </w:tbl>
    <w:p>
      <w:pPr>
        <w:spacing w:line="276"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 </w:t>
      </w:r>
    </w:p>
    <w:p>
      <w:pPr>
        <w:spacing w:line="276"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表1-2价格管理（新增）</w:t>
      </w:r>
    </w:p>
    <w:tbl>
      <w:tblPr>
        <w:tblStyle w:val="22"/>
        <w:tblW w:w="846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600"/>
        <w:gridCol w:w="765"/>
        <w:gridCol w:w="840"/>
        <w:gridCol w:w="6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一级任务项</w:t>
            </w:r>
          </w:p>
        </w:tc>
        <w:tc>
          <w:tcPr>
            <w:tcW w:w="765"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二级任务项</w:t>
            </w:r>
          </w:p>
        </w:tc>
        <w:tc>
          <w:tcPr>
            <w:tcW w:w="840"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状态</w:t>
            </w:r>
          </w:p>
        </w:tc>
        <w:tc>
          <w:tcPr>
            <w:tcW w:w="6255"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600" w:type="dxa"/>
            <w:vMerge w:val="restart"/>
            <w:tcBorders>
              <w:top w:val="nil"/>
              <w:left w:val="single" w:color="auto" w:sz="4" w:space="0"/>
              <w:right w:val="single" w:color="auto" w:sz="4" w:space="0"/>
            </w:tcBorders>
            <w:vAlign w:val="center"/>
          </w:tcPr>
          <w:p>
            <w:pPr>
              <w:widowControl/>
              <w:spacing w:line="276" w:lineRule="auto"/>
              <w:jc w:val="left"/>
              <w:rPr>
                <w:rFonts w:ascii="仿宋_GB2312" w:hAnsi="宋体" w:eastAsia="仿宋_GB2312"/>
                <w:color w:val="000000"/>
                <w:sz w:val="24"/>
                <w:szCs w:val="24"/>
              </w:rPr>
            </w:pPr>
            <w:r>
              <w:rPr>
                <w:rFonts w:hint="eastAsia" w:ascii="仿宋_GB2312" w:hAnsi="宋体" w:eastAsia="仿宋_GB2312"/>
                <w:color w:val="000000"/>
                <w:sz w:val="24"/>
                <w:szCs w:val="24"/>
              </w:rPr>
              <w:t>价格</w:t>
            </w:r>
          </w:p>
          <w:p>
            <w:pPr>
              <w:widowControl/>
              <w:spacing w:line="276" w:lineRule="auto"/>
              <w:jc w:val="left"/>
              <w:rPr>
                <w:rFonts w:ascii="仿宋_GB2312" w:hAnsi="宋体" w:eastAsia="仿宋_GB2312"/>
                <w:color w:val="000000"/>
                <w:sz w:val="24"/>
                <w:szCs w:val="24"/>
              </w:rPr>
            </w:pPr>
            <w:r>
              <w:rPr>
                <w:rFonts w:hint="eastAsia" w:ascii="仿宋_GB2312" w:hAnsi="宋体" w:eastAsia="仿宋_GB2312"/>
                <w:color w:val="000000"/>
                <w:sz w:val="24"/>
                <w:szCs w:val="24"/>
              </w:rPr>
              <w:t>管理</w:t>
            </w:r>
          </w:p>
        </w:tc>
        <w:tc>
          <w:tcPr>
            <w:tcW w:w="765"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宋体" w:eastAsia="仿宋_GB2312"/>
                <w:color w:val="000000"/>
                <w:sz w:val="24"/>
                <w:szCs w:val="24"/>
              </w:rPr>
            </w:pPr>
            <w:r>
              <w:rPr>
                <w:rFonts w:hint="eastAsia" w:ascii="仿宋_GB2312" w:hAnsi="宋体" w:eastAsia="仿宋_GB2312"/>
                <w:sz w:val="24"/>
                <w:szCs w:val="24"/>
              </w:rPr>
              <w:t>交易管理</w:t>
            </w:r>
          </w:p>
        </w:tc>
        <w:tc>
          <w:tcPr>
            <w:tcW w:w="840"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宋体" w:eastAsia="仿宋_GB2312"/>
                <w:color w:val="000000"/>
                <w:sz w:val="24"/>
                <w:szCs w:val="24"/>
              </w:rPr>
            </w:pPr>
            <w:r>
              <w:rPr>
                <w:rFonts w:hint="eastAsia" w:ascii="仿宋_GB2312" w:hAnsi="宋体" w:eastAsia="仿宋_GB2312"/>
                <w:sz w:val="24"/>
                <w:szCs w:val="24"/>
              </w:rPr>
              <w:t>新增</w:t>
            </w:r>
          </w:p>
        </w:tc>
        <w:tc>
          <w:tcPr>
            <w:tcW w:w="6255" w:type="dxa"/>
            <w:tcBorders>
              <w:top w:val="single" w:color="auto" w:sz="4" w:space="0"/>
              <w:left w:val="nil"/>
              <w:bottom w:val="single" w:color="auto" w:sz="4" w:space="0"/>
              <w:right w:val="single" w:color="auto" w:sz="4" w:space="0"/>
            </w:tcBorders>
            <w:vAlign w:val="center"/>
          </w:tcPr>
          <w:p>
            <w:pPr>
              <w:spacing w:line="276" w:lineRule="auto"/>
              <w:jc w:val="left"/>
              <w:rPr>
                <w:rFonts w:ascii="仿宋_GB2312" w:hAnsi="宋体" w:eastAsia="仿宋_GB2312"/>
                <w:sz w:val="24"/>
                <w:szCs w:val="24"/>
              </w:rPr>
            </w:pPr>
            <w:r>
              <w:rPr>
                <w:rFonts w:hint="eastAsia" w:ascii="仿宋_GB2312" w:hAnsi="宋体" w:eastAsia="仿宋_GB2312"/>
                <w:sz w:val="24"/>
                <w:szCs w:val="24"/>
              </w:rPr>
              <w:t>交易合同信息来源于交易平台，通过集成接口传递至电费结算应用。交易合同管理包括交易主体、交易时间、交易电量、结算关口、交易价格及网损、交易结算、偏差考核等信息；同时应结合未来市场需求，提供新类型交易合同扩展与模板的可配置功能，满足用户对交易合同管理的功能需求。</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交易合同由电力交易机构通过集成方式传递至财务部，除集成方式外财务部也可手工维护交易合同。</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交易合同管理需满足用户对常规字段与附件的查看。另外，交易合同功能除满足用户常规查看需求外，还需满足财务部在收到电力交易机构传递的市场合同后为其匹配输电价格方案、审核输电价格、发布输电价格的需求。</w:t>
            </w:r>
          </w:p>
          <w:p>
            <w:pPr>
              <w:spacing w:line="276" w:lineRule="auto"/>
              <w:jc w:val="left"/>
              <w:rPr>
                <w:rFonts w:ascii="仿宋_GB2312" w:hAnsi="宋体" w:eastAsia="仿宋_GB2312"/>
                <w:color w:val="000000"/>
                <w:sz w:val="24"/>
                <w:szCs w:val="24"/>
              </w:rPr>
            </w:pPr>
            <w:r>
              <w:rPr>
                <w:rFonts w:hint="eastAsia" w:ascii="仿宋_GB2312" w:hAnsi="宋体" w:eastAsia="仿宋_GB2312"/>
                <w:sz w:val="24"/>
                <w:szCs w:val="24"/>
              </w:rPr>
              <w:t>支持交易合同添加子合同功能，子合同支持按照通道或者区域进行相关内容展示，支持多对一、一对多合同。包含路径、序号、输电通道、输电价格、线损/网损等。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600" w:type="dxa"/>
            <w:vMerge w:val="continue"/>
            <w:tcBorders>
              <w:left w:val="single" w:color="auto" w:sz="4" w:space="0"/>
              <w:right w:val="single" w:color="auto" w:sz="4" w:space="0"/>
            </w:tcBorders>
            <w:vAlign w:val="center"/>
          </w:tcPr>
          <w:p>
            <w:pPr>
              <w:widowControl/>
              <w:spacing w:line="276" w:lineRule="auto"/>
              <w:jc w:val="left"/>
              <w:rPr>
                <w:rFonts w:ascii="仿宋_GB2312" w:hAnsi="宋体" w:eastAsia="仿宋_GB2312"/>
                <w:color w:val="000000"/>
                <w:sz w:val="24"/>
                <w:szCs w:val="24"/>
              </w:rPr>
            </w:pPr>
          </w:p>
        </w:tc>
        <w:tc>
          <w:tcPr>
            <w:tcW w:w="765"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输电电价管理</w:t>
            </w:r>
          </w:p>
        </w:tc>
        <w:tc>
          <w:tcPr>
            <w:tcW w:w="840"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新增</w:t>
            </w:r>
          </w:p>
        </w:tc>
        <w:tc>
          <w:tcPr>
            <w:tcW w:w="6255" w:type="dxa"/>
            <w:tcBorders>
              <w:top w:val="single" w:color="auto" w:sz="4" w:space="0"/>
              <w:left w:val="nil"/>
              <w:bottom w:val="single" w:color="auto" w:sz="4" w:space="0"/>
              <w:right w:val="single" w:color="auto" w:sz="4" w:space="0"/>
            </w:tcBorders>
            <w:vAlign w:val="center"/>
          </w:tcPr>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主要指各省级电网输配电价，各省级电网输配电价由政府制定，实行统一政策，分级管理。系统设计时应支持输配电价按电压等级、用户类别的录入和调价管理。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600" w:type="dxa"/>
            <w:vMerge w:val="continue"/>
            <w:tcBorders>
              <w:left w:val="single" w:color="auto" w:sz="4" w:space="0"/>
              <w:right w:val="single" w:color="auto" w:sz="4" w:space="0"/>
            </w:tcBorders>
            <w:vAlign w:val="center"/>
          </w:tcPr>
          <w:p>
            <w:pPr>
              <w:widowControl/>
              <w:spacing w:line="276" w:lineRule="auto"/>
              <w:jc w:val="left"/>
              <w:rPr>
                <w:rFonts w:ascii="仿宋_GB2312" w:hAnsi="宋体" w:eastAsia="仿宋_GB2312"/>
                <w:color w:val="000000"/>
                <w:sz w:val="24"/>
                <w:szCs w:val="24"/>
              </w:rPr>
            </w:pPr>
          </w:p>
        </w:tc>
        <w:tc>
          <w:tcPr>
            <w:tcW w:w="765"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价格方案管理</w:t>
            </w:r>
          </w:p>
        </w:tc>
        <w:tc>
          <w:tcPr>
            <w:tcW w:w="840"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新增</w:t>
            </w:r>
          </w:p>
        </w:tc>
        <w:tc>
          <w:tcPr>
            <w:tcW w:w="6255" w:type="dxa"/>
            <w:tcBorders>
              <w:top w:val="single" w:color="auto" w:sz="4" w:space="0"/>
              <w:left w:val="nil"/>
              <w:bottom w:val="single" w:color="auto" w:sz="4" w:space="0"/>
              <w:right w:val="single" w:color="auto" w:sz="4" w:space="0"/>
            </w:tcBorders>
            <w:vAlign w:val="center"/>
          </w:tcPr>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分部单位参与跨区跨省计划交易，总部省间电费结算应用将与分部相关的计划价格方案信息下发至分部级电费结算应用。总部电费结算系统会将跨区跨省计划价格方案传给国调中心组织现货交易，传给交易中心计划交易电费。并下发至分部，与分部从分部调控中心获得电量信息进行匹配进行现货电费的核算。同时分部也建立分部组织的区内跨省计划交易价格方案信息，进行区内跨省中长期交易电费的结算。</w:t>
            </w:r>
          </w:p>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支持查看跨区跨省计划价格库及区内跨省计划价格方案信息，包括交易名称、类型、交易周期、通道、送端电价、输电价格、线/网损、受端电价、通道结算方向等。并支持价格信息的导出，价格信息也是电费结算时的价格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600" w:type="dxa"/>
            <w:vMerge w:val="continue"/>
            <w:tcBorders>
              <w:left w:val="single" w:color="auto" w:sz="4" w:space="0"/>
              <w:right w:val="single" w:color="auto" w:sz="4" w:space="0"/>
            </w:tcBorders>
            <w:vAlign w:val="center"/>
          </w:tcPr>
          <w:p>
            <w:pPr>
              <w:widowControl/>
              <w:spacing w:line="276" w:lineRule="auto"/>
              <w:jc w:val="left"/>
              <w:rPr>
                <w:rFonts w:ascii="仿宋_GB2312" w:hAnsi="宋体" w:eastAsia="仿宋_GB2312"/>
                <w:color w:val="000000"/>
                <w:sz w:val="24"/>
                <w:szCs w:val="24"/>
              </w:rPr>
            </w:pPr>
          </w:p>
        </w:tc>
        <w:tc>
          <w:tcPr>
            <w:tcW w:w="765"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容量电价管理</w:t>
            </w:r>
          </w:p>
        </w:tc>
        <w:tc>
          <w:tcPr>
            <w:tcW w:w="840"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新增</w:t>
            </w:r>
          </w:p>
        </w:tc>
        <w:tc>
          <w:tcPr>
            <w:tcW w:w="6255" w:type="dxa"/>
            <w:tcBorders>
              <w:top w:val="single" w:color="auto" w:sz="4" w:space="0"/>
              <w:left w:val="nil"/>
              <w:bottom w:val="single" w:color="auto" w:sz="4" w:space="0"/>
              <w:right w:val="single" w:color="auto" w:sz="4" w:space="0"/>
            </w:tcBorders>
            <w:vAlign w:val="center"/>
          </w:tcPr>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容量电价管理包括公共成本容量电价、区域电网容量电价、跨区跨省输电通道容量电价，主要满足用户对不同类型容量电价增、删、改、查的需求。容量电价价格方案由总部（跨区资产运营管理中心）或分部维护，协同至各省公司省级电费结算应用中。</w:t>
            </w:r>
          </w:p>
        </w:tc>
      </w:tr>
    </w:tbl>
    <w:p>
      <w:pPr>
        <w:spacing w:line="276" w:lineRule="auto"/>
        <w:ind w:firstLine="482" w:firstLineChars="200"/>
        <w:rPr>
          <w:rFonts w:ascii="仿宋_GB2312" w:hAnsi="宋体" w:eastAsia="仿宋_GB2312"/>
          <w:b/>
          <w:bCs/>
          <w:color w:val="000000"/>
          <w:sz w:val="24"/>
          <w:szCs w:val="24"/>
        </w:rPr>
      </w:pPr>
      <w:r>
        <w:rPr>
          <w:rFonts w:hint="eastAsia" w:ascii="仿宋_GB2312" w:hAnsi="宋体" w:eastAsia="仿宋_GB2312"/>
          <w:b/>
          <w:bCs/>
          <w:color w:val="000000"/>
          <w:sz w:val="24"/>
          <w:szCs w:val="24"/>
        </w:rPr>
        <w:t xml:space="preserve"> </w:t>
      </w:r>
    </w:p>
    <w:p>
      <w:pPr>
        <w:spacing w:line="276"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表1-3电费预估管理（新增） </w:t>
      </w:r>
    </w:p>
    <w:tbl>
      <w:tblPr>
        <w:tblStyle w:val="22"/>
        <w:tblW w:w="849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600"/>
        <w:gridCol w:w="765"/>
        <w:gridCol w:w="870"/>
        <w:gridCol w:w="6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一级任务项</w:t>
            </w:r>
          </w:p>
        </w:tc>
        <w:tc>
          <w:tcPr>
            <w:tcW w:w="765"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二级任务项</w:t>
            </w:r>
          </w:p>
        </w:tc>
        <w:tc>
          <w:tcPr>
            <w:tcW w:w="870"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状态</w:t>
            </w:r>
          </w:p>
        </w:tc>
        <w:tc>
          <w:tcPr>
            <w:tcW w:w="6255"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600" w:type="dxa"/>
            <w:vMerge w:val="restart"/>
            <w:tcBorders>
              <w:top w:val="nil"/>
              <w:left w:val="single" w:color="auto" w:sz="4" w:space="0"/>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结算依据管理</w:t>
            </w:r>
          </w:p>
        </w:tc>
        <w:tc>
          <w:tcPr>
            <w:tcW w:w="765" w:type="dxa"/>
            <w:tcBorders>
              <w:top w:val="single" w:color="auto" w:sz="4" w:space="0"/>
              <w:left w:val="nil"/>
              <w:bottom w:val="single" w:color="auto" w:sz="4" w:space="0"/>
              <w:right w:val="single" w:color="auto" w:sz="4" w:space="0"/>
            </w:tcBorders>
            <w:vAlign w:val="center"/>
          </w:tcPr>
          <w:p>
            <w:pPr>
              <w:spacing w:line="276" w:lineRule="auto"/>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预估电量管理</w:t>
            </w:r>
          </w:p>
        </w:tc>
        <w:tc>
          <w:tcPr>
            <w:tcW w:w="870"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新增</w:t>
            </w:r>
          </w:p>
        </w:tc>
        <w:tc>
          <w:tcPr>
            <w:tcW w:w="6255" w:type="dxa"/>
            <w:tcBorders>
              <w:top w:val="single" w:color="auto" w:sz="4" w:space="0"/>
              <w:left w:val="nil"/>
              <w:bottom w:val="single" w:color="auto" w:sz="4" w:space="0"/>
              <w:right w:val="single" w:color="auto" w:sz="4" w:space="0"/>
            </w:tcBorders>
            <w:vAlign w:val="center"/>
          </w:tcPr>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1.跨区跨省电量预估</w:t>
            </w:r>
          </w:p>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该功能用以展示从交易集成过来的当月预估电量，预估电量传输时间为当月25日左右。预估电量分两个Tab页展示，分别为“购售电量”、“输电电量”。</w:t>
            </w:r>
          </w:p>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与交易集成完成前，可支持手动录入预估电量。</w:t>
            </w:r>
          </w:p>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2.区内跨省电量预估</w:t>
            </w:r>
          </w:p>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该功能用以展示从交易集成过来的当月预估电量，预估电量传输时间为当月25日左右与下月3日左右。预估电量分两个Tab页展示，分别为“购售电量”、“输电电量”。</w:t>
            </w:r>
          </w:p>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与交易集成完成前，可支持手动录入预估电量（依据其他信息由价格方案自动生成）。</w:t>
            </w:r>
          </w:p>
          <w:p>
            <w:pPr>
              <w:numPr>
                <w:ilvl w:val="0"/>
                <w:numId w:val="4"/>
              </w:num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发电企业上网电量预估</w:t>
            </w:r>
          </w:p>
          <w:p>
            <w:pPr>
              <w:tabs>
                <w:tab w:val="left" w:pos="113"/>
              </w:tabs>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该功能用以展示从北京交易中心和调度集成过来的当月预估电量，预估电量传输时间为当月25日左右与下月3日左右。预估电量分两个Tab页展示，分别为“电厂结算”、“厂用网电”。</w:t>
            </w:r>
          </w:p>
          <w:p>
            <w:pPr>
              <w:tabs>
                <w:tab w:val="left" w:pos="113"/>
              </w:tabs>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可支持手动录入预估电量。（依据其他信息由价格方案自动生成）。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600" w:type="dxa"/>
            <w:vMerge w:val="continue"/>
            <w:tcBorders>
              <w:left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p>
        </w:tc>
        <w:tc>
          <w:tcPr>
            <w:tcW w:w="765" w:type="dxa"/>
            <w:tcBorders>
              <w:top w:val="single" w:color="auto" w:sz="4" w:space="0"/>
              <w:left w:val="nil"/>
              <w:bottom w:val="single" w:color="auto" w:sz="4" w:space="0"/>
              <w:right w:val="single" w:color="auto" w:sz="4" w:space="0"/>
            </w:tcBorders>
            <w:vAlign w:val="center"/>
          </w:tcPr>
          <w:p>
            <w:pPr>
              <w:spacing w:line="276" w:lineRule="auto"/>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结算电量管理</w:t>
            </w:r>
          </w:p>
        </w:tc>
        <w:tc>
          <w:tcPr>
            <w:tcW w:w="870"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p>
        </w:tc>
        <w:tc>
          <w:tcPr>
            <w:tcW w:w="6255" w:type="dxa"/>
            <w:tcBorders>
              <w:top w:val="single" w:color="auto" w:sz="4" w:space="0"/>
              <w:left w:val="nil"/>
              <w:bottom w:val="single" w:color="auto" w:sz="4" w:space="0"/>
              <w:right w:val="single" w:color="auto" w:sz="4" w:space="0"/>
            </w:tcBorders>
            <w:vAlign w:val="center"/>
          </w:tcPr>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1.跨区跨省结算电量</w:t>
            </w:r>
          </w:p>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该功能用以展示从交易集成过来的当月结算电量，结算电量传输时间为当月10日左右。结算电量分两个Tab页展示，分别为“购售电量”、“输电电量”。</w:t>
            </w:r>
          </w:p>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与交易集成完成前，可支持手动录入结算电量。</w:t>
            </w:r>
          </w:p>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2.区内跨省结算电量</w:t>
            </w:r>
          </w:p>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该功能用以展示从交易集成过来的当月结算电量，结算电量传输时间为当月10日左右。结算电量分两个Tab页展示，分别为“购售电量”、“输电电量”。</w:t>
            </w:r>
          </w:p>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与交易集成完成前，可支持手动录入结算电量（依据其他信息由价格方案自动生成）。</w:t>
            </w:r>
          </w:p>
          <w:p>
            <w:pPr>
              <w:tabs>
                <w:tab w:val="left" w:pos="113"/>
              </w:tabs>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3.发电企业上网结算电量</w:t>
            </w:r>
          </w:p>
          <w:p>
            <w:pPr>
              <w:tabs>
                <w:tab w:val="left" w:pos="113"/>
              </w:tabs>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该功能用以展示从北京交易中心和调度集成过来的当月结算电量，结算电量传输时间为当月左右。结算电量分两个Tab页展示，分别为“电厂结算”、“厂用网电”。</w:t>
            </w:r>
          </w:p>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可支持手动录入结算电量。（依据其他信息由价格方案自动生成）。.</w:t>
            </w:r>
          </w:p>
        </w:tc>
      </w:tr>
    </w:tbl>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b/>
          <w:bCs/>
          <w:color w:val="000000"/>
          <w:sz w:val="24"/>
          <w:szCs w:val="24"/>
        </w:rPr>
        <w:t xml:space="preserve">  </w:t>
      </w:r>
      <w:r>
        <w:rPr>
          <w:rFonts w:hint="eastAsia" w:ascii="仿宋_GB2312" w:hAnsi="宋体" w:eastAsia="仿宋_GB2312"/>
          <w:color w:val="000000"/>
          <w:sz w:val="24"/>
          <w:szCs w:val="24"/>
        </w:rPr>
        <w:t xml:space="preserve"> </w:t>
      </w:r>
    </w:p>
    <w:p>
      <w:pPr>
        <w:spacing w:line="276"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表1-4查询统计（新增）</w:t>
      </w:r>
    </w:p>
    <w:tbl>
      <w:tblPr>
        <w:tblStyle w:val="22"/>
        <w:tblW w:w="8533"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585"/>
        <w:gridCol w:w="780"/>
        <w:gridCol w:w="870"/>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一级任务项</w:t>
            </w:r>
          </w:p>
        </w:tc>
        <w:tc>
          <w:tcPr>
            <w:tcW w:w="780"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二级任务项</w:t>
            </w:r>
          </w:p>
        </w:tc>
        <w:tc>
          <w:tcPr>
            <w:tcW w:w="870"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状态</w:t>
            </w:r>
          </w:p>
        </w:tc>
        <w:tc>
          <w:tcPr>
            <w:tcW w:w="6298"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85" w:type="dxa"/>
            <w:vMerge w:val="restart"/>
            <w:tcBorders>
              <w:top w:val="nil"/>
              <w:left w:val="single" w:color="auto" w:sz="4" w:space="0"/>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查询</w:t>
            </w:r>
          </w:p>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统计</w:t>
            </w:r>
          </w:p>
        </w:tc>
        <w:tc>
          <w:tcPr>
            <w:tcW w:w="780"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交易结算预测分析</w:t>
            </w:r>
          </w:p>
        </w:tc>
        <w:tc>
          <w:tcPr>
            <w:tcW w:w="870"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新增</w:t>
            </w:r>
          </w:p>
        </w:tc>
        <w:tc>
          <w:tcPr>
            <w:tcW w:w="6298" w:type="dxa"/>
            <w:tcBorders>
              <w:top w:val="single" w:color="auto" w:sz="4" w:space="0"/>
              <w:left w:val="nil"/>
              <w:bottom w:val="single" w:color="auto" w:sz="4" w:space="0"/>
              <w:right w:val="single" w:color="auto" w:sz="4" w:space="0"/>
            </w:tcBorders>
            <w:vAlign w:val="center"/>
          </w:tcPr>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对交易的履行情况进行统计，包括合约本月的分解、执行情况及本年的分解及累计执行情况，并可统计以前年月的合约的分解、执行情况。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_GB2312" w:hAnsi="宋体" w:eastAsia="仿宋_GB2312"/>
                <w:color w:val="000000"/>
                <w:sz w:val="24"/>
                <w:szCs w:val="24"/>
              </w:rPr>
            </w:pPr>
          </w:p>
        </w:tc>
        <w:tc>
          <w:tcPr>
            <w:tcW w:w="780"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购售交易统计分析</w:t>
            </w:r>
          </w:p>
        </w:tc>
        <w:tc>
          <w:tcPr>
            <w:tcW w:w="870"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新增</w:t>
            </w:r>
          </w:p>
        </w:tc>
        <w:tc>
          <w:tcPr>
            <w:tcW w:w="6298" w:type="dxa"/>
            <w:tcBorders>
              <w:top w:val="single" w:color="auto" w:sz="4" w:space="0"/>
              <w:left w:val="nil"/>
              <w:bottom w:val="single" w:color="auto" w:sz="4" w:space="0"/>
              <w:right w:val="single" w:color="auto" w:sz="4" w:space="0"/>
            </w:tcBorders>
            <w:vAlign w:val="center"/>
          </w:tcPr>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对交易的履行情况进行统计，包括合约本月的分解、执行情况及本年的分解及累计执行情况，并可统计以前年月的合约的分解、执行情况。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_GB2312" w:hAnsi="宋体" w:eastAsia="仿宋_GB2312"/>
                <w:color w:val="000000"/>
                <w:sz w:val="24"/>
                <w:szCs w:val="24"/>
              </w:rPr>
            </w:pPr>
          </w:p>
        </w:tc>
        <w:tc>
          <w:tcPr>
            <w:tcW w:w="780"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营业收入统计分析</w:t>
            </w:r>
          </w:p>
        </w:tc>
        <w:tc>
          <w:tcPr>
            <w:tcW w:w="870"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新增</w:t>
            </w:r>
          </w:p>
        </w:tc>
        <w:tc>
          <w:tcPr>
            <w:tcW w:w="6298" w:type="dxa"/>
            <w:tcBorders>
              <w:top w:val="single" w:color="auto" w:sz="4" w:space="0"/>
              <w:left w:val="nil"/>
              <w:bottom w:val="single" w:color="auto" w:sz="4" w:space="0"/>
              <w:right w:val="single" w:color="auto" w:sz="4" w:space="0"/>
            </w:tcBorders>
            <w:vAlign w:val="center"/>
          </w:tcPr>
          <w:p>
            <w:pPr>
              <w:spacing w:line="276" w:lineRule="auto"/>
              <w:jc w:val="left"/>
              <w:textAlignment w:val="center"/>
              <w:rPr>
                <w:rFonts w:ascii="仿宋_GB2312" w:hAnsi="宋体" w:eastAsia="仿宋_GB2312"/>
                <w:color w:val="000000"/>
                <w:sz w:val="24"/>
                <w:szCs w:val="24"/>
              </w:rPr>
            </w:pPr>
            <w:r>
              <w:rPr>
                <w:rFonts w:hint="eastAsia" w:ascii="仿宋_GB2312" w:hAnsi="宋体" w:eastAsia="仿宋_GB2312"/>
                <w:color w:val="000000"/>
                <w:sz w:val="24"/>
                <w:szCs w:val="24"/>
              </w:rPr>
              <w:t>对交易的履行情况进行统计，包括合约本月的分解、执行情况及本年的分解及累计执行情况，并可统计以前年月的合约的分解、执行情况。</w:t>
            </w:r>
          </w:p>
        </w:tc>
      </w:tr>
    </w:tbl>
    <w:p>
      <w:pPr>
        <w:spacing w:line="276" w:lineRule="auto"/>
        <w:ind w:firstLine="482" w:firstLineChars="200"/>
        <w:rPr>
          <w:rFonts w:ascii="仿宋_GB2312" w:hAnsi="宋体" w:eastAsia="仿宋_GB2312"/>
          <w:b/>
          <w:bCs/>
          <w:color w:val="000000"/>
          <w:sz w:val="24"/>
          <w:szCs w:val="24"/>
        </w:rPr>
      </w:pPr>
      <w:r>
        <w:rPr>
          <w:rFonts w:hint="eastAsia" w:ascii="仿宋_GB2312" w:hAnsi="宋体" w:eastAsia="仿宋_GB2312"/>
          <w:b/>
          <w:bCs/>
          <w:color w:val="000000"/>
          <w:sz w:val="24"/>
          <w:szCs w:val="24"/>
        </w:rPr>
        <w:t xml:space="preserve"> </w:t>
      </w:r>
    </w:p>
    <w:p>
      <w:pPr>
        <w:spacing w:line="276" w:lineRule="auto"/>
        <w:ind w:firstLine="480" w:firstLineChars="200"/>
        <w:rPr>
          <w:rFonts w:ascii="仿宋_GB2312" w:hAnsi="宋体" w:eastAsia="仿宋_GB2312"/>
          <w:color w:val="000000"/>
          <w:sz w:val="24"/>
          <w:szCs w:val="24"/>
        </w:rPr>
      </w:pPr>
    </w:p>
    <w:p>
      <w:pPr>
        <w:spacing w:line="276" w:lineRule="auto"/>
        <w:ind w:firstLine="480" w:firstLineChars="200"/>
        <w:rPr>
          <w:rFonts w:ascii="仿宋_GB2312" w:hAnsi="宋体" w:eastAsia="仿宋_GB2312"/>
          <w:color w:val="000000"/>
          <w:sz w:val="24"/>
          <w:szCs w:val="24"/>
        </w:rPr>
      </w:pPr>
    </w:p>
    <w:p>
      <w:pPr>
        <w:spacing w:line="276" w:lineRule="auto"/>
        <w:ind w:firstLine="480" w:firstLineChars="200"/>
        <w:rPr>
          <w:rFonts w:ascii="仿宋_GB2312" w:hAnsi="宋体" w:eastAsia="仿宋_GB2312"/>
          <w:color w:val="000000"/>
          <w:sz w:val="24"/>
          <w:szCs w:val="24"/>
        </w:rPr>
      </w:pPr>
    </w:p>
    <w:p>
      <w:pPr>
        <w:spacing w:line="276" w:lineRule="auto"/>
        <w:ind w:firstLine="480" w:firstLineChars="200"/>
        <w:rPr>
          <w:rFonts w:ascii="仿宋_GB2312" w:hAnsi="宋体" w:eastAsia="仿宋_GB2312"/>
          <w:color w:val="000000"/>
          <w:sz w:val="24"/>
          <w:szCs w:val="24"/>
        </w:rPr>
      </w:pPr>
    </w:p>
    <w:p>
      <w:pPr>
        <w:pStyle w:val="2"/>
        <w:spacing w:line="276" w:lineRule="auto"/>
        <w:ind w:firstLine="480"/>
        <w:rPr>
          <w:rFonts w:ascii="仿宋_GB2312" w:eastAsia="仿宋_GB2312"/>
          <w:sz w:val="24"/>
          <w:szCs w:val="24"/>
        </w:rPr>
      </w:pPr>
    </w:p>
    <w:p>
      <w:pPr>
        <w:widowControl/>
        <w:spacing w:line="276" w:lineRule="auto"/>
        <w:jc w:val="left"/>
        <w:rPr>
          <w:rFonts w:ascii="仿宋_GB2312" w:eastAsia="仿宋_GB2312"/>
          <w:sz w:val="24"/>
          <w:szCs w:val="24"/>
        </w:rPr>
      </w:pPr>
      <w:r>
        <w:rPr>
          <w:rFonts w:hint="eastAsia" w:ascii="仿宋_GB2312" w:eastAsia="仿宋_GB2312"/>
          <w:sz w:val="24"/>
          <w:szCs w:val="24"/>
        </w:rPr>
        <w:br w:type="page"/>
      </w:r>
    </w:p>
    <w:p>
      <w:pPr>
        <w:spacing w:line="480" w:lineRule="exact"/>
        <w:ind w:firstLine="207"/>
      </w:pPr>
      <w:r>
        <w:rPr>
          <w:rFonts w:hint="eastAsia"/>
        </w:rPr>
        <w:t xml:space="preserve">  </w:t>
      </w:r>
    </w:p>
    <w:p>
      <w:pPr>
        <w:rPr>
          <w:rFonts w:ascii="仿宋" w:hAnsi="仿宋" w:eastAsia="仿宋" w:cs="仿宋"/>
          <w:sz w:val="28"/>
        </w:rPr>
      </w:pPr>
      <w:r>
        <w:rPr>
          <w:rFonts w:hint="eastAsia" w:ascii="仿宋" w:hAnsi="仿宋" w:eastAsia="仿宋" w:cs="仿宋"/>
          <w:sz w:val="28"/>
        </w:rPr>
        <w:t>附件2：</w:t>
      </w:r>
    </w:p>
    <w:p>
      <w:pPr>
        <w:jc w:val="center"/>
        <w:rPr>
          <w:rFonts w:ascii="华文中宋" w:hAnsi="华文中宋" w:eastAsia="华文中宋" w:cs="仿宋"/>
          <w:b/>
          <w:sz w:val="32"/>
          <w:szCs w:val="32"/>
        </w:rPr>
      </w:pPr>
      <w:r>
        <w:rPr>
          <w:rFonts w:hint="eastAsia" w:ascii="华文中宋" w:hAnsi="华文中宋" w:eastAsia="华文中宋" w:cs="仿宋"/>
          <w:b/>
          <w:sz w:val="32"/>
          <w:szCs w:val="32"/>
        </w:rPr>
        <w:t>乙方工作人员名单</w:t>
      </w:r>
    </w:p>
    <w:p>
      <w:pPr>
        <w:jc w:val="center"/>
        <w:rPr>
          <w:rFonts w:ascii="华文中宋" w:hAnsi="华文中宋" w:eastAsia="华文中宋"/>
          <w:b/>
          <w:sz w:val="32"/>
        </w:rPr>
      </w:pPr>
    </w:p>
    <w:tbl>
      <w:tblPr>
        <w:tblStyle w:val="22"/>
        <w:tblW w:w="83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33"/>
        <w:gridCol w:w="1422"/>
        <w:gridCol w:w="3260"/>
        <w:gridCol w:w="29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jc w:val="center"/>
        </w:trPr>
        <w:tc>
          <w:tcPr>
            <w:tcW w:w="733" w:type="dxa"/>
            <w:vAlign w:val="center"/>
          </w:tcPr>
          <w:p>
            <w:pPr>
              <w:spacing w:line="480" w:lineRule="exact"/>
              <w:jc w:val="center"/>
              <w:rPr>
                <w:rFonts w:ascii="仿宋" w:hAnsi="仿宋" w:eastAsia="仿宋"/>
                <w:b/>
                <w:bCs/>
                <w:sz w:val="28"/>
              </w:rPr>
            </w:pPr>
            <w:r>
              <w:rPr>
                <w:rFonts w:hint="eastAsia" w:ascii="仿宋" w:hAnsi="仿宋" w:eastAsia="仿宋"/>
                <w:b/>
                <w:bCs/>
                <w:sz w:val="28"/>
              </w:rPr>
              <w:t>序号</w:t>
            </w:r>
          </w:p>
        </w:tc>
        <w:tc>
          <w:tcPr>
            <w:tcW w:w="1422" w:type="dxa"/>
            <w:vAlign w:val="center"/>
          </w:tcPr>
          <w:p>
            <w:pPr>
              <w:spacing w:line="480" w:lineRule="exact"/>
              <w:ind w:firstLine="140"/>
              <w:jc w:val="center"/>
              <w:rPr>
                <w:rFonts w:ascii="仿宋" w:hAnsi="仿宋" w:eastAsia="仿宋"/>
                <w:b/>
                <w:bCs/>
                <w:sz w:val="28"/>
              </w:rPr>
            </w:pPr>
            <w:r>
              <w:rPr>
                <w:rFonts w:hint="eastAsia" w:ascii="仿宋" w:hAnsi="仿宋" w:eastAsia="仿宋"/>
                <w:b/>
                <w:bCs/>
                <w:sz w:val="28"/>
              </w:rPr>
              <w:t>姓名</w:t>
            </w:r>
          </w:p>
        </w:tc>
        <w:tc>
          <w:tcPr>
            <w:tcW w:w="3260" w:type="dxa"/>
            <w:vAlign w:val="center"/>
          </w:tcPr>
          <w:p>
            <w:pPr>
              <w:spacing w:line="480" w:lineRule="exact"/>
              <w:ind w:firstLine="843"/>
              <w:jc w:val="left"/>
              <w:rPr>
                <w:rFonts w:ascii="仿宋" w:hAnsi="仿宋" w:eastAsia="仿宋"/>
                <w:b/>
                <w:bCs/>
                <w:sz w:val="28"/>
              </w:rPr>
            </w:pPr>
            <w:r>
              <w:rPr>
                <w:rFonts w:hint="eastAsia" w:ascii="仿宋" w:hAnsi="仿宋" w:eastAsia="仿宋"/>
                <w:b/>
                <w:bCs/>
                <w:sz w:val="28"/>
              </w:rPr>
              <w:t>专业</w:t>
            </w:r>
          </w:p>
        </w:tc>
        <w:tc>
          <w:tcPr>
            <w:tcW w:w="2947" w:type="dxa"/>
            <w:vAlign w:val="center"/>
          </w:tcPr>
          <w:p>
            <w:pPr>
              <w:spacing w:line="480" w:lineRule="exact"/>
              <w:ind w:firstLine="140"/>
              <w:jc w:val="center"/>
              <w:rPr>
                <w:rFonts w:ascii="仿宋" w:hAnsi="仿宋" w:eastAsia="仿宋"/>
                <w:b/>
                <w:bCs/>
                <w:sz w:val="28"/>
              </w:rPr>
            </w:pPr>
            <w:r>
              <w:rPr>
                <w:rFonts w:hint="eastAsia" w:ascii="仿宋" w:hAnsi="仿宋" w:eastAsia="仿宋"/>
                <w:b/>
                <w:bCs/>
                <w:sz w:val="28"/>
              </w:rPr>
              <w:t>职责分工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jc w:val="center"/>
        </w:trPr>
        <w:tc>
          <w:tcPr>
            <w:tcW w:w="733" w:type="dxa"/>
            <w:vAlign w:val="center"/>
          </w:tcPr>
          <w:p>
            <w:pPr>
              <w:wordWrap w:val="0"/>
              <w:jc w:val="center"/>
              <w:rPr>
                <w:rFonts w:ascii="仿宋_GB2312" w:hAnsi="仿宋" w:eastAsia="仿宋_GB2312"/>
                <w:sz w:val="30"/>
                <w:szCs w:val="30"/>
              </w:rPr>
            </w:pPr>
            <w:r>
              <w:rPr>
                <w:rFonts w:hint="eastAsia" w:ascii="仿宋_GB2312" w:hAnsi="仿宋" w:eastAsia="仿宋_GB2312"/>
                <w:sz w:val="30"/>
                <w:szCs w:val="30"/>
              </w:rPr>
              <w:t>1</w:t>
            </w:r>
          </w:p>
        </w:tc>
        <w:tc>
          <w:tcPr>
            <w:tcW w:w="1422" w:type="dxa"/>
            <w:vAlign w:val="center"/>
          </w:tcPr>
          <w:p>
            <w:pPr>
              <w:wordWrap w:val="0"/>
              <w:jc w:val="center"/>
              <w:rPr>
                <w:rFonts w:ascii="仿宋_GB2312" w:hAnsi="仿宋" w:eastAsia="仿宋_GB2312"/>
                <w:sz w:val="30"/>
                <w:szCs w:val="30"/>
              </w:rPr>
            </w:pPr>
            <w:r>
              <w:rPr>
                <w:rFonts w:hint="eastAsia" w:ascii="仿宋_GB2312" w:eastAsia="仿宋_GB2312" w:hAnsiTheme="minorEastAsia"/>
                <w:sz w:val="30"/>
                <w:szCs w:val="30"/>
              </w:rPr>
              <w:t>韩健</w:t>
            </w:r>
          </w:p>
        </w:tc>
        <w:tc>
          <w:tcPr>
            <w:tcW w:w="3260" w:type="dxa"/>
            <w:vAlign w:val="center"/>
          </w:tcPr>
          <w:p>
            <w:pPr>
              <w:wordWrap w:val="0"/>
              <w:jc w:val="center"/>
              <w:rPr>
                <w:rFonts w:ascii="仿宋_GB2312" w:hAnsi="仿宋" w:eastAsia="仿宋_GB2312"/>
                <w:sz w:val="30"/>
                <w:szCs w:val="30"/>
              </w:rPr>
            </w:pPr>
            <w:r>
              <w:rPr>
                <w:rFonts w:hint="eastAsia" w:ascii="仿宋_GB2312" w:eastAsia="仿宋_GB2312" w:cs="宋体" w:hAnsiTheme="minorEastAsia"/>
                <w:sz w:val="30"/>
                <w:szCs w:val="30"/>
              </w:rPr>
              <w:t>机械设计与自动化专业</w:t>
            </w:r>
          </w:p>
        </w:tc>
        <w:tc>
          <w:tcPr>
            <w:tcW w:w="2947" w:type="dxa"/>
            <w:vAlign w:val="center"/>
          </w:tcPr>
          <w:p>
            <w:pPr>
              <w:wordWrap w:val="0"/>
              <w:jc w:val="center"/>
              <w:rPr>
                <w:rFonts w:ascii="仿宋_GB2312" w:hAnsi="仿宋" w:eastAsia="仿宋_GB2312"/>
                <w:sz w:val="30"/>
                <w:szCs w:val="30"/>
              </w:rPr>
            </w:pPr>
            <w:r>
              <w:rPr>
                <w:rFonts w:hint="eastAsia" w:ascii="仿宋_GB2312" w:hAnsi="仿宋" w:eastAsia="仿宋_GB2312"/>
                <w:sz w:val="30"/>
                <w:szCs w:val="30"/>
              </w:rPr>
              <w:t>项目经理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jc w:val="center"/>
        </w:trPr>
        <w:tc>
          <w:tcPr>
            <w:tcW w:w="733" w:type="dxa"/>
            <w:vAlign w:val="center"/>
          </w:tcPr>
          <w:p>
            <w:pPr>
              <w:wordWrap w:val="0"/>
              <w:jc w:val="center"/>
              <w:rPr>
                <w:rFonts w:ascii="仿宋_GB2312" w:hAnsi="仿宋" w:eastAsia="仿宋_GB2312"/>
                <w:sz w:val="30"/>
                <w:szCs w:val="30"/>
              </w:rPr>
            </w:pPr>
            <w:r>
              <w:rPr>
                <w:rFonts w:hint="eastAsia" w:ascii="仿宋_GB2312" w:hAnsi="仿宋" w:eastAsia="仿宋_GB2312"/>
                <w:sz w:val="30"/>
                <w:szCs w:val="30"/>
              </w:rPr>
              <w:t>2</w:t>
            </w:r>
          </w:p>
        </w:tc>
        <w:tc>
          <w:tcPr>
            <w:tcW w:w="1422" w:type="dxa"/>
            <w:vAlign w:val="center"/>
          </w:tcPr>
          <w:p>
            <w:pPr>
              <w:wordWrap w:val="0"/>
              <w:jc w:val="center"/>
              <w:rPr>
                <w:rFonts w:ascii="仿宋_GB2312" w:hAnsi="仿宋" w:eastAsia="仿宋_GB2312"/>
                <w:sz w:val="30"/>
                <w:szCs w:val="30"/>
              </w:rPr>
            </w:pPr>
            <w:r>
              <w:rPr>
                <w:rFonts w:hint="eastAsia" w:ascii="仿宋_GB2312" w:eastAsia="仿宋_GB2312" w:hAnsiTheme="minorEastAsia"/>
                <w:sz w:val="30"/>
                <w:szCs w:val="30"/>
              </w:rPr>
              <w:t>鲍爽</w:t>
            </w:r>
          </w:p>
        </w:tc>
        <w:tc>
          <w:tcPr>
            <w:tcW w:w="3260" w:type="dxa"/>
            <w:vAlign w:val="center"/>
          </w:tcPr>
          <w:p>
            <w:pPr>
              <w:wordWrap w:val="0"/>
              <w:jc w:val="center"/>
              <w:rPr>
                <w:rFonts w:ascii="仿宋_GB2312" w:hAnsi="仿宋" w:eastAsia="仿宋_GB2312"/>
                <w:sz w:val="30"/>
                <w:szCs w:val="30"/>
              </w:rPr>
            </w:pPr>
            <w:r>
              <w:rPr>
                <w:rFonts w:hint="eastAsia" w:ascii="仿宋_GB2312" w:eastAsia="仿宋_GB2312" w:cs="宋体" w:hAnsiTheme="minorEastAsia"/>
                <w:sz w:val="30"/>
                <w:szCs w:val="30"/>
              </w:rPr>
              <w:t>计算机科学与技术专业</w:t>
            </w:r>
          </w:p>
        </w:tc>
        <w:tc>
          <w:tcPr>
            <w:tcW w:w="2947" w:type="dxa"/>
            <w:vAlign w:val="center"/>
          </w:tcPr>
          <w:p>
            <w:pPr>
              <w:wordWrap w:val="0"/>
              <w:jc w:val="center"/>
              <w:rPr>
                <w:rFonts w:ascii="仿宋_GB2312" w:hAnsi="仿宋" w:eastAsia="仿宋_GB2312"/>
                <w:sz w:val="30"/>
                <w:szCs w:val="30"/>
              </w:rPr>
            </w:pPr>
            <w:r>
              <w:rPr>
                <w:rFonts w:hint="eastAsia" w:ascii="仿宋_GB2312" w:eastAsia="仿宋_GB2312" w:hAnsiTheme="minorEastAsia"/>
                <w:sz w:val="30"/>
                <w:szCs w:val="30"/>
              </w:rPr>
              <w:t>实施工程师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jc w:val="center"/>
        </w:trPr>
        <w:tc>
          <w:tcPr>
            <w:tcW w:w="733" w:type="dxa"/>
            <w:vAlign w:val="center"/>
          </w:tcPr>
          <w:p>
            <w:pPr>
              <w:wordWrap w:val="0"/>
              <w:jc w:val="center"/>
              <w:rPr>
                <w:rFonts w:ascii="仿宋_GB2312" w:hAnsi="仿宋" w:eastAsia="仿宋_GB2312"/>
                <w:sz w:val="30"/>
                <w:szCs w:val="30"/>
              </w:rPr>
            </w:pPr>
            <w:r>
              <w:rPr>
                <w:rFonts w:hint="eastAsia" w:ascii="仿宋_GB2312" w:hAnsi="仿宋" w:eastAsia="仿宋_GB2312"/>
                <w:sz w:val="30"/>
                <w:szCs w:val="30"/>
              </w:rPr>
              <w:t>3</w:t>
            </w:r>
          </w:p>
        </w:tc>
        <w:tc>
          <w:tcPr>
            <w:tcW w:w="1422" w:type="dxa"/>
            <w:vAlign w:val="center"/>
          </w:tcPr>
          <w:p>
            <w:pPr>
              <w:wordWrap w:val="0"/>
              <w:jc w:val="center"/>
              <w:rPr>
                <w:rFonts w:ascii="仿宋_GB2312" w:hAnsi="仿宋" w:eastAsia="仿宋_GB2312"/>
                <w:sz w:val="30"/>
                <w:szCs w:val="30"/>
              </w:rPr>
            </w:pPr>
            <w:r>
              <w:rPr>
                <w:rFonts w:hint="eastAsia" w:ascii="仿宋_GB2312" w:eastAsia="仿宋_GB2312" w:hAnsiTheme="minorEastAsia"/>
                <w:sz w:val="30"/>
                <w:szCs w:val="30"/>
              </w:rPr>
              <w:t>张忠强</w:t>
            </w:r>
          </w:p>
        </w:tc>
        <w:tc>
          <w:tcPr>
            <w:tcW w:w="3260" w:type="dxa"/>
            <w:vAlign w:val="center"/>
          </w:tcPr>
          <w:p>
            <w:pPr>
              <w:wordWrap w:val="0"/>
              <w:jc w:val="center"/>
              <w:rPr>
                <w:rFonts w:ascii="仿宋_GB2312" w:hAnsi="仿宋" w:eastAsia="仿宋_GB2312"/>
                <w:sz w:val="30"/>
                <w:szCs w:val="30"/>
              </w:rPr>
            </w:pPr>
            <w:r>
              <w:rPr>
                <w:rFonts w:hint="eastAsia" w:ascii="仿宋_GB2312" w:eastAsia="仿宋_GB2312" w:cs="宋体" w:hAnsiTheme="minorEastAsia"/>
                <w:sz w:val="30"/>
                <w:szCs w:val="30"/>
              </w:rPr>
              <w:t>机械设计与自动化专业</w:t>
            </w:r>
          </w:p>
        </w:tc>
        <w:tc>
          <w:tcPr>
            <w:tcW w:w="2947" w:type="dxa"/>
            <w:vAlign w:val="center"/>
          </w:tcPr>
          <w:p>
            <w:pPr>
              <w:wordWrap w:val="0"/>
              <w:jc w:val="center"/>
              <w:rPr>
                <w:rFonts w:ascii="仿宋_GB2312" w:hAnsi="仿宋" w:eastAsia="仿宋_GB2312"/>
                <w:sz w:val="30"/>
                <w:szCs w:val="30"/>
              </w:rPr>
            </w:pPr>
            <w:r>
              <w:rPr>
                <w:rFonts w:hint="eastAsia" w:ascii="仿宋_GB2312" w:eastAsia="仿宋_GB2312" w:hAnsiTheme="minorEastAsia"/>
                <w:sz w:val="30"/>
                <w:szCs w:val="30"/>
              </w:rPr>
              <w:t>实施工程师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jc w:val="center"/>
        </w:trPr>
        <w:tc>
          <w:tcPr>
            <w:tcW w:w="733" w:type="dxa"/>
            <w:vAlign w:val="center"/>
          </w:tcPr>
          <w:p>
            <w:pPr>
              <w:wordWrap w:val="0"/>
              <w:jc w:val="center"/>
              <w:rPr>
                <w:rFonts w:ascii="仿宋_GB2312" w:hAnsi="仿宋" w:eastAsia="仿宋_GB2312"/>
                <w:sz w:val="30"/>
                <w:szCs w:val="30"/>
              </w:rPr>
            </w:pPr>
            <w:r>
              <w:rPr>
                <w:rFonts w:hint="eastAsia" w:ascii="仿宋_GB2312" w:hAnsi="仿宋" w:eastAsia="仿宋_GB2312"/>
                <w:sz w:val="30"/>
                <w:szCs w:val="30"/>
              </w:rPr>
              <w:t>4</w:t>
            </w:r>
          </w:p>
        </w:tc>
        <w:tc>
          <w:tcPr>
            <w:tcW w:w="1422" w:type="dxa"/>
            <w:vAlign w:val="center"/>
          </w:tcPr>
          <w:p>
            <w:pPr>
              <w:wordWrap w:val="0"/>
              <w:jc w:val="center"/>
              <w:rPr>
                <w:rFonts w:ascii="仿宋_GB2312" w:hAnsi="仿宋" w:eastAsia="仿宋_GB2312"/>
                <w:sz w:val="30"/>
                <w:szCs w:val="30"/>
              </w:rPr>
            </w:pPr>
            <w:r>
              <w:rPr>
                <w:rFonts w:hint="eastAsia" w:ascii="仿宋_GB2312" w:eastAsia="仿宋_GB2312" w:hAnsiTheme="minorEastAsia"/>
                <w:sz w:val="30"/>
                <w:szCs w:val="30"/>
              </w:rPr>
              <w:t>王琪</w:t>
            </w:r>
          </w:p>
        </w:tc>
        <w:tc>
          <w:tcPr>
            <w:tcW w:w="3260" w:type="dxa"/>
            <w:vAlign w:val="center"/>
          </w:tcPr>
          <w:p>
            <w:pPr>
              <w:jc w:val="center"/>
              <w:rPr>
                <w:rFonts w:ascii="仿宋_GB2312" w:hAnsi="仿宋" w:eastAsia="仿宋_GB2312"/>
                <w:sz w:val="30"/>
                <w:szCs w:val="30"/>
              </w:rPr>
            </w:pPr>
            <w:r>
              <w:rPr>
                <w:rFonts w:hint="eastAsia" w:ascii="仿宋_GB2312" w:eastAsia="仿宋_GB2312" w:cs="宋体" w:hAnsiTheme="minorEastAsia"/>
                <w:sz w:val="30"/>
                <w:szCs w:val="30"/>
              </w:rPr>
              <w:t>国际贸易专业</w:t>
            </w:r>
          </w:p>
        </w:tc>
        <w:tc>
          <w:tcPr>
            <w:tcW w:w="2947" w:type="dxa"/>
            <w:vAlign w:val="center"/>
          </w:tcPr>
          <w:p>
            <w:pPr>
              <w:wordWrap w:val="0"/>
              <w:jc w:val="center"/>
              <w:rPr>
                <w:rFonts w:ascii="仿宋_GB2312" w:hAnsi="仿宋" w:eastAsia="仿宋_GB2312"/>
                <w:sz w:val="30"/>
                <w:szCs w:val="30"/>
              </w:rPr>
            </w:pPr>
            <w:r>
              <w:rPr>
                <w:rFonts w:hint="eastAsia" w:ascii="仿宋_GB2312" w:eastAsia="仿宋_GB2312" w:hAnsiTheme="minorEastAsia"/>
                <w:sz w:val="30"/>
                <w:szCs w:val="30"/>
              </w:rPr>
              <w:t>实施工程师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jc w:val="center"/>
        </w:trPr>
        <w:tc>
          <w:tcPr>
            <w:tcW w:w="733" w:type="dxa"/>
            <w:vAlign w:val="center"/>
          </w:tcPr>
          <w:p>
            <w:pPr>
              <w:jc w:val="center"/>
              <w:rPr>
                <w:rFonts w:ascii="仿宋_GB2312" w:hAnsi="仿宋" w:eastAsia="仿宋_GB2312"/>
                <w:sz w:val="30"/>
                <w:szCs w:val="30"/>
              </w:rPr>
            </w:pPr>
            <w:r>
              <w:rPr>
                <w:rFonts w:hint="eastAsia" w:ascii="仿宋_GB2312" w:hAnsi="仿宋" w:eastAsia="仿宋_GB2312"/>
                <w:sz w:val="30"/>
                <w:szCs w:val="30"/>
              </w:rPr>
              <w:t>5</w:t>
            </w:r>
          </w:p>
        </w:tc>
        <w:tc>
          <w:tcPr>
            <w:tcW w:w="1422" w:type="dxa"/>
            <w:vAlign w:val="center"/>
          </w:tcPr>
          <w:p>
            <w:pPr>
              <w:wordWrap w:val="0"/>
              <w:jc w:val="center"/>
              <w:rPr>
                <w:rFonts w:ascii="仿宋_GB2312" w:hAnsi="仿宋" w:eastAsia="仿宋_GB2312"/>
                <w:sz w:val="30"/>
                <w:szCs w:val="30"/>
              </w:rPr>
            </w:pPr>
            <w:r>
              <w:rPr>
                <w:rFonts w:hint="eastAsia" w:ascii="仿宋_GB2312" w:eastAsia="仿宋_GB2312" w:hAnsiTheme="minorEastAsia"/>
                <w:sz w:val="30"/>
                <w:szCs w:val="30"/>
              </w:rPr>
              <w:t>张超</w:t>
            </w:r>
          </w:p>
        </w:tc>
        <w:tc>
          <w:tcPr>
            <w:tcW w:w="3260" w:type="dxa"/>
            <w:vAlign w:val="center"/>
          </w:tcPr>
          <w:p>
            <w:pPr>
              <w:wordWrap w:val="0"/>
              <w:jc w:val="center"/>
              <w:rPr>
                <w:rFonts w:ascii="仿宋_GB2312" w:hAnsi="仿宋" w:eastAsia="仿宋_GB2312"/>
                <w:sz w:val="30"/>
                <w:szCs w:val="30"/>
              </w:rPr>
            </w:pPr>
            <w:r>
              <w:rPr>
                <w:rFonts w:hint="eastAsia" w:ascii="仿宋_GB2312" w:eastAsia="仿宋_GB2312" w:cs="宋体" w:hAnsiTheme="minorEastAsia"/>
                <w:sz w:val="30"/>
                <w:szCs w:val="30"/>
              </w:rPr>
              <w:t>计算机科学与技术专业</w:t>
            </w:r>
          </w:p>
        </w:tc>
        <w:tc>
          <w:tcPr>
            <w:tcW w:w="2947" w:type="dxa"/>
            <w:vAlign w:val="center"/>
          </w:tcPr>
          <w:p>
            <w:pPr>
              <w:wordWrap w:val="0"/>
              <w:jc w:val="center"/>
              <w:rPr>
                <w:rFonts w:ascii="仿宋_GB2312" w:hAnsi="仿宋" w:eastAsia="仿宋_GB2312"/>
                <w:sz w:val="30"/>
                <w:szCs w:val="30"/>
              </w:rPr>
            </w:pPr>
            <w:r>
              <w:rPr>
                <w:rFonts w:hint="eastAsia" w:ascii="仿宋_GB2312" w:eastAsia="仿宋_GB2312" w:hAnsiTheme="minorEastAsia"/>
                <w:sz w:val="30"/>
                <w:szCs w:val="30"/>
              </w:rPr>
              <w:t>实施工程师</w:t>
            </w:r>
          </w:p>
        </w:tc>
      </w:tr>
    </w:tbl>
    <w:p>
      <w:pPr>
        <w:rPr>
          <w:rFonts w:ascii="黑体" w:eastAsia="黑体"/>
          <w:sz w:val="28"/>
        </w:rPr>
      </w:pPr>
      <w:r>
        <w:rPr>
          <w:rFonts w:ascii="方正仿宋_GBK" w:eastAsia="方正仿宋_GBK"/>
          <w:b/>
          <w:sz w:val="32"/>
        </w:rPr>
        <w:br w:type="page"/>
      </w:r>
      <w:r>
        <w:rPr>
          <w:rFonts w:hint="eastAsia" w:ascii="仿宋" w:hAnsi="仿宋" w:eastAsia="仿宋" w:cs="仿宋"/>
          <w:sz w:val="28"/>
          <w:szCs w:val="28"/>
        </w:rPr>
        <w:t>附件3：</w:t>
      </w:r>
    </w:p>
    <w:p>
      <w:pPr>
        <w:jc w:val="center"/>
        <w:rPr>
          <w:rFonts w:ascii="仿宋" w:hAnsi="仿宋" w:eastAsia="仿宋" w:cs="仿宋"/>
          <w:b/>
          <w:sz w:val="32"/>
        </w:rPr>
      </w:pPr>
      <w:r>
        <w:rPr>
          <w:rFonts w:hint="eastAsia" w:ascii="仿宋" w:hAnsi="仿宋" w:eastAsia="仿宋" w:cs="仿宋"/>
          <w:b/>
          <w:sz w:val="32"/>
        </w:rPr>
        <w:t>分项价格表</w:t>
      </w:r>
    </w:p>
    <w:p>
      <w:pPr>
        <w:jc w:val="center"/>
        <w:rPr>
          <w:rFonts w:ascii="华文中宋" w:hAnsi="华文中宋" w:eastAsia="华文中宋"/>
          <w:b/>
          <w:sz w:val="32"/>
        </w:rPr>
      </w:pPr>
    </w:p>
    <w:tbl>
      <w:tblPr>
        <w:tblStyle w:val="22"/>
        <w:tblW w:w="8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040"/>
        <w:gridCol w:w="1701"/>
        <w:gridCol w:w="165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084" w:type="dxa"/>
            <w:vMerge w:val="restart"/>
            <w:tcBorders>
              <w:top w:val="single" w:color="auto" w:sz="4" w:space="0"/>
              <w:left w:val="single" w:color="auto" w:sz="4" w:space="0"/>
            </w:tcBorders>
            <w:tcMar>
              <w:left w:w="85" w:type="dxa"/>
              <w:right w:w="85" w:type="dxa"/>
            </w:tcMar>
            <w:vAlign w:val="center"/>
          </w:tcPr>
          <w:p>
            <w:pPr>
              <w:overflowPunct w:val="0"/>
              <w:autoSpaceDE w:val="0"/>
              <w:autoSpaceDN w:val="0"/>
              <w:adjustRightInd w:val="0"/>
              <w:snapToGrid w:val="0"/>
              <w:spacing w:line="480" w:lineRule="exact"/>
              <w:jc w:val="center"/>
              <w:textAlignment w:val="baseline"/>
              <w:rPr>
                <w:rFonts w:ascii="仿宋" w:hAnsi="仿宋" w:eastAsia="仿宋"/>
                <w:sz w:val="28"/>
              </w:rPr>
            </w:pPr>
            <w:r>
              <w:rPr>
                <w:rFonts w:hint="eastAsia" w:ascii="仿宋" w:hAnsi="仿宋" w:eastAsia="仿宋"/>
                <w:sz w:val="28"/>
              </w:rPr>
              <w:t>序号</w:t>
            </w:r>
          </w:p>
        </w:tc>
        <w:tc>
          <w:tcPr>
            <w:tcW w:w="3040" w:type="dxa"/>
            <w:vMerge w:val="restart"/>
            <w:tcBorders>
              <w:top w:val="single" w:color="auto" w:sz="4" w:space="0"/>
            </w:tcBorders>
            <w:tcMar>
              <w:left w:w="85" w:type="dxa"/>
              <w:right w:w="85" w:type="dxa"/>
            </w:tcMar>
            <w:vAlign w:val="center"/>
          </w:tcPr>
          <w:p>
            <w:pPr>
              <w:overflowPunct w:val="0"/>
              <w:autoSpaceDE w:val="0"/>
              <w:autoSpaceDN w:val="0"/>
              <w:adjustRightInd w:val="0"/>
              <w:snapToGrid w:val="0"/>
              <w:spacing w:line="480" w:lineRule="exact"/>
              <w:jc w:val="center"/>
              <w:textAlignment w:val="baseline"/>
              <w:rPr>
                <w:rFonts w:ascii="仿宋" w:hAnsi="仿宋" w:eastAsia="仿宋"/>
                <w:sz w:val="28"/>
              </w:rPr>
            </w:pPr>
            <w:r>
              <w:rPr>
                <w:rFonts w:hint="eastAsia" w:ascii="仿宋" w:hAnsi="仿宋" w:eastAsia="仿宋"/>
                <w:sz w:val="28"/>
              </w:rPr>
              <w:t>项  目</w:t>
            </w:r>
          </w:p>
        </w:tc>
        <w:tc>
          <w:tcPr>
            <w:tcW w:w="4208" w:type="dxa"/>
            <w:gridSpan w:val="3"/>
            <w:tcBorders>
              <w:top w:val="single" w:color="auto" w:sz="4" w:space="0"/>
              <w:right w:val="single" w:color="auto" w:sz="4" w:space="0"/>
            </w:tcBorders>
            <w:tcMar>
              <w:left w:w="170" w:type="dxa"/>
              <w:right w:w="85" w:type="dxa"/>
            </w:tcMar>
            <w:vAlign w:val="center"/>
          </w:tcPr>
          <w:p>
            <w:pPr>
              <w:overflowPunct w:val="0"/>
              <w:autoSpaceDE w:val="0"/>
              <w:autoSpaceDN w:val="0"/>
              <w:adjustRightInd w:val="0"/>
              <w:snapToGrid w:val="0"/>
              <w:spacing w:line="480" w:lineRule="exact"/>
              <w:jc w:val="center"/>
              <w:textAlignment w:val="baseline"/>
              <w:rPr>
                <w:rFonts w:ascii="仿宋" w:hAnsi="仿宋" w:eastAsia="仿宋"/>
                <w:b/>
                <w:sz w:val="28"/>
              </w:rPr>
            </w:pPr>
            <w:r>
              <w:rPr>
                <w:rFonts w:hint="eastAsia" w:ascii="仿宋" w:hAnsi="仿宋" w:eastAsia="仿宋"/>
                <w:b/>
                <w:sz w:val="28"/>
              </w:rPr>
              <w:t>价格（万元）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84" w:type="dxa"/>
            <w:vMerge w:val="continue"/>
            <w:tcBorders>
              <w:left w:val="single" w:color="auto" w:sz="4" w:space="0"/>
            </w:tcBorders>
            <w:tcMar>
              <w:left w:w="85" w:type="dxa"/>
              <w:right w:w="85" w:type="dxa"/>
            </w:tcMar>
            <w:vAlign w:val="center"/>
          </w:tcPr>
          <w:p>
            <w:pPr>
              <w:overflowPunct w:val="0"/>
              <w:autoSpaceDE w:val="0"/>
              <w:autoSpaceDN w:val="0"/>
              <w:adjustRightInd w:val="0"/>
              <w:snapToGrid w:val="0"/>
              <w:spacing w:line="480" w:lineRule="exact"/>
              <w:jc w:val="center"/>
              <w:textAlignment w:val="baseline"/>
              <w:rPr>
                <w:rFonts w:ascii="仿宋" w:hAnsi="仿宋" w:eastAsia="仿宋"/>
                <w:sz w:val="28"/>
              </w:rPr>
            </w:pPr>
          </w:p>
        </w:tc>
        <w:tc>
          <w:tcPr>
            <w:tcW w:w="3040" w:type="dxa"/>
            <w:vMerge w:val="continue"/>
            <w:tcMar>
              <w:left w:w="85" w:type="dxa"/>
              <w:right w:w="85" w:type="dxa"/>
            </w:tcMar>
            <w:vAlign w:val="center"/>
          </w:tcPr>
          <w:p>
            <w:pPr>
              <w:overflowPunct w:val="0"/>
              <w:autoSpaceDE w:val="0"/>
              <w:autoSpaceDN w:val="0"/>
              <w:adjustRightInd w:val="0"/>
              <w:snapToGrid w:val="0"/>
              <w:spacing w:line="480" w:lineRule="exact"/>
              <w:jc w:val="center"/>
              <w:textAlignment w:val="baseline"/>
              <w:rPr>
                <w:rFonts w:ascii="仿宋" w:hAnsi="仿宋" w:eastAsia="仿宋"/>
                <w:sz w:val="28"/>
              </w:rPr>
            </w:pPr>
          </w:p>
        </w:tc>
        <w:tc>
          <w:tcPr>
            <w:tcW w:w="1701" w:type="dxa"/>
            <w:tcBorders>
              <w:top w:val="single" w:color="auto" w:sz="4" w:space="0"/>
              <w:right w:val="single" w:color="auto" w:sz="4" w:space="0"/>
            </w:tcBorders>
            <w:tcMar>
              <w:left w:w="170" w:type="dxa"/>
              <w:right w:w="85" w:type="dxa"/>
            </w:tcMar>
            <w:vAlign w:val="center"/>
          </w:tcPr>
          <w:p>
            <w:pPr>
              <w:overflowPunct w:val="0"/>
              <w:autoSpaceDE w:val="0"/>
              <w:autoSpaceDN w:val="0"/>
              <w:adjustRightInd w:val="0"/>
              <w:snapToGrid w:val="0"/>
              <w:spacing w:line="480" w:lineRule="exact"/>
              <w:jc w:val="center"/>
              <w:textAlignment w:val="baseline"/>
              <w:rPr>
                <w:rFonts w:ascii="仿宋" w:hAnsi="仿宋" w:eastAsia="仿宋"/>
                <w:b/>
                <w:sz w:val="28"/>
              </w:rPr>
            </w:pPr>
            <w:r>
              <w:rPr>
                <w:rFonts w:hint="eastAsia" w:ascii="仿宋" w:hAnsi="仿宋" w:eastAsia="仿宋"/>
                <w:b/>
                <w:sz w:val="28"/>
              </w:rPr>
              <w:t>不含税价格（万元）</w:t>
            </w:r>
          </w:p>
        </w:tc>
        <w:tc>
          <w:tcPr>
            <w:tcW w:w="1656" w:type="dxa"/>
            <w:tcBorders>
              <w:top w:val="single" w:color="auto" w:sz="4" w:space="0"/>
              <w:right w:val="single" w:color="auto" w:sz="4" w:space="0"/>
            </w:tcBorders>
            <w:vAlign w:val="center"/>
          </w:tcPr>
          <w:p>
            <w:pPr>
              <w:overflowPunct w:val="0"/>
              <w:autoSpaceDE w:val="0"/>
              <w:autoSpaceDN w:val="0"/>
              <w:adjustRightInd w:val="0"/>
              <w:snapToGrid w:val="0"/>
              <w:spacing w:line="480" w:lineRule="exact"/>
              <w:jc w:val="center"/>
              <w:textAlignment w:val="baseline"/>
              <w:rPr>
                <w:rFonts w:ascii="仿宋" w:hAnsi="仿宋" w:eastAsia="仿宋"/>
                <w:b/>
                <w:sz w:val="28"/>
              </w:rPr>
            </w:pPr>
            <w:r>
              <w:rPr>
                <w:rFonts w:hint="eastAsia" w:ascii="仿宋" w:hAnsi="仿宋" w:eastAsia="仿宋"/>
                <w:b/>
                <w:sz w:val="28"/>
              </w:rPr>
              <w:t>含税价格（万元）</w:t>
            </w:r>
          </w:p>
        </w:tc>
        <w:tc>
          <w:tcPr>
            <w:tcW w:w="851" w:type="dxa"/>
            <w:tcBorders>
              <w:top w:val="single" w:color="auto" w:sz="4" w:space="0"/>
              <w:right w:val="single" w:color="auto" w:sz="4" w:space="0"/>
            </w:tcBorders>
            <w:vAlign w:val="center"/>
          </w:tcPr>
          <w:p>
            <w:pPr>
              <w:overflowPunct w:val="0"/>
              <w:autoSpaceDE w:val="0"/>
              <w:autoSpaceDN w:val="0"/>
              <w:adjustRightInd w:val="0"/>
              <w:snapToGrid w:val="0"/>
              <w:spacing w:line="480" w:lineRule="exact"/>
              <w:jc w:val="center"/>
              <w:textAlignment w:val="baseline"/>
              <w:rPr>
                <w:rFonts w:ascii="仿宋" w:hAnsi="仿宋" w:eastAsia="仿宋"/>
                <w:b/>
                <w:sz w:val="28"/>
              </w:rPr>
            </w:pPr>
            <w:r>
              <w:rPr>
                <w:rFonts w:hint="eastAsia" w:ascii="仿宋" w:hAnsi="仿宋" w:eastAsia="仿宋"/>
                <w:b/>
                <w:sz w:val="28"/>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084" w:type="dxa"/>
            <w:tcBorders>
              <w:left w:val="single" w:color="auto" w:sz="4" w:space="0"/>
            </w:tcBorders>
            <w:tcMar>
              <w:left w:w="85" w:type="dxa"/>
              <w:right w:w="85" w:type="dxa"/>
            </w:tcMar>
            <w:vAlign w:val="center"/>
          </w:tcPr>
          <w:p>
            <w:pPr>
              <w:overflowPunct w:val="0"/>
              <w:autoSpaceDE w:val="0"/>
              <w:autoSpaceDN w:val="0"/>
              <w:adjustRightInd w:val="0"/>
              <w:snapToGrid w:val="0"/>
              <w:spacing w:line="480" w:lineRule="exact"/>
              <w:jc w:val="center"/>
              <w:textAlignment w:val="baseline"/>
              <w:rPr>
                <w:rFonts w:ascii="仿宋" w:hAnsi="仿宋" w:eastAsia="仿宋"/>
                <w:sz w:val="28"/>
              </w:rPr>
            </w:pPr>
            <w:r>
              <w:rPr>
                <w:rFonts w:hint="eastAsia" w:ascii="仿宋" w:hAnsi="仿宋" w:eastAsia="仿宋"/>
                <w:sz w:val="28"/>
              </w:rPr>
              <w:t>1</w:t>
            </w:r>
          </w:p>
        </w:tc>
        <w:tc>
          <w:tcPr>
            <w:tcW w:w="3040" w:type="dxa"/>
            <w:tcMar>
              <w:left w:w="85" w:type="dxa"/>
              <w:right w:w="85" w:type="dxa"/>
            </w:tcMar>
            <w:vAlign w:val="center"/>
          </w:tcPr>
          <w:p>
            <w:pPr>
              <w:overflowPunct w:val="0"/>
              <w:autoSpaceDE w:val="0"/>
              <w:autoSpaceDN w:val="0"/>
              <w:adjustRightInd w:val="0"/>
              <w:snapToGrid w:val="0"/>
              <w:spacing w:line="480" w:lineRule="exact"/>
              <w:jc w:val="center"/>
              <w:textAlignment w:val="baseline"/>
              <w:rPr>
                <w:rFonts w:ascii="仿宋" w:hAnsi="仿宋" w:eastAsia="仿宋"/>
                <w:sz w:val="28"/>
              </w:rPr>
            </w:pPr>
            <w:r>
              <w:rPr>
                <w:rFonts w:hint="eastAsia" w:ascii="仿宋" w:hAnsi="仿宋" w:eastAsia="仿宋"/>
                <w:sz w:val="28"/>
              </w:rPr>
              <w:t>结算依据管理等功能优化服务</w:t>
            </w:r>
          </w:p>
        </w:tc>
        <w:tc>
          <w:tcPr>
            <w:tcW w:w="1701" w:type="dxa"/>
            <w:tcBorders>
              <w:right w:val="single" w:color="auto" w:sz="4" w:space="0"/>
            </w:tcBorders>
            <w:tcMar>
              <w:left w:w="170" w:type="dxa"/>
              <w:right w:w="85" w:type="dxa"/>
            </w:tcMar>
            <w:vAlign w:val="center"/>
          </w:tcPr>
          <w:p>
            <w:pPr>
              <w:jc w:val="center"/>
              <w:rPr>
                <w:rFonts w:ascii="仿宋" w:hAnsi="仿宋" w:eastAsia="仿宋"/>
                <w:sz w:val="28"/>
              </w:rPr>
            </w:pPr>
            <w:r>
              <w:rPr>
                <w:rFonts w:ascii="仿宋" w:hAnsi="仿宋" w:eastAsia="仿宋"/>
                <w:sz w:val="28"/>
              </w:rPr>
              <w:t>13</w:t>
            </w:r>
            <w:r>
              <w:rPr>
                <w:rFonts w:hint="eastAsia" w:ascii="仿宋" w:hAnsi="仿宋" w:eastAsia="仿宋"/>
                <w:sz w:val="28"/>
              </w:rPr>
              <w:t>.</w:t>
            </w:r>
            <w:r>
              <w:rPr>
                <w:rFonts w:ascii="仿宋" w:hAnsi="仿宋" w:eastAsia="仿宋"/>
                <w:sz w:val="28"/>
              </w:rPr>
              <w:t>490566</w:t>
            </w:r>
          </w:p>
        </w:tc>
        <w:tc>
          <w:tcPr>
            <w:tcW w:w="1656" w:type="dxa"/>
            <w:tcBorders>
              <w:right w:val="single" w:color="auto" w:sz="4" w:space="0"/>
            </w:tcBorders>
            <w:vAlign w:val="center"/>
          </w:tcPr>
          <w:p>
            <w:pPr>
              <w:jc w:val="center"/>
              <w:rPr>
                <w:rFonts w:ascii="仿宋" w:hAnsi="仿宋" w:eastAsia="仿宋"/>
                <w:sz w:val="28"/>
              </w:rPr>
            </w:pPr>
            <w:r>
              <w:rPr>
                <w:rFonts w:hint="eastAsia" w:ascii="仿宋" w:hAnsi="仿宋" w:eastAsia="仿宋"/>
                <w:sz w:val="28"/>
              </w:rPr>
              <w:t>14.3</w:t>
            </w:r>
            <w:r>
              <w:rPr>
                <w:rFonts w:ascii="仿宋" w:hAnsi="仿宋" w:eastAsia="仿宋"/>
                <w:sz w:val="28"/>
              </w:rPr>
              <w:t xml:space="preserve"> </w:t>
            </w:r>
          </w:p>
        </w:tc>
        <w:tc>
          <w:tcPr>
            <w:tcW w:w="851" w:type="dxa"/>
            <w:tcBorders>
              <w:right w:val="single" w:color="auto" w:sz="4" w:space="0"/>
            </w:tcBorders>
            <w:vAlign w:val="center"/>
          </w:tcPr>
          <w:p>
            <w:pPr>
              <w:jc w:val="center"/>
              <w:rPr>
                <w:rFonts w:ascii="仿宋" w:hAnsi="仿宋" w:eastAsia="仿宋"/>
                <w:sz w:val="28"/>
              </w:rPr>
            </w:pPr>
            <w:r>
              <w:rPr>
                <w:rFonts w:hint="eastAsia" w:ascii="仿宋" w:hAnsi="仿宋" w:eastAsia="仿宋"/>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4124" w:type="dxa"/>
            <w:gridSpan w:val="2"/>
            <w:tcBorders>
              <w:left w:val="single" w:color="auto" w:sz="4" w:space="0"/>
              <w:bottom w:val="single" w:color="auto" w:sz="4" w:space="0"/>
              <w:right w:val="single" w:color="auto" w:sz="4" w:space="0"/>
            </w:tcBorders>
            <w:tcMar>
              <w:left w:w="85" w:type="dxa"/>
              <w:right w:w="85" w:type="dxa"/>
            </w:tcMar>
            <w:vAlign w:val="center"/>
          </w:tcPr>
          <w:p>
            <w:pPr>
              <w:overflowPunct w:val="0"/>
              <w:autoSpaceDE w:val="0"/>
              <w:autoSpaceDN w:val="0"/>
              <w:adjustRightInd w:val="0"/>
              <w:snapToGrid w:val="0"/>
              <w:spacing w:line="480" w:lineRule="exact"/>
              <w:ind w:firstLine="562" w:firstLineChars="200"/>
              <w:jc w:val="center"/>
              <w:textAlignment w:val="baseline"/>
              <w:rPr>
                <w:rFonts w:ascii="方正仿宋_GBK" w:eastAsia="方正仿宋_GBK"/>
                <w:b/>
                <w:sz w:val="28"/>
              </w:rPr>
            </w:pPr>
            <w:r>
              <w:rPr>
                <w:rFonts w:hint="eastAsia" w:ascii="仿宋" w:hAnsi="仿宋" w:eastAsia="仿宋"/>
                <w:b/>
                <w:sz w:val="28"/>
              </w:rPr>
              <w:t>合计</w:t>
            </w:r>
          </w:p>
        </w:tc>
        <w:tc>
          <w:tcPr>
            <w:tcW w:w="1701" w:type="dxa"/>
            <w:tcBorders>
              <w:left w:val="single" w:color="auto" w:sz="4" w:space="0"/>
              <w:bottom w:val="single" w:color="auto" w:sz="4" w:space="0"/>
              <w:right w:val="single" w:color="auto" w:sz="4" w:space="0"/>
            </w:tcBorders>
            <w:tcMar>
              <w:left w:w="170" w:type="dxa"/>
              <w:right w:w="85" w:type="dxa"/>
            </w:tcMar>
            <w:vAlign w:val="center"/>
          </w:tcPr>
          <w:p>
            <w:pPr>
              <w:jc w:val="center"/>
              <w:rPr>
                <w:rFonts w:ascii="仿宋" w:hAnsi="仿宋" w:eastAsia="仿宋"/>
                <w:b/>
                <w:sz w:val="28"/>
              </w:rPr>
            </w:pPr>
            <w:r>
              <w:rPr>
                <w:rFonts w:ascii="仿宋" w:hAnsi="仿宋" w:eastAsia="仿宋"/>
                <w:b/>
                <w:sz w:val="28"/>
              </w:rPr>
              <w:t>13</w:t>
            </w:r>
            <w:r>
              <w:rPr>
                <w:rFonts w:hint="eastAsia" w:ascii="仿宋" w:hAnsi="仿宋" w:eastAsia="仿宋"/>
                <w:b/>
                <w:sz w:val="28"/>
              </w:rPr>
              <w:t>.</w:t>
            </w:r>
            <w:r>
              <w:rPr>
                <w:rFonts w:ascii="仿宋" w:hAnsi="仿宋" w:eastAsia="仿宋"/>
                <w:b/>
                <w:sz w:val="28"/>
              </w:rPr>
              <w:t>490566</w:t>
            </w:r>
          </w:p>
        </w:tc>
        <w:tc>
          <w:tcPr>
            <w:tcW w:w="1656" w:type="dxa"/>
            <w:tcBorders>
              <w:left w:val="single" w:color="auto" w:sz="4" w:space="0"/>
              <w:bottom w:val="single" w:color="auto" w:sz="4" w:space="0"/>
              <w:right w:val="single" w:color="auto" w:sz="4" w:space="0"/>
            </w:tcBorders>
            <w:vAlign w:val="center"/>
          </w:tcPr>
          <w:p>
            <w:pPr>
              <w:jc w:val="center"/>
              <w:rPr>
                <w:rFonts w:ascii="仿宋" w:hAnsi="仿宋" w:eastAsia="仿宋"/>
                <w:b/>
                <w:sz w:val="28"/>
              </w:rPr>
            </w:pPr>
            <w:r>
              <w:rPr>
                <w:rFonts w:hint="eastAsia" w:ascii="仿宋" w:hAnsi="仿宋" w:eastAsia="仿宋"/>
                <w:b/>
                <w:sz w:val="28"/>
              </w:rPr>
              <w:t>14.3</w:t>
            </w:r>
          </w:p>
        </w:tc>
        <w:tc>
          <w:tcPr>
            <w:tcW w:w="851" w:type="dxa"/>
            <w:tcBorders>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6%</w:t>
            </w:r>
          </w:p>
        </w:tc>
      </w:tr>
    </w:tbl>
    <w:p>
      <w:pPr>
        <w:rPr>
          <w:rFonts w:ascii="仿宋" w:hAnsi="仿宋" w:eastAsia="仿宋" w:cs="仿宋"/>
          <w:sz w:val="28"/>
          <w:szCs w:val="28"/>
        </w:rPr>
      </w:pPr>
      <w:r>
        <w:rPr>
          <w:rFonts w:ascii="方正仿宋_GBK" w:eastAsia="方正仿宋_GBK"/>
          <w:sz w:val="32"/>
        </w:rPr>
        <w:br w:type="page"/>
      </w:r>
      <w:r>
        <w:rPr>
          <w:rFonts w:hint="eastAsia" w:ascii="仿宋" w:hAnsi="仿宋" w:eastAsia="仿宋" w:cs="仿宋"/>
          <w:sz w:val="28"/>
          <w:szCs w:val="28"/>
        </w:rPr>
        <w:t>附件4：</w:t>
      </w:r>
    </w:p>
    <w:p>
      <w:pPr>
        <w:jc w:val="center"/>
        <w:rPr>
          <w:rFonts w:ascii="华文中宋" w:hAnsi="华文中宋" w:eastAsia="华文中宋" w:cs="仿宋"/>
          <w:b/>
          <w:sz w:val="32"/>
          <w:szCs w:val="32"/>
        </w:rPr>
      </w:pPr>
      <w:r>
        <w:rPr>
          <w:rFonts w:hint="eastAsia" w:ascii="华文中宋" w:hAnsi="华文中宋" w:eastAsia="华文中宋" w:cs="仿宋"/>
          <w:b/>
          <w:sz w:val="32"/>
          <w:szCs w:val="32"/>
        </w:rPr>
        <w:t>履约保函格式</w:t>
      </w:r>
    </w:p>
    <w:p>
      <w:pPr>
        <w:jc w:val="center"/>
        <w:rPr>
          <w:rFonts w:ascii="华文中宋" w:hAnsi="华文中宋" w:eastAsia="华文中宋"/>
          <w:sz w:val="32"/>
        </w:rPr>
      </w:pPr>
    </w:p>
    <w:p>
      <w:pPr>
        <w:jc w:val="center"/>
        <w:rPr>
          <w:rFonts w:ascii="仿宋" w:hAnsi="仿宋" w:eastAsia="仿宋"/>
          <w:sz w:val="28"/>
        </w:rPr>
      </w:pPr>
      <w:r>
        <w:rPr>
          <w:rFonts w:ascii="仿宋" w:hAnsi="仿宋" w:eastAsia="仿宋"/>
          <w:sz w:val="28"/>
        </w:rPr>
        <w:t>履约保函</w:t>
      </w:r>
    </w:p>
    <w:p>
      <w:pPr>
        <w:jc w:val="center"/>
        <w:rPr>
          <w:rFonts w:ascii="仿宋" w:hAnsi="仿宋" w:eastAsia="仿宋"/>
          <w:b/>
          <w:sz w:val="28"/>
        </w:rPr>
      </w:pPr>
      <w:r>
        <w:rPr>
          <w:rFonts w:hint="eastAsia" w:ascii="仿宋" w:hAnsi="仿宋" w:eastAsia="仿宋"/>
          <w:b/>
          <w:sz w:val="28"/>
        </w:rPr>
        <w:t xml:space="preserve"> </w:t>
      </w:r>
    </w:p>
    <w:p>
      <w:pPr>
        <w:rPr>
          <w:rFonts w:ascii="仿宋" w:hAnsi="仿宋" w:eastAsia="仿宋"/>
          <w:sz w:val="28"/>
        </w:rPr>
      </w:pPr>
      <w:r>
        <w:rPr>
          <w:rFonts w:ascii="仿宋" w:hAnsi="仿宋" w:eastAsia="仿宋"/>
          <w:sz w:val="28"/>
        </w:rPr>
        <w:t>致：</w:t>
      </w:r>
      <w:r>
        <w:rPr>
          <w:rFonts w:hint="eastAsia" w:ascii="仿宋" w:hAnsi="仿宋" w:eastAsia="仿宋"/>
          <w:sz w:val="28"/>
          <w:u w:val="single"/>
        </w:rPr>
        <w:t xml:space="preserve">      /      </w:t>
      </w:r>
      <w:r>
        <w:rPr>
          <w:rFonts w:hint="eastAsia" w:ascii="仿宋" w:hAnsi="仿宋" w:eastAsia="仿宋"/>
          <w:sz w:val="28"/>
        </w:rPr>
        <w:t>（委托方）</w:t>
      </w:r>
    </w:p>
    <w:p>
      <w:pPr>
        <w:ind w:firstLine="560"/>
        <w:rPr>
          <w:rFonts w:ascii="仿宋" w:hAnsi="仿宋" w:eastAsia="仿宋"/>
          <w:sz w:val="28"/>
        </w:rPr>
      </w:pPr>
    </w:p>
    <w:p>
      <w:pPr>
        <w:spacing w:line="480" w:lineRule="exact"/>
        <w:ind w:firstLine="560"/>
        <w:rPr>
          <w:rFonts w:ascii="仿宋" w:hAnsi="仿宋" w:eastAsia="仿宋"/>
          <w:sz w:val="28"/>
        </w:rPr>
      </w:pPr>
      <w:r>
        <w:rPr>
          <w:rFonts w:ascii="仿宋" w:hAnsi="仿宋" w:eastAsia="仿宋"/>
          <w:sz w:val="28"/>
        </w:rPr>
        <w:t>鉴于</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ascii="仿宋" w:hAnsi="仿宋" w:eastAsia="仿宋"/>
          <w:sz w:val="28"/>
        </w:rPr>
        <w:t>（受托方名称）（以下简称受托方）</w:t>
      </w:r>
      <w:r>
        <w:rPr>
          <w:rFonts w:hint="eastAsia" w:ascii="仿宋" w:hAnsi="仿宋" w:eastAsia="仿宋"/>
          <w:sz w:val="28"/>
        </w:rPr>
        <w:t>将</w:t>
      </w:r>
      <w:r>
        <w:rPr>
          <w:rFonts w:ascii="仿宋" w:hAnsi="仿宋" w:eastAsia="仿宋"/>
          <w:sz w:val="28"/>
        </w:rPr>
        <w:t>根据</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ascii="仿宋" w:hAnsi="仿宋" w:eastAsia="仿宋"/>
          <w:sz w:val="28"/>
        </w:rPr>
        <w:t>年</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ascii="仿宋" w:hAnsi="仿宋" w:eastAsia="仿宋"/>
          <w:sz w:val="28"/>
        </w:rPr>
        <w:t>月</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ascii="仿宋" w:hAnsi="仿宋" w:eastAsia="仿宋"/>
          <w:sz w:val="28"/>
        </w:rPr>
        <w:t>日</w:t>
      </w:r>
      <w:r>
        <w:rPr>
          <w:rFonts w:hint="eastAsia" w:ascii="仿宋" w:hAnsi="仿宋" w:eastAsia="仿宋"/>
          <w:sz w:val="28"/>
        </w:rPr>
        <w:t>签订</w:t>
      </w:r>
      <w:r>
        <w:rPr>
          <w:rFonts w:ascii="仿宋" w:hAnsi="仿宋" w:eastAsia="仿宋"/>
          <w:sz w:val="28"/>
        </w:rPr>
        <w:t>的</w:t>
      </w:r>
      <w:r>
        <w:rPr>
          <w:rFonts w:hint="eastAsia" w:ascii="仿宋" w:hAnsi="仿宋" w:eastAsia="仿宋"/>
          <w:sz w:val="28"/>
        </w:rPr>
        <w:t>编号为</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hint="eastAsia" w:ascii="仿宋" w:hAnsi="仿宋" w:eastAsia="仿宋"/>
          <w:sz w:val="28"/>
        </w:rPr>
        <w:t>的</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hint="eastAsia" w:ascii="仿宋" w:hAnsi="仿宋" w:eastAsia="仿宋"/>
          <w:sz w:val="28"/>
        </w:rPr>
        <w:t>系统/软件实施服务</w:t>
      </w:r>
      <w:r>
        <w:rPr>
          <w:rFonts w:ascii="仿宋" w:hAnsi="仿宋" w:eastAsia="仿宋"/>
          <w:sz w:val="28"/>
        </w:rPr>
        <w:t>合同（以下简称合同）向委托方提供</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hint="eastAsia" w:ascii="仿宋" w:hAnsi="仿宋" w:eastAsia="仿宋"/>
          <w:sz w:val="28"/>
        </w:rPr>
        <w:t>实施服务，</w:t>
      </w:r>
      <w:r>
        <w:rPr>
          <w:rFonts w:ascii="仿宋" w:hAnsi="仿宋" w:eastAsia="仿宋"/>
          <w:sz w:val="28"/>
        </w:rPr>
        <w:t>根据合同约定</w:t>
      </w:r>
      <w:r>
        <w:rPr>
          <w:rFonts w:hint="eastAsia" w:ascii="仿宋" w:hAnsi="仿宋" w:eastAsia="仿宋"/>
          <w:sz w:val="28"/>
        </w:rPr>
        <w:t>，</w:t>
      </w:r>
      <w:r>
        <w:rPr>
          <w:rFonts w:ascii="仿宋" w:hAnsi="仿宋" w:eastAsia="仿宋"/>
          <w:sz w:val="28"/>
        </w:rPr>
        <w:t>受托方应向贵方提交由指定银行出具的相当于合同价格10%的履约保函，金额为人民币</w:t>
      </w:r>
      <w:r>
        <w:rPr>
          <w:rFonts w:hint="eastAsia" w:ascii="仿宋" w:hAnsi="仿宋" w:eastAsia="仿宋"/>
          <w:sz w:val="28"/>
        </w:rPr>
        <w:t>大写</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hint="eastAsia" w:ascii="仿宋" w:hAnsi="仿宋" w:eastAsia="仿宋"/>
          <w:sz w:val="28"/>
        </w:rPr>
        <w:t>（</w:t>
      </w:r>
      <w:r>
        <w:rPr>
          <w:rFonts w:hint="eastAsia" w:ascii="宋体" w:hAnsi="宋体"/>
          <w:snapToGrid w:val="0"/>
          <w:kern w:val="0"/>
          <w:sz w:val="28"/>
        </w:rPr>
        <w:t>¥</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hint="eastAsia" w:ascii="仿宋" w:hAnsi="仿宋" w:eastAsia="仿宋"/>
          <w:sz w:val="28"/>
        </w:rPr>
        <w:t>），</w:t>
      </w:r>
      <w:r>
        <w:rPr>
          <w:rFonts w:ascii="仿宋" w:hAnsi="仿宋" w:eastAsia="仿宋"/>
          <w:sz w:val="28"/>
        </w:rPr>
        <w:t>作为受托方履行合同义务的</w:t>
      </w:r>
      <w:r>
        <w:rPr>
          <w:rFonts w:hint="eastAsia" w:ascii="仿宋" w:hAnsi="仿宋" w:eastAsia="仿宋"/>
          <w:sz w:val="28"/>
        </w:rPr>
        <w:t>担保</w:t>
      </w:r>
      <w:r>
        <w:rPr>
          <w:rFonts w:ascii="仿宋" w:hAnsi="仿宋" w:eastAsia="仿宋"/>
          <w:sz w:val="28"/>
        </w:rPr>
        <w:t>。</w:t>
      </w:r>
    </w:p>
    <w:p>
      <w:pPr>
        <w:spacing w:line="480" w:lineRule="exact"/>
        <w:ind w:firstLine="560"/>
        <w:rPr>
          <w:rFonts w:ascii="仿宋" w:hAnsi="仿宋" w:eastAsia="仿宋"/>
          <w:sz w:val="28"/>
        </w:rPr>
      </w:pPr>
      <w:r>
        <w:rPr>
          <w:rFonts w:hint="eastAsia" w:ascii="仿宋" w:hAnsi="仿宋" w:eastAsia="仿宋"/>
          <w:sz w:val="28"/>
        </w:rPr>
        <w:t>为此，根据受托方申请，</w:t>
      </w:r>
      <w:r>
        <w:rPr>
          <w:rFonts w:ascii="仿宋" w:hAnsi="仿宋" w:eastAsia="仿宋"/>
          <w:sz w:val="28"/>
        </w:rPr>
        <w:t>我行同意出具此保函</w:t>
      </w:r>
      <w:r>
        <w:rPr>
          <w:rFonts w:hint="eastAsia" w:ascii="仿宋" w:hAnsi="仿宋" w:eastAsia="仿宋"/>
          <w:sz w:val="28"/>
        </w:rPr>
        <w:t>，并声明如下</w:t>
      </w:r>
      <w:r>
        <w:rPr>
          <w:rFonts w:ascii="仿宋" w:hAnsi="仿宋" w:eastAsia="仿宋"/>
          <w:sz w:val="28"/>
        </w:rPr>
        <w:t>：</w:t>
      </w:r>
    </w:p>
    <w:p>
      <w:pPr>
        <w:spacing w:line="480" w:lineRule="exact"/>
        <w:ind w:firstLine="560"/>
        <w:rPr>
          <w:rFonts w:ascii="仿宋" w:hAnsi="仿宋" w:eastAsia="仿宋"/>
          <w:sz w:val="28"/>
        </w:rPr>
      </w:pPr>
      <w:r>
        <w:rPr>
          <w:rFonts w:hint="eastAsia" w:ascii="仿宋" w:hAnsi="仿宋" w:eastAsia="仿宋"/>
          <w:sz w:val="28"/>
        </w:rPr>
        <w:t>（1）</w:t>
      </w:r>
      <w:r>
        <w:rPr>
          <w:rFonts w:ascii="仿宋" w:hAnsi="仿宋" w:eastAsia="仿宋"/>
          <w:sz w:val="28"/>
        </w:rPr>
        <w:t>我行作为保证人并以受托方的名义向贵方出具总额为</w:t>
      </w:r>
      <w:r>
        <w:rPr>
          <w:rFonts w:hint="eastAsia" w:ascii="仿宋" w:hAnsi="仿宋" w:eastAsia="仿宋"/>
          <w:sz w:val="28"/>
        </w:rPr>
        <w:t>人民币（大写）</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hint="eastAsia" w:ascii="仿宋" w:hAnsi="仿宋" w:eastAsia="仿宋"/>
          <w:sz w:val="28"/>
        </w:rPr>
        <w:t>（小写）</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ascii="仿宋" w:hAnsi="仿宋" w:eastAsia="仿宋"/>
          <w:sz w:val="28"/>
        </w:rPr>
        <w:t>的保函</w:t>
      </w:r>
      <w:r>
        <w:rPr>
          <w:rFonts w:hint="eastAsia" w:ascii="仿宋" w:hAnsi="仿宋" w:eastAsia="仿宋"/>
          <w:sz w:val="28"/>
        </w:rPr>
        <w:t>；</w:t>
      </w:r>
      <w:r>
        <w:rPr>
          <w:rFonts w:ascii="仿宋" w:hAnsi="仿宋" w:eastAsia="仿宋"/>
          <w:sz w:val="28"/>
        </w:rPr>
        <w:t>我行在收到贵方</w:t>
      </w:r>
      <w:r>
        <w:rPr>
          <w:rFonts w:hint="eastAsia" w:ascii="仿宋" w:hAnsi="仿宋" w:eastAsia="仿宋"/>
          <w:sz w:val="28"/>
        </w:rPr>
        <w:t>关于受托方违反合同义务的书面通知</w:t>
      </w:r>
      <w:r>
        <w:rPr>
          <w:rFonts w:ascii="仿宋" w:hAnsi="仿宋" w:eastAsia="仿宋"/>
          <w:sz w:val="28"/>
        </w:rPr>
        <w:t>后，</w:t>
      </w:r>
      <w:r>
        <w:rPr>
          <w:rFonts w:hint="eastAsia" w:ascii="仿宋" w:hAnsi="仿宋" w:eastAsia="仿宋"/>
          <w:sz w:val="28"/>
        </w:rPr>
        <w:t>将</w:t>
      </w:r>
      <w:r>
        <w:rPr>
          <w:rFonts w:ascii="仿宋" w:hAnsi="仿宋" w:eastAsia="仿宋"/>
          <w:sz w:val="28"/>
        </w:rPr>
        <w:t>无条件向贵方支付保函限额之内</w:t>
      </w:r>
      <w:r>
        <w:rPr>
          <w:rFonts w:hint="eastAsia" w:ascii="仿宋" w:hAnsi="仿宋" w:eastAsia="仿宋"/>
          <w:sz w:val="28"/>
        </w:rPr>
        <w:t>的</w:t>
      </w:r>
      <w:r>
        <w:rPr>
          <w:rFonts w:ascii="仿宋" w:hAnsi="仿宋" w:eastAsia="仿宋"/>
          <w:sz w:val="28"/>
        </w:rPr>
        <w:t>一笔或数笔款项，贵方无须</w:t>
      </w:r>
      <w:r>
        <w:rPr>
          <w:rFonts w:hint="eastAsia" w:ascii="仿宋" w:hAnsi="仿宋" w:eastAsia="仿宋"/>
          <w:sz w:val="28"/>
        </w:rPr>
        <w:t>提供有关受托方违约的</w:t>
      </w:r>
      <w:r>
        <w:rPr>
          <w:rFonts w:ascii="仿宋" w:hAnsi="仿宋" w:eastAsia="仿宋"/>
          <w:sz w:val="28"/>
        </w:rPr>
        <w:t>证明</w:t>
      </w:r>
      <w:r>
        <w:rPr>
          <w:rFonts w:hint="eastAsia" w:ascii="仿宋" w:hAnsi="仿宋" w:eastAsia="仿宋"/>
          <w:sz w:val="28"/>
        </w:rPr>
        <w:t>文件</w:t>
      </w:r>
      <w:r>
        <w:rPr>
          <w:rFonts w:ascii="仿宋" w:hAnsi="仿宋" w:eastAsia="仿宋"/>
          <w:sz w:val="28"/>
        </w:rPr>
        <w:t>。</w:t>
      </w:r>
    </w:p>
    <w:p>
      <w:pPr>
        <w:spacing w:line="480" w:lineRule="exact"/>
        <w:ind w:firstLine="560"/>
        <w:rPr>
          <w:rFonts w:ascii="仿宋" w:hAnsi="仿宋" w:eastAsia="仿宋"/>
          <w:sz w:val="28"/>
        </w:rPr>
      </w:pPr>
      <w:r>
        <w:rPr>
          <w:rFonts w:hint="eastAsia" w:ascii="仿宋" w:hAnsi="仿宋" w:eastAsia="仿宋"/>
          <w:sz w:val="28"/>
        </w:rPr>
        <w:t>（2）</w:t>
      </w:r>
      <w:r>
        <w:rPr>
          <w:rFonts w:ascii="仿宋" w:hAnsi="仿宋" w:eastAsia="仿宋"/>
          <w:sz w:val="28"/>
        </w:rPr>
        <w:t>按上述约定承付的金额将是净数，不得扣除现在或将来应付的任何税费、手续费或任何性质的</w:t>
      </w:r>
      <w:r>
        <w:rPr>
          <w:rFonts w:hint="eastAsia" w:ascii="仿宋" w:hAnsi="仿宋" w:eastAsia="仿宋"/>
          <w:sz w:val="28"/>
        </w:rPr>
        <w:t>其他费用</w:t>
      </w:r>
      <w:r>
        <w:rPr>
          <w:rFonts w:ascii="仿宋" w:hAnsi="仿宋" w:eastAsia="仿宋"/>
          <w:sz w:val="28"/>
        </w:rPr>
        <w:t>。</w:t>
      </w:r>
    </w:p>
    <w:p>
      <w:pPr>
        <w:spacing w:line="480" w:lineRule="exact"/>
        <w:ind w:firstLine="560"/>
        <w:rPr>
          <w:rFonts w:ascii="仿宋" w:hAnsi="仿宋" w:eastAsia="仿宋"/>
          <w:sz w:val="28"/>
        </w:rPr>
      </w:pPr>
      <w:r>
        <w:rPr>
          <w:rFonts w:hint="eastAsia" w:ascii="仿宋" w:hAnsi="仿宋" w:eastAsia="仿宋"/>
          <w:sz w:val="28"/>
        </w:rPr>
        <w:t>（3）</w:t>
      </w:r>
      <w:r>
        <w:rPr>
          <w:rFonts w:ascii="仿宋" w:hAnsi="仿宋" w:eastAsia="仿宋"/>
          <w:sz w:val="28"/>
        </w:rPr>
        <w:t>本保函的约定是我</w:t>
      </w:r>
      <w:r>
        <w:rPr>
          <w:rFonts w:hint="eastAsia" w:ascii="仿宋" w:hAnsi="仿宋" w:eastAsia="仿宋"/>
          <w:sz w:val="28"/>
        </w:rPr>
        <w:t>行</w:t>
      </w:r>
      <w:r>
        <w:rPr>
          <w:rFonts w:ascii="仿宋" w:hAnsi="仿宋" w:eastAsia="仿宋"/>
          <w:sz w:val="28"/>
        </w:rPr>
        <w:t>无条件的</w:t>
      </w:r>
      <w:r>
        <w:rPr>
          <w:rFonts w:hint="eastAsia" w:ascii="仿宋" w:hAnsi="仿宋" w:eastAsia="仿宋"/>
          <w:sz w:val="28"/>
        </w:rPr>
        <w:t>、</w:t>
      </w:r>
      <w:r>
        <w:rPr>
          <w:rFonts w:ascii="仿宋" w:hAnsi="仿宋" w:eastAsia="仿宋"/>
          <w:sz w:val="28"/>
        </w:rPr>
        <w:t>不可撤销的直接义务。合同条款的修改不</w:t>
      </w:r>
      <w:r>
        <w:rPr>
          <w:rFonts w:hint="eastAsia" w:ascii="仿宋" w:hAnsi="仿宋" w:eastAsia="仿宋"/>
          <w:sz w:val="28"/>
        </w:rPr>
        <w:t>免</w:t>
      </w:r>
      <w:r>
        <w:rPr>
          <w:rFonts w:ascii="仿宋" w:hAnsi="仿宋" w:eastAsia="仿宋"/>
          <w:sz w:val="28"/>
        </w:rPr>
        <w:t>除我行在</w:t>
      </w:r>
      <w:r>
        <w:rPr>
          <w:rFonts w:hint="eastAsia" w:ascii="仿宋" w:hAnsi="仿宋" w:eastAsia="仿宋"/>
          <w:sz w:val="28"/>
        </w:rPr>
        <w:t>本保函下</w:t>
      </w:r>
      <w:r>
        <w:rPr>
          <w:rFonts w:ascii="仿宋" w:hAnsi="仿宋" w:eastAsia="仿宋"/>
          <w:sz w:val="28"/>
        </w:rPr>
        <w:t>的义务。</w:t>
      </w:r>
    </w:p>
    <w:p>
      <w:pPr>
        <w:spacing w:line="480" w:lineRule="exact"/>
        <w:ind w:firstLine="560"/>
        <w:rPr>
          <w:rFonts w:ascii="仿宋" w:hAnsi="仿宋" w:eastAsia="仿宋"/>
          <w:sz w:val="28"/>
        </w:rPr>
      </w:pPr>
      <w:r>
        <w:rPr>
          <w:rFonts w:hint="eastAsia" w:ascii="仿宋" w:hAnsi="仿宋" w:eastAsia="仿宋"/>
          <w:sz w:val="28"/>
        </w:rPr>
        <w:t>（4）</w:t>
      </w:r>
      <w:r>
        <w:rPr>
          <w:rFonts w:ascii="仿宋" w:hAnsi="仿宋" w:eastAsia="仿宋"/>
          <w:sz w:val="28"/>
        </w:rPr>
        <w:t>本保函</w:t>
      </w:r>
      <w:r>
        <w:rPr>
          <w:rFonts w:hint="eastAsia" w:ascii="仿宋" w:hAnsi="仿宋" w:eastAsia="仿宋"/>
          <w:sz w:val="28"/>
        </w:rPr>
        <w:t>自签发之日起至</w:t>
      </w:r>
      <w:r>
        <w:rPr>
          <w:rFonts w:ascii="仿宋" w:hAnsi="仿宋" w:eastAsia="仿宋"/>
          <w:sz w:val="28"/>
          <w:u w:val="single"/>
        </w:rPr>
        <w:t xml:space="preserve"> / </w:t>
      </w:r>
      <w:r>
        <w:rPr>
          <w:rFonts w:hint="eastAsia" w:ascii="仿宋" w:hAnsi="仿宋" w:eastAsia="仿宋"/>
          <w:sz w:val="28"/>
        </w:rPr>
        <w:t>年</w:t>
      </w:r>
      <w:r>
        <w:rPr>
          <w:rFonts w:ascii="仿宋" w:hAnsi="仿宋" w:eastAsia="仿宋"/>
          <w:sz w:val="28"/>
          <w:u w:val="single"/>
        </w:rPr>
        <w:t xml:space="preserve"> /</w:t>
      </w:r>
      <w:r>
        <w:rPr>
          <w:rFonts w:hint="eastAsia" w:ascii="仿宋" w:hAnsi="仿宋" w:eastAsia="仿宋"/>
          <w:sz w:val="28"/>
          <w:u w:val="single"/>
        </w:rPr>
        <w:t xml:space="preserve"> </w:t>
      </w:r>
      <w:r>
        <w:rPr>
          <w:rFonts w:hint="eastAsia" w:ascii="仿宋" w:hAnsi="仿宋" w:eastAsia="仿宋"/>
          <w:sz w:val="28"/>
        </w:rPr>
        <w:t>月</w:t>
      </w:r>
      <w:r>
        <w:rPr>
          <w:rFonts w:ascii="仿宋" w:hAnsi="仿宋" w:eastAsia="仿宋"/>
          <w:sz w:val="28"/>
          <w:u w:val="single"/>
        </w:rPr>
        <w:t xml:space="preserve"> / </w:t>
      </w:r>
      <w:r>
        <w:rPr>
          <w:rFonts w:hint="eastAsia" w:ascii="仿宋" w:hAnsi="仿宋" w:eastAsia="仿宋"/>
          <w:sz w:val="28"/>
        </w:rPr>
        <w:t>日止的期间内有效</w:t>
      </w:r>
      <w:r>
        <w:rPr>
          <w:rFonts w:ascii="仿宋" w:hAnsi="仿宋" w:eastAsia="仿宋"/>
          <w:sz w:val="28"/>
        </w:rPr>
        <w:t>。</w:t>
      </w:r>
    </w:p>
    <w:p>
      <w:pPr>
        <w:spacing w:line="480" w:lineRule="exact"/>
        <w:ind w:firstLine="560"/>
        <w:rPr>
          <w:rFonts w:ascii="仿宋" w:hAnsi="仿宋" w:eastAsia="仿宋"/>
          <w:sz w:val="28"/>
        </w:rPr>
      </w:pPr>
    </w:p>
    <w:p>
      <w:pPr>
        <w:spacing w:line="480" w:lineRule="exact"/>
        <w:rPr>
          <w:rFonts w:ascii="仿宋" w:hAnsi="仿宋" w:eastAsia="仿宋"/>
          <w:sz w:val="28"/>
        </w:rPr>
      </w:pPr>
      <w:r>
        <w:rPr>
          <w:rFonts w:hint="eastAsia" w:ascii="仿宋" w:hAnsi="仿宋" w:eastAsia="仿宋"/>
          <w:sz w:val="28"/>
        </w:rPr>
        <w:t xml:space="preserve">                           </w:t>
      </w:r>
    </w:p>
    <w:p>
      <w:pPr>
        <w:rPr>
          <w:rFonts w:ascii="仿宋" w:hAnsi="仿宋" w:eastAsia="仿宋"/>
          <w:sz w:val="28"/>
        </w:rPr>
      </w:pPr>
    </w:p>
    <w:p>
      <w:pPr>
        <w:ind w:firstLine="3780" w:firstLineChars="1350"/>
        <w:rPr>
          <w:rFonts w:ascii="仿宋" w:hAnsi="仿宋" w:eastAsia="仿宋"/>
          <w:sz w:val="28"/>
        </w:rPr>
      </w:pPr>
      <w:r>
        <w:rPr>
          <w:rFonts w:hint="eastAsia" w:ascii="仿宋" w:hAnsi="仿宋" w:eastAsia="仿宋"/>
          <w:sz w:val="28"/>
        </w:rPr>
        <w:t>银行名称：（盖章）</w:t>
      </w:r>
    </w:p>
    <w:p>
      <w:pPr>
        <w:ind w:firstLine="3780" w:firstLineChars="1350"/>
        <w:rPr>
          <w:rFonts w:ascii="仿宋" w:hAnsi="仿宋" w:eastAsia="仿宋"/>
          <w:sz w:val="28"/>
          <w:u w:val="single"/>
        </w:rPr>
      </w:pPr>
      <w:r>
        <w:rPr>
          <w:rFonts w:hint="eastAsia" w:ascii="仿宋" w:hAnsi="仿宋" w:eastAsia="仿宋"/>
          <w:sz w:val="28"/>
        </w:rPr>
        <w:t>负责人：</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p>
    <w:p>
      <w:pPr>
        <w:ind w:firstLine="3780" w:firstLineChars="1350"/>
        <w:rPr>
          <w:rFonts w:ascii="仿宋" w:hAnsi="仿宋" w:eastAsia="仿宋"/>
          <w:sz w:val="28"/>
        </w:rPr>
      </w:pPr>
      <w:r>
        <w:rPr>
          <w:rFonts w:hint="eastAsia" w:ascii="仿宋" w:hAnsi="仿宋" w:eastAsia="仿宋"/>
          <w:sz w:val="28"/>
        </w:rPr>
        <w:t>日期：</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hint="eastAsia" w:ascii="仿宋" w:hAnsi="仿宋" w:eastAsia="仿宋"/>
          <w:sz w:val="28"/>
        </w:rPr>
        <w:t>年</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hint="eastAsia" w:ascii="仿宋" w:hAnsi="仿宋" w:eastAsia="仿宋"/>
          <w:sz w:val="28"/>
        </w:rPr>
        <w:t>月</w:t>
      </w:r>
      <w:r>
        <w:rPr>
          <w:rFonts w:hint="eastAsia" w:ascii="仿宋" w:hAnsi="仿宋" w:eastAsia="仿宋"/>
          <w:sz w:val="28"/>
          <w:u w:val="single"/>
        </w:rPr>
        <w:t xml:space="preserve">  </w:t>
      </w:r>
      <w:r>
        <w:rPr>
          <w:rFonts w:ascii="仿宋" w:hAnsi="仿宋" w:eastAsia="仿宋"/>
          <w:sz w:val="28"/>
          <w:u w:val="single"/>
        </w:rPr>
        <w:t>/</w:t>
      </w:r>
      <w:r>
        <w:rPr>
          <w:rFonts w:hint="eastAsia" w:ascii="仿宋" w:hAnsi="仿宋" w:eastAsia="仿宋"/>
          <w:sz w:val="28"/>
          <w:u w:val="single"/>
        </w:rPr>
        <w:t xml:space="preserve"> </w:t>
      </w:r>
      <w:r>
        <w:rPr>
          <w:rFonts w:hint="eastAsia" w:ascii="仿宋" w:hAnsi="仿宋" w:eastAsia="仿宋"/>
          <w:sz w:val="28"/>
        </w:rPr>
        <w:t xml:space="preserve">日 </w:t>
      </w:r>
    </w:p>
    <w:p>
      <w:pPr>
        <w:rPr>
          <w:rFonts w:ascii="仿宋" w:hAnsi="仿宋" w:eastAsia="仿宋"/>
          <w:sz w:val="28"/>
        </w:rPr>
      </w:pPr>
    </w:p>
    <w:p/>
    <w:sectPr>
      <w:footerReference r:id="rId12" w:type="first"/>
      <w:footerReference r:id="rId11" w:type="default"/>
      <w:pgSz w:w="11906" w:h="16838"/>
      <w:pgMar w:top="1440" w:right="1800" w:bottom="1440" w:left="1800" w:header="851" w:footer="992" w:gutter="0"/>
      <w:pgNumType w:start="1"/>
      <w:cols w:space="720" w:num="1"/>
      <w:formProt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方正仿宋_GBK">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方正仿宋_GBK" w:eastAsia="方正仿宋_GBK"/>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eastAsia="方正仿宋_GBK"/>
        <w:szCs w:val="18"/>
      </w:rPr>
    </w:pPr>
    <w:r>
      <w:rPr>
        <w:rFonts w:eastAsia="方正仿宋_GBK"/>
        <w:kern w:val="0"/>
        <w:szCs w:val="18"/>
      </w:rPr>
      <w:fldChar w:fldCharType="begin"/>
    </w:r>
    <w:r>
      <w:rPr>
        <w:rFonts w:eastAsia="方正仿宋_GBK"/>
        <w:kern w:val="0"/>
        <w:szCs w:val="18"/>
      </w:rPr>
      <w:instrText xml:space="preserve"> PAGE </w:instrText>
    </w:r>
    <w:r>
      <w:rPr>
        <w:rFonts w:eastAsia="方正仿宋_GBK"/>
        <w:kern w:val="0"/>
        <w:szCs w:val="18"/>
      </w:rPr>
      <w:fldChar w:fldCharType="separate"/>
    </w:r>
    <w:r>
      <w:rPr>
        <w:rFonts w:eastAsia="方正仿宋_GBK"/>
        <w:kern w:val="0"/>
        <w:szCs w:val="18"/>
      </w:rPr>
      <w:t>7</w:t>
    </w:r>
    <w:r>
      <w:rPr>
        <w:rFonts w:eastAsia="方正仿宋_GBK"/>
        <w:kern w:val="0"/>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方正仿宋_GBK"/>
        <w:sz w:val="18"/>
        <w:szCs w:val="18"/>
      </w:rPr>
    </w:pPr>
    <w:r>
      <w:rPr>
        <w:rFonts w:eastAsia="方正仿宋_GBK"/>
        <w:kern w:val="0"/>
        <w:sz w:val="18"/>
        <w:szCs w:val="18"/>
      </w:rPr>
      <w:fldChar w:fldCharType="begin"/>
    </w:r>
    <w:r>
      <w:rPr>
        <w:rFonts w:eastAsia="方正仿宋_GBK"/>
        <w:kern w:val="0"/>
        <w:sz w:val="18"/>
        <w:szCs w:val="18"/>
      </w:rPr>
      <w:instrText xml:space="preserve"> PAGE </w:instrText>
    </w:r>
    <w:r>
      <w:rPr>
        <w:rFonts w:eastAsia="方正仿宋_GBK"/>
        <w:kern w:val="0"/>
        <w:sz w:val="18"/>
        <w:szCs w:val="18"/>
      </w:rPr>
      <w:fldChar w:fldCharType="separate"/>
    </w:r>
    <w:r>
      <w:rPr>
        <w:rFonts w:eastAsia="方正仿宋_GBK"/>
        <w:kern w:val="0"/>
        <w:sz w:val="18"/>
        <w:szCs w:val="18"/>
      </w:rPr>
      <w:t>1</w:t>
    </w:r>
    <w:r>
      <w:rPr>
        <w:rFonts w:eastAsia="方正仿宋_GBK"/>
        <w:kern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rPr>
          <w:rFonts w:ascii="宋体" w:hAnsi="宋体"/>
        </w:rPr>
      </w:pPr>
      <w:r>
        <w:rPr>
          <w:rStyle w:val="21"/>
        </w:rPr>
        <w:footnoteRef/>
      </w:r>
      <w:r>
        <w:rPr>
          <w:rFonts w:hint="eastAsia" w:ascii="宋体" w:hAnsi="宋体"/>
        </w:rPr>
        <w:t>此处的签订日期应与签署页中的最迟签订日期保持一致。</w:t>
      </w:r>
    </w:p>
  </w:footnote>
  <w:footnote w:id="1">
    <w:p>
      <w:pPr>
        <w:pStyle w:val="15"/>
      </w:pPr>
      <w:r>
        <w:rPr>
          <w:rStyle w:val="21"/>
        </w:rPr>
        <w:footnoteRef/>
      </w:r>
      <w:r>
        <w:rPr>
          <w:rFonts w:hint="eastAsia"/>
        </w:rPr>
        <w:t>根据合同具体情况选择约定。</w:t>
      </w:r>
    </w:p>
  </w:footnote>
  <w:footnote w:id="2">
    <w:p>
      <w:pPr>
        <w:pStyle w:val="15"/>
      </w:pPr>
      <w:r>
        <w:rPr>
          <w:rStyle w:val="21"/>
        </w:rPr>
        <w:footnoteRef/>
      </w:r>
      <w:r>
        <w:rPr>
          <w:rFonts w:hint="eastAsia"/>
        </w:rPr>
        <w:t>建议</w:t>
      </w:r>
      <w:r>
        <w:rPr>
          <w:rFonts w:hint="eastAsia" w:ascii="宋体" w:hAnsi="宋体"/>
        </w:rPr>
        <w:t>选择诉讼作为争议解决方式。</w:t>
      </w:r>
    </w:p>
  </w:footnote>
  <w:footnote w:id="3">
    <w:p>
      <w:pPr>
        <w:pStyle w:val="15"/>
      </w:pPr>
      <w:r>
        <w:rPr>
          <w:rStyle w:val="21"/>
        </w:rPr>
        <w:footnoteRef/>
      </w:r>
      <w:r>
        <w:t xml:space="preserve"> </w:t>
      </w:r>
      <w:r>
        <w:rPr>
          <w:rFonts w:hint="eastAsia"/>
        </w:rPr>
        <w:t>如选择其他仲裁规则，可在特别约定条款中明确。</w:t>
      </w:r>
    </w:p>
  </w:footnote>
  <w:footnote w:id="4">
    <w:p>
      <w:pPr>
        <w:pStyle w:val="15"/>
      </w:pPr>
      <w:r>
        <w:rPr>
          <w:rStyle w:val="21"/>
        </w:rPr>
        <w:footnoteRef/>
      </w:r>
      <w:r>
        <w:rPr>
          <w:rFonts w:hint="eastAsia"/>
        </w:rPr>
        <w:t>对本统一合同文本的任何修改或补充，均应在本条（第19条  特别约定）中约定。如需修改时，应明确被修改的具体条款，示例：“将第9.3款修改为：……”；如需补充时，应订立补充条款，示例：“增加以下条款：……”。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rPr>
        <w:rFonts w:ascii="宋体" w:hAnsi="宋体"/>
        <w:sz w:val="21"/>
      </w:rPr>
    </w:pPr>
    <w:r>
      <w:rPr>
        <w:sz w:val="21"/>
      </w:rPr>
      <w:drawing>
        <wp:anchor distT="0" distB="0" distL="114300" distR="114300" simplePos="0" relativeHeight="251665408" behindDoc="0" locked="0" layoutInCell="1" allowOverlap="1">
          <wp:simplePos x="0" y="0"/>
          <wp:positionH relativeFrom="page">
            <wp:posOffset>254000</wp:posOffset>
          </wp:positionH>
          <wp:positionV relativeFrom="page">
            <wp:posOffset>254000</wp:posOffset>
          </wp:positionV>
          <wp:extent cx="552450" cy="552450"/>
          <wp:effectExtent l="0" t="0" r="0" b="0"/>
          <wp:wrapNone/>
          <wp:docPr id="8" name="图片 8" descr="ntk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ntko0"/>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552450" cy="552450"/>
                  </a:xfrm>
                  <a:prstGeom prst="rect">
                    <a:avLst/>
                  </a:prstGeom>
                </pic:spPr>
              </pic:pic>
            </a:graphicData>
          </a:graphic>
        </wp:anchor>
      </w:drawing>
    </w:r>
    <w:r>
      <w:rPr>
        <w:sz w:val="21"/>
      </w:rPr>
      <w:drawing>
        <wp:anchor distT="0" distB="0" distL="114300" distR="114300" simplePos="0" relativeHeight="251664384" behindDoc="0" locked="0" layoutInCell="1" allowOverlap="1">
          <wp:simplePos x="0" y="0"/>
          <wp:positionH relativeFrom="page">
            <wp:posOffset>254000</wp:posOffset>
          </wp:positionH>
          <wp:positionV relativeFrom="page">
            <wp:posOffset>254000</wp:posOffset>
          </wp:positionV>
          <wp:extent cx="552450" cy="552450"/>
          <wp:effectExtent l="0" t="0" r="0" b="0"/>
          <wp:wrapNone/>
          <wp:docPr id="7" name="图片 7" descr="ntk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ntko0"/>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552450" cy="552450"/>
                  </a:xfrm>
                  <a:prstGeom prst="rect">
                    <a:avLst/>
                  </a:prstGeom>
                </pic:spPr>
              </pic:pic>
            </a:graphicData>
          </a:graphic>
        </wp:anchor>
      </w:drawing>
    </w:r>
    <w:r>
      <w:rPr>
        <w:sz w:val="21"/>
      </w:rPr>
      <w:drawing>
        <wp:anchor distT="0" distB="0" distL="114300" distR="114300" simplePos="0" relativeHeight="251663360" behindDoc="0" locked="0" layoutInCell="1" allowOverlap="1">
          <wp:simplePos x="0" y="0"/>
          <wp:positionH relativeFrom="page">
            <wp:posOffset>254000</wp:posOffset>
          </wp:positionH>
          <wp:positionV relativeFrom="page">
            <wp:posOffset>254000</wp:posOffset>
          </wp:positionV>
          <wp:extent cx="552450" cy="552450"/>
          <wp:effectExtent l="0" t="0" r="0" b="0"/>
          <wp:wrapNone/>
          <wp:docPr id="6" name="图片 6" descr="ntk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ntko0"/>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552450" cy="552450"/>
                  </a:xfrm>
                  <a:prstGeom prst="rect">
                    <a:avLst/>
                  </a:prstGeom>
                </pic:spPr>
              </pic:pic>
            </a:graphicData>
          </a:graphic>
        </wp:anchor>
      </w:drawing>
    </w:r>
    <w:r>
      <w:rPr>
        <w:sz w:val="21"/>
      </w:rPr>
      <w:drawing>
        <wp:anchor distT="0" distB="0" distL="114300" distR="114300" simplePos="0" relativeHeight="251662336" behindDoc="0" locked="0" layoutInCell="1" allowOverlap="1">
          <wp:simplePos x="0" y="0"/>
          <wp:positionH relativeFrom="page">
            <wp:posOffset>254000</wp:posOffset>
          </wp:positionH>
          <wp:positionV relativeFrom="page">
            <wp:posOffset>254000</wp:posOffset>
          </wp:positionV>
          <wp:extent cx="552450" cy="552450"/>
          <wp:effectExtent l="0" t="0" r="0" b="0"/>
          <wp:wrapNone/>
          <wp:docPr id="5" name="图片 5" descr="ntk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ntko0"/>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552450" cy="552450"/>
                  </a:xfrm>
                  <a:prstGeom prst="rect">
                    <a:avLst/>
                  </a:prstGeom>
                </pic:spPr>
              </pic:pic>
            </a:graphicData>
          </a:graphic>
        </wp:anchor>
      </w:drawing>
    </w:r>
    <w:r>
      <w:rPr>
        <w:sz w:val="21"/>
      </w:rPr>
      <w:drawing>
        <wp:anchor distT="0" distB="0" distL="114300" distR="114300" simplePos="0" relativeHeight="251661312" behindDoc="0" locked="0" layoutInCell="1" allowOverlap="1">
          <wp:simplePos x="0" y="0"/>
          <wp:positionH relativeFrom="page">
            <wp:posOffset>0</wp:posOffset>
          </wp:positionH>
          <wp:positionV relativeFrom="page">
            <wp:posOffset>260924040</wp:posOffset>
          </wp:positionV>
          <wp:extent cx="552450" cy="552450"/>
          <wp:effectExtent l="0" t="0" r="0" b="0"/>
          <wp:wrapNone/>
          <wp:docPr id="4" name="图片 4" descr="ntk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ntko0"/>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552450" cy="552450"/>
                  </a:xfrm>
                  <a:prstGeom prst="rect">
                    <a:avLst/>
                  </a:prstGeom>
                </pic:spPr>
              </pic:pic>
            </a:graphicData>
          </a:graphic>
        </wp:anchor>
      </w:drawing>
    </w:r>
    <w:r>
      <w:rPr>
        <w:rFonts w:hint="eastAsia" w:ascii="宋体" w:hAnsi="宋体"/>
        <w:sz w:val="21"/>
      </w:rPr>
      <w:t xml:space="preserve">    SGTYHT/</w:t>
    </w:r>
    <w:r>
      <w:rPr>
        <w:rFonts w:hint="eastAsia" w:ascii="宋体" w:hAnsi="宋体" w:cs="仿宋_GB2312"/>
        <w:sz w:val="21"/>
        <w:szCs w:val="21"/>
      </w:rPr>
      <w:t>19-XX-220</w:t>
    </w:r>
    <w:r>
      <w:rPr>
        <w:rFonts w:hint="eastAsia" w:ascii="宋体" w:hAnsi="宋体"/>
        <w:sz w:val="21"/>
      </w:rPr>
      <w:t xml:space="preserve">  计算机系统/软件实施服务合同</w:t>
    </w:r>
  </w:p>
  <w:p>
    <w:pPr>
      <w:pStyle w:val="13"/>
      <w:pBdr>
        <w:bottom w:val="none" w:color="auto" w:sz="0" w:space="0"/>
      </w:pBdr>
      <w:jc w:val="right"/>
      <w:rPr>
        <w:rFonts w:ascii="宋体" w:hAnsi="宋体"/>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rPr>
        <w:rFonts w:ascii="宋体" w:hAnsi="宋体"/>
        <w:sz w:val="21"/>
      </w:rPr>
    </w:pPr>
    <w:r>
      <w:rPr>
        <w:sz w:val="21"/>
      </w:rPr>
      <w:drawing>
        <wp:anchor distT="0" distB="0" distL="114300" distR="114300" simplePos="0" relativeHeight="251660288" behindDoc="0" locked="0" layoutInCell="1" allowOverlap="1">
          <wp:simplePos x="0" y="0"/>
          <wp:positionH relativeFrom="page">
            <wp:posOffset>0</wp:posOffset>
          </wp:positionH>
          <wp:positionV relativeFrom="page">
            <wp:posOffset>21743670</wp:posOffset>
          </wp:positionV>
          <wp:extent cx="552450" cy="552450"/>
          <wp:effectExtent l="0" t="0" r="0" b="0"/>
          <wp:wrapNone/>
          <wp:docPr id="3" name="图片 3" descr="ntk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ntko0"/>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552450" cy="552450"/>
                  </a:xfrm>
                  <a:prstGeom prst="rect">
                    <a:avLst/>
                  </a:prstGeom>
                </pic:spPr>
              </pic:pic>
            </a:graphicData>
          </a:graphic>
        </wp:anchor>
      </w:drawing>
    </w:r>
    <w:r>
      <w:rPr>
        <w:sz w:val="21"/>
      </w:rPr>
      <w:drawing>
        <wp:anchor distT="0" distB="0" distL="114300" distR="114300" simplePos="0" relativeHeight="251659264" behindDoc="0" locked="0" layoutInCell="1" allowOverlap="1">
          <wp:simplePos x="0" y="0"/>
          <wp:positionH relativeFrom="page">
            <wp:posOffset>0</wp:posOffset>
          </wp:positionH>
          <wp:positionV relativeFrom="page">
            <wp:posOffset>10871835</wp:posOffset>
          </wp:positionV>
          <wp:extent cx="552450" cy="552450"/>
          <wp:effectExtent l="0" t="0" r="0" b="0"/>
          <wp:wrapNone/>
          <wp:docPr id="2" name="图片 2" descr="ntk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tko0"/>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552450" cy="552450"/>
                  </a:xfrm>
                  <a:prstGeom prst="rect">
                    <a:avLst/>
                  </a:prstGeom>
                </pic:spPr>
              </pic:pic>
            </a:graphicData>
          </a:graphic>
        </wp:anchor>
      </w:drawing>
    </w:r>
    <w:r>
      <w:rPr>
        <w:sz w:val="21"/>
      </w:rPr>
      <w:drawing>
        <wp:anchor distT="0" distB="0" distL="114300" distR="114300" simplePos="0" relativeHeight="251658240" behindDoc="0" locked="0" layoutInCell="1" allowOverlap="1">
          <wp:simplePos x="0" y="0"/>
          <wp:positionH relativeFrom="page">
            <wp:posOffset>254000</wp:posOffset>
          </wp:positionH>
          <wp:positionV relativeFrom="page">
            <wp:posOffset>254000</wp:posOffset>
          </wp:positionV>
          <wp:extent cx="552450" cy="552450"/>
          <wp:effectExtent l="0" t="0" r="0" b="0"/>
          <wp:wrapNone/>
          <wp:docPr id="1" name="图片 1" descr="ntk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tko0"/>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552450" cy="552450"/>
                  </a:xfrm>
                  <a:prstGeom prst="rect">
                    <a:avLst/>
                  </a:prstGeom>
                </pic:spPr>
              </pic:pic>
            </a:graphicData>
          </a:graphic>
        </wp:anchor>
      </w:drawing>
    </w:r>
    <w:r>
      <w:rPr>
        <w:rFonts w:hint="eastAsia" w:ascii="宋体" w:hAnsi="宋体"/>
        <w:sz w:val="21"/>
      </w:rPr>
      <w:t xml:space="preserve">    SGTYHT/</w:t>
    </w:r>
    <w:r>
      <w:rPr>
        <w:rFonts w:hint="eastAsia" w:ascii="宋体" w:hAnsi="宋体" w:cs="仿宋_GB2312"/>
        <w:sz w:val="21"/>
        <w:szCs w:val="21"/>
      </w:rPr>
      <w:t>19-XX-220</w:t>
    </w:r>
    <w:r>
      <w:rPr>
        <w:rFonts w:hint="eastAsia" w:ascii="宋体" w:hAnsi="宋体"/>
        <w:sz w:val="21"/>
      </w:rPr>
      <w:t xml:space="preserve">  计算机系统/软件实施服务合同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24E3B"/>
    <w:multiLevelType w:val="singleLevel"/>
    <w:tmpl w:val="58524E3B"/>
    <w:lvl w:ilvl="0" w:tentative="0">
      <w:start w:val="1"/>
      <w:numFmt w:val="decimal"/>
      <w:suff w:val="space"/>
      <w:lvlText w:val="%1."/>
      <w:lvlJc w:val="left"/>
      <w:pPr>
        <w:tabs>
          <w:tab w:val="left" w:pos="113"/>
        </w:tabs>
        <w:ind w:left="425" w:hanging="425"/>
      </w:pPr>
      <w:rPr>
        <w:rFonts w:hint="default"/>
      </w:rPr>
    </w:lvl>
  </w:abstractNum>
  <w:abstractNum w:abstractNumId="1">
    <w:nsid w:val="58524EAD"/>
    <w:multiLevelType w:val="singleLevel"/>
    <w:tmpl w:val="58524EAD"/>
    <w:lvl w:ilvl="0" w:tentative="0">
      <w:start w:val="1"/>
      <w:numFmt w:val="chineseCounting"/>
      <w:suff w:val="nothing"/>
      <w:lvlText w:val="%1、"/>
      <w:lvlJc w:val="left"/>
      <w:pPr>
        <w:ind w:left="0" w:firstLine="0"/>
      </w:pPr>
      <w:rPr>
        <w:rFonts w:hint="eastAsia"/>
      </w:rPr>
    </w:lvl>
  </w:abstractNum>
  <w:abstractNum w:abstractNumId="2">
    <w:nsid w:val="58525108"/>
    <w:multiLevelType w:val="singleLevel"/>
    <w:tmpl w:val="58525108"/>
    <w:lvl w:ilvl="0" w:tentative="0">
      <w:start w:val="1"/>
      <w:numFmt w:val="chineseCounting"/>
      <w:suff w:val="nothing"/>
      <w:lvlText w:val="（%1）"/>
      <w:lvlJc w:val="left"/>
      <w:pPr>
        <w:ind w:left="0" w:firstLine="420"/>
      </w:pPr>
      <w:rPr>
        <w:rFonts w:hint="eastAsia"/>
      </w:rPr>
    </w:lvl>
  </w:abstractNum>
  <w:abstractNum w:abstractNumId="3">
    <w:nsid w:val="585251B9"/>
    <w:multiLevelType w:val="singleLevel"/>
    <w:tmpl w:val="585251B9"/>
    <w:lvl w:ilvl="0" w:tentative="0">
      <w:start w:val="1"/>
      <w:numFmt w:val="chineseCounting"/>
      <w:suff w:val="nothing"/>
      <w:lvlText w:val="（%1）"/>
      <w:lvlJc w:val="left"/>
      <w:pPr>
        <w:ind w:left="0" w:firstLine="420"/>
      </w:pPr>
      <w:rPr>
        <w:rFonts w:hint="eastAsia"/>
      </w:rPr>
    </w:lvl>
  </w:abstractNum>
  <w:abstractNum w:abstractNumId="4">
    <w:nsid w:val="585251CB"/>
    <w:multiLevelType w:val="singleLevel"/>
    <w:tmpl w:val="585251CB"/>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g4xUFffUvvVLcnE/iJAGaDsPB08=" w:salt="c0FjFmwU+bolHh+dL+N9z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41"/>
    <w:rsid w:val="000E7E85"/>
    <w:rsid w:val="000F70DE"/>
    <w:rsid w:val="00202878"/>
    <w:rsid w:val="00206FF6"/>
    <w:rsid w:val="00276F4A"/>
    <w:rsid w:val="00310C99"/>
    <w:rsid w:val="00326592"/>
    <w:rsid w:val="003357C9"/>
    <w:rsid w:val="00342AC8"/>
    <w:rsid w:val="00355D41"/>
    <w:rsid w:val="00390992"/>
    <w:rsid w:val="00401AB9"/>
    <w:rsid w:val="004967E7"/>
    <w:rsid w:val="00551603"/>
    <w:rsid w:val="00557EFF"/>
    <w:rsid w:val="005A1711"/>
    <w:rsid w:val="005D24B1"/>
    <w:rsid w:val="00720EC1"/>
    <w:rsid w:val="007549FE"/>
    <w:rsid w:val="00791AAD"/>
    <w:rsid w:val="007A4E51"/>
    <w:rsid w:val="007B104D"/>
    <w:rsid w:val="007B76C7"/>
    <w:rsid w:val="00827EDC"/>
    <w:rsid w:val="008C7526"/>
    <w:rsid w:val="00902BD0"/>
    <w:rsid w:val="009D003C"/>
    <w:rsid w:val="009F2F1B"/>
    <w:rsid w:val="00A928AE"/>
    <w:rsid w:val="00B9199E"/>
    <w:rsid w:val="00C36D7A"/>
    <w:rsid w:val="00C37527"/>
    <w:rsid w:val="00D079ED"/>
    <w:rsid w:val="00DA58D9"/>
    <w:rsid w:val="00E55B9F"/>
    <w:rsid w:val="00E74473"/>
    <w:rsid w:val="00FA0E89"/>
    <w:rsid w:val="2EE172B4"/>
    <w:rsid w:val="3A995400"/>
    <w:rsid w:val="55C10991"/>
    <w:rsid w:val="720E3E08"/>
    <w:rsid w:val="784D4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0"/>
      <w:lang w:val="en-US" w:eastAsia="zh-CN" w:bidi="ar-SA"/>
    </w:rPr>
  </w:style>
  <w:style w:type="paragraph" w:styleId="3">
    <w:name w:val="heading 1"/>
    <w:basedOn w:val="1"/>
    <w:next w:val="4"/>
    <w:link w:val="23"/>
    <w:qFormat/>
    <w:uiPriority w:val="0"/>
    <w:pPr>
      <w:keepNext/>
      <w:keepLines/>
      <w:snapToGrid w:val="0"/>
      <w:ind w:firstLine="200" w:firstLineChars="200"/>
      <w:outlineLvl w:val="0"/>
    </w:pPr>
    <w:rPr>
      <w:rFonts w:eastAsia="华文仿宋"/>
      <w:b/>
      <w:kern w:val="44"/>
      <w:sz w:val="32"/>
    </w:rPr>
  </w:style>
  <w:style w:type="paragraph" w:styleId="6">
    <w:name w:val="heading 2"/>
    <w:basedOn w:val="1"/>
    <w:next w:val="1"/>
    <w:link w:val="3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5"/>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3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37"/>
    <w:semiHidden/>
    <w:unhideWhenUsed/>
    <w:qFormat/>
    <w:uiPriority w:val="9"/>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Body Text First Indent"/>
    <w:basedOn w:val="5"/>
    <w:link w:val="29"/>
    <w:unhideWhenUsed/>
    <w:qFormat/>
    <w:uiPriority w:val="99"/>
    <w:pPr>
      <w:ind w:firstLine="420" w:firstLineChars="100"/>
    </w:pPr>
  </w:style>
  <w:style w:type="paragraph" w:styleId="5">
    <w:name w:val="Body Text"/>
    <w:basedOn w:val="1"/>
    <w:link w:val="28"/>
    <w:semiHidden/>
    <w:unhideWhenUsed/>
    <w:qFormat/>
    <w:uiPriority w:val="99"/>
    <w:pPr>
      <w:spacing w:after="120"/>
    </w:pPr>
  </w:style>
  <w:style w:type="paragraph" w:styleId="10">
    <w:name w:val="toc 3"/>
    <w:basedOn w:val="1"/>
    <w:next w:val="1"/>
    <w:semiHidden/>
    <w:unhideWhenUsed/>
    <w:qFormat/>
    <w:uiPriority w:val="39"/>
    <w:pPr>
      <w:ind w:left="840" w:leftChars="400"/>
    </w:pPr>
  </w:style>
  <w:style w:type="paragraph" w:styleId="11">
    <w:name w:val="Plain Text"/>
    <w:basedOn w:val="1"/>
    <w:link w:val="26"/>
    <w:qFormat/>
    <w:uiPriority w:val="0"/>
    <w:rPr>
      <w:rFonts w:ascii="宋体" w:hAnsi="Courier New"/>
    </w:rPr>
  </w:style>
  <w:style w:type="paragraph" w:styleId="12">
    <w:name w:val="footer"/>
    <w:basedOn w:val="1"/>
    <w:link w:val="30"/>
    <w:qFormat/>
    <w:uiPriority w:val="0"/>
    <w:pPr>
      <w:tabs>
        <w:tab w:val="center" w:pos="4153"/>
        <w:tab w:val="right" w:pos="8306"/>
      </w:tabs>
      <w:snapToGrid w:val="0"/>
      <w:jc w:val="left"/>
    </w:pPr>
    <w:rPr>
      <w:sz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tabs>
        <w:tab w:val="right" w:leader="dot" w:pos="8296"/>
      </w:tabs>
      <w:spacing w:line="480" w:lineRule="exact"/>
    </w:pPr>
  </w:style>
  <w:style w:type="paragraph" w:styleId="15">
    <w:name w:val="footnote text"/>
    <w:basedOn w:val="1"/>
    <w:link w:val="24"/>
    <w:qFormat/>
    <w:uiPriority w:val="0"/>
    <w:pPr>
      <w:snapToGrid w:val="0"/>
      <w:jc w:val="left"/>
    </w:pPr>
    <w:rPr>
      <w:rFonts w:asciiTheme="minorHAnsi" w:hAnsiTheme="minorHAnsi" w:eastAsiaTheme="minorEastAsia" w:cstheme="minorBidi"/>
      <w:sz w:val="18"/>
      <w:szCs w:val="22"/>
    </w:rPr>
  </w:style>
  <w:style w:type="paragraph" w:styleId="16">
    <w:name w:val="toc 2"/>
    <w:basedOn w:val="1"/>
    <w:next w:val="1"/>
    <w:semiHidden/>
    <w:unhideWhenUsed/>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footnote reference"/>
    <w:qFormat/>
    <w:uiPriority w:val="0"/>
    <w:rPr>
      <w:vertAlign w:val="superscript"/>
    </w:rPr>
  </w:style>
  <w:style w:type="character" w:customStyle="1" w:styleId="23">
    <w:name w:val="标题 1 Char"/>
    <w:basedOn w:val="18"/>
    <w:link w:val="3"/>
    <w:qFormat/>
    <w:uiPriority w:val="0"/>
    <w:rPr>
      <w:rFonts w:ascii="等线" w:hAnsi="等线" w:eastAsia="华文仿宋" w:cs="Times New Roman"/>
      <w:b/>
      <w:kern w:val="44"/>
      <w:sz w:val="32"/>
      <w:szCs w:val="20"/>
    </w:rPr>
  </w:style>
  <w:style w:type="character" w:customStyle="1" w:styleId="24">
    <w:name w:val="脚注文本 Char"/>
    <w:link w:val="15"/>
    <w:qFormat/>
    <w:uiPriority w:val="0"/>
    <w:rPr>
      <w:sz w:val="18"/>
    </w:rPr>
  </w:style>
  <w:style w:type="character" w:customStyle="1" w:styleId="25">
    <w:name w:val="脚注文本 Char1"/>
    <w:basedOn w:val="18"/>
    <w:semiHidden/>
    <w:qFormat/>
    <w:uiPriority w:val="99"/>
    <w:rPr>
      <w:rFonts w:ascii="等线" w:hAnsi="等线" w:eastAsia="等线" w:cs="Times New Roman"/>
      <w:sz w:val="18"/>
      <w:szCs w:val="18"/>
    </w:rPr>
  </w:style>
  <w:style w:type="character" w:customStyle="1" w:styleId="26">
    <w:name w:val="纯文本 Char"/>
    <w:basedOn w:val="18"/>
    <w:link w:val="11"/>
    <w:uiPriority w:val="0"/>
    <w:rPr>
      <w:rFonts w:ascii="宋体" w:hAnsi="Courier New" w:eastAsia="等线" w:cs="Times New Roman"/>
      <w:szCs w:val="20"/>
    </w:rPr>
  </w:style>
  <w:style w:type="character" w:customStyle="1" w:styleId="27">
    <w:name w:val="页眉 Char"/>
    <w:basedOn w:val="18"/>
    <w:link w:val="13"/>
    <w:qFormat/>
    <w:uiPriority w:val="0"/>
    <w:rPr>
      <w:rFonts w:ascii="等线" w:hAnsi="等线" w:eastAsia="等线" w:cs="Times New Roman"/>
      <w:sz w:val="18"/>
      <w:szCs w:val="20"/>
    </w:rPr>
  </w:style>
  <w:style w:type="character" w:customStyle="1" w:styleId="28">
    <w:name w:val="正文文本 Char"/>
    <w:basedOn w:val="18"/>
    <w:link w:val="5"/>
    <w:semiHidden/>
    <w:qFormat/>
    <w:uiPriority w:val="99"/>
    <w:rPr>
      <w:rFonts w:ascii="等线" w:hAnsi="等线" w:eastAsia="等线" w:cs="Times New Roman"/>
      <w:szCs w:val="20"/>
    </w:rPr>
  </w:style>
  <w:style w:type="character" w:customStyle="1" w:styleId="29">
    <w:name w:val="正文首行缩进 Char"/>
    <w:basedOn w:val="28"/>
    <w:link w:val="4"/>
    <w:qFormat/>
    <w:uiPriority w:val="99"/>
    <w:rPr>
      <w:rFonts w:ascii="等线" w:hAnsi="等线" w:eastAsia="等线" w:cs="Times New Roman"/>
      <w:szCs w:val="20"/>
    </w:rPr>
  </w:style>
  <w:style w:type="character" w:customStyle="1" w:styleId="30">
    <w:name w:val="页脚 Char"/>
    <w:basedOn w:val="18"/>
    <w:link w:val="12"/>
    <w:qFormat/>
    <w:uiPriority w:val="0"/>
    <w:rPr>
      <w:rFonts w:ascii="等线" w:hAnsi="等线" w:eastAsia="等线" w:cs="Times New Roman"/>
      <w:sz w:val="18"/>
      <w:szCs w:val="20"/>
    </w:rPr>
  </w:style>
  <w:style w:type="paragraph" w:customStyle="1" w:styleId="31">
    <w:name w:val="文档正文"/>
    <w:basedOn w:val="1"/>
    <w:uiPriority w:val="0"/>
    <w:pPr>
      <w:snapToGrid w:val="0"/>
      <w:spacing w:line="360" w:lineRule="atLeast"/>
      <w:ind w:firstLine="567"/>
      <w:jc w:val="left"/>
    </w:pPr>
    <w:rPr>
      <w:rFonts w:ascii="宋体"/>
      <w:color w:val="000000"/>
      <w:kern w:val="0"/>
      <w:sz w:val="28"/>
    </w:rPr>
  </w:style>
  <w:style w:type="paragraph" w:customStyle="1" w:styleId="32">
    <w:name w:val="列出段落1"/>
    <w:basedOn w:val="1"/>
    <w:uiPriority w:val="0"/>
    <w:pPr>
      <w:ind w:firstLine="420" w:firstLineChars="200"/>
    </w:pPr>
  </w:style>
  <w:style w:type="paragraph" w:customStyle="1" w:styleId="33">
    <w:name w:val="(中文) 仿宋_GB2312 四号 行距: 固定值 28 磅 首行缩进:  2 字符"/>
    <w:basedOn w:val="1"/>
    <w:qFormat/>
    <w:uiPriority w:val="0"/>
    <w:pPr>
      <w:ind w:firstLine="560"/>
      <w:jc w:val="left"/>
    </w:pPr>
    <w:rPr>
      <w:kern w:val="0"/>
      <w:position w:val="8"/>
      <w:sz w:val="28"/>
    </w:rPr>
  </w:style>
  <w:style w:type="character" w:customStyle="1" w:styleId="34">
    <w:name w:val="标题 2 Char"/>
    <w:basedOn w:val="18"/>
    <w:link w:val="6"/>
    <w:semiHidden/>
    <w:uiPriority w:val="9"/>
    <w:rPr>
      <w:rFonts w:asciiTheme="majorHAnsi" w:hAnsiTheme="majorHAnsi" w:eastAsiaTheme="majorEastAsia" w:cstheme="majorBidi"/>
      <w:b/>
      <w:bCs/>
      <w:sz w:val="32"/>
      <w:szCs w:val="32"/>
    </w:rPr>
  </w:style>
  <w:style w:type="character" w:customStyle="1" w:styleId="35">
    <w:name w:val="标题 3 Char"/>
    <w:basedOn w:val="18"/>
    <w:link w:val="7"/>
    <w:semiHidden/>
    <w:qFormat/>
    <w:uiPriority w:val="9"/>
    <w:rPr>
      <w:rFonts w:ascii="等线" w:hAnsi="等线" w:eastAsia="等线" w:cs="Times New Roman"/>
      <w:b/>
      <w:bCs/>
      <w:sz w:val="32"/>
      <w:szCs w:val="32"/>
    </w:rPr>
  </w:style>
  <w:style w:type="character" w:customStyle="1" w:styleId="36">
    <w:name w:val="标题 4 Char"/>
    <w:basedOn w:val="18"/>
    <w:link w:val="8"/>
    <w:semiHidden/>
    <w:qFormat/>
    <w:uiPriority w:val="9"/>
    <w:rPr>
      <w:rFonts w:asciiTheme="majorHAnsi" w:hAnsiTheme="majorHAnsi" w:eastAsiaTheme="majorEastAsia" w:cstheme="majorBidi"/>
      <w:b/>
      <w:bCs/>
      <w:sz w:val="28"/>
      <w:szCs w:val="28"/>
    </w:rPr>
  </w:style>
  <w:style w:type="character" w:customStyle="1" w:styleId="37">
    <w:name w:val="标题 5 Char"/>
    <w:basedOn w:val="18"/>
    <w:link w:val="9"/>
    <w:semiHidden/>
    <w:qFormat/>
    <w:uiPriority w:val="9"/>
    <w:rPr>
      <w:rFonts w:ascii="等线" w:hAnsi="等线" w:eastAsia="等线" w:cs="Times New Roman"/>
      <w:b/>
      <w:bCs/>
      <w:sz w:val="28"/>
      <w:szCs w:val="28"/>
    </w:rPr>
  </w:style>
  <w:style w:type="paragraph" w:customStyle="1" w:styleId="38">
    <w:name w:val="中文正文"/>
    <w:uiPriority w:val="0"/>
    <w:pPr>
      <w:spacing w:after="156" w:afterLines="50"/>
    </w:pPr>
    <w:rPr>
      <w:rFonts w:ascii="Times New Roman" w:hAnsi="Times New Roman"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2450</Words>
  <Characters>13968</Characters>
  <Lines>116</Lines>
  <Paragraphs>32</Paragraphs>
  <TotalTime>2</TotalTime>
  <ScaleCrop>false</ScaleCrop>
  <LinksUpToDate>false</LinksUpToDate>
  <CharactersWithSpaces>16386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2021-03-01T03:08:00Z</dcterms:created>
  <dc:creator>林武侠</dc:creator>
  <cp:lastModifiedBy>SUPERADMIN</cp:lastModifiedBy>
  <dcterms:modified xsi:type="dcterms:W3CDTF">2021-03-11T00:57:53Z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