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928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7189" w:type="dxa"/>
              <w:tblInd w:w="1843" w:type="dxa"/>
              <w:tblLayout w:type="autofit"/>
              <w:tblCellMar>
                <w:top w:w="0" w:type="dxa"/>
                <w:left w:w="0" w:type="dxa"/>
                <w:bottom w:w="0" w:type="dxa"/>
                <w:right w:w="0" w:type="dxa"/>
              </w:tblCellMar>
            </w:tblPr>
            <w:tblGrid>
              <w:gridCol w:w="1777"/>
              <w:gridCol w:w="1131"/>
              <w:gridCol w:w="321"/>
              <w:gridCol w:w="1292"/>
              <w:gridCol w:w="322"/>
              <w:gridCol w:w="968"/>
              <w:gridCol w:w="1378"/>
            </w:tblGrid>
            <w:tr>
              <w:tblPrEx>
                <w:tblCellMar>
                  <w:top w:w="0" w:type="dxa"/>
                  <w:left w:w="0" w:type="dxa"/>
                  <w:bottom w:w="0" w:type="dxa"/>
                  <w:right w:w="0" w:type="dxa"/>
                </w:tblCellMar>
              </w:tblPrEx>
              <w:trPr>
                <w:trHeight w:val="355" w:hRule="exact"/>
              </w:trPr>
              <w:tc>
                <w:tcPr>
                  <w:tcW w:w="1777" w:type="dxa"/>
                  <w:vAlign w:val="bottom"/>
                </w:tcPr>
                <w:p>
                  <w:pPr>
                    <w:tabs>
                      <w:tab w:val="left" w:pos="0"/>
                      <w:tab w:val="left" w:pos="7140"/>
                    </w:tabs>
                    <w:rPr>
                      <w:rStyle w:val="49"/>
                      <w:sz w:val="28"/>
                      <w:szCs w:val="28"/>
                    </w:rPr>
                  </w:pPr>
                  <w:r>
                    <w:rPr>
                      <w:rStyle w:val="49"/>
                      <w:sz w:val="28"/>
                      <w:szCs w:val="28"/>
                    </w:rPr>
                    <w:t>甲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乌鲁木齐新创慧至软件有限责任公司</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2" w:hRule="exact"/>
              </w:trPr>
              <w:tc>
                <w:tcPr>
                  <w:tcW w:w="1777" w:type="dxa"/>
                  <w:vAlign w:val="bottom"/>
                </w:tcPr>
                <w:p>
                  <w:pPr>
                    <w:tabs>
                      <w:tab w:val="left" w:pos="0"/>
                      <w:tab w:val="left" w:pos="7140"/>
                    </w:tabs>
                    <w:rPr>
                      <w:rStyle w:val="49"/>
                      <w:sz w:val="28"/>
                      <w:szCs w:val="28"/>
                    </w:rPr>
                  </w:pPr>
                  <w:r>
                    <w:rPr>
                      <w:rStyle w:val="49"/>
                      <w:sz w:val="28"/>
                      <w:szCs w:val="28"/>
                    </w:rPr>
                    <w:t>乙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北京创联致信科技有限公司</w:t>
                  </w:r>
                  <w:r>
                    <w:rPr>
                      <w:rStyle w:val="49"/>
                      <w:rFonts w:hint="eastAsia"/>
                      <w:sz w:val="28"/>
                      <w:szCs w:val="28"/>
                    </w:rPr>
                    <w:t xml:space="preserve"> </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ind w:firstLine="980" w:firstLineChars="350"/>
                    <w:rPr>
                      <w:rStyle w:val="49"/>
                      <w:b w:val="0"/>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45" w:hRule="exact"/>
              </w:trPr>
              <w:tc>
                <w:tcPr>
                  <w:tcW w:w="1777" w:type="dxa"/>
                  <w:vAlign w:val="bottom"/>
                </w:tcPr>
                <w:p>
                  <w:pPr>
                    <w:tabs>
                      <w:tab w:val="left" w:pos="0"/>
                      <w:tab w:val="left" w:pos="7140"/>
                    </w:tabs>
                    <w:rPr>
                      <w:rStyle w:val="49"/>
                      <w:sz w:val="28"/>
                      <w:szCs w:val="28"/>
                    </w:rPr>
                  </w:pPr>
                  <w:r>
                    <w:rPr>
                      <w:rStyle w:val="49"/>
                      <w:sz w:val="28"/>
                      <w:szCs w:val="28"/>
                    </w:rPr>
                    <w:t>签约地点：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北京</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30" w:hRule="exact"/>
              </w:trPr>
              <w:tc>
                <w:tcPr>
                  <w:tcW w:w="1777" w:type="dxa"/>
                  <w:vAlign w:val="bottom"/>
                </w:tcPr>
                <w:p>
                  <w:pPr>
                    <w:tabs>
                      <w:tab w:val="left" w:pos="0"/>
                      <w:tab w:val="left" w:pos="7140"/>
                    </w:tabs>
                    <w:rPr>
                      <w:rStyle w:val="49"/>
                      <w:sz w:val="28"/>
                      <w:szCs w:val="28"/>
                    </w:rPr>
                  </w:pPr>
                  <w:r>
                    <w:rPr>
                      <w:rStyle w:val="49"/>
                      <w:sz w:val="28"/>
                      <w:szCs w:val="28"/>
                    </w:rPr>
                    <w:t>签约时间：</w:t>
                  </w:r>
                </w:p>
              </w:tc>
              <w:tc>
                <w:tcPr>
                  <w:tcW w:w="1131" w:type="dxa"/>
                  <w:tcBorders>
                    <w:bottom w:val="single" w:color="auto" w:sz="4" w:space="0"/>
                  </w:tcBorders>
                  <w:vAlign w:val="bottom"/>
                </w:tcPr>
                <w:p>
                  <w:pPr>
                    <w:tabs>
                      <w:tab w:val="left" w:pos="0"/>
                      <w:tab w:val="left" w:pos="7140"/>
                    </w:tabs>
                    <w:jc w:val="center"/>
                    <w:rPr>
                      <w:rStyle w:val="49"/>
                      <w:sz w:val="28"/>
                      <w:szCs w:val="28"/>
                    </w:rPr>
                  </w:pPr>
                  <w:r>
                    <w:rPr>
                      <w:rStyle w:val="49"/>
                      <w:rFonts w:hint="eastAsia"/>
                      <w:sz w:val="28"/>
                      <w:szCs w:val="28"/>
                      <w:lang w:val="en-US" w:eastAsia="zh-CN"/>
                    </w:rPr>
                    <w:t>2020</w:t>
                  </w:r>
                </w:p>
              </w:tc>
              <w:tc>
                <w:tcPr>
                  <w:tcW w:w="321" w:type="dxa"/>
                  <w:vAlign w:val="bottom"/>
                </w:tcPr>
                <w:p>
                  <w:pPr>
                    <w:rPr>
                      <w:rStyle w:val="49"/>
                      <w:sz w:val="28"/>
                      <w:szCs w:val="28"/>
                    </w:rPr>
                  </w:pPr>
                  <w:r>
                    <w:rPr>
                      <w:rStyle w:val="49"/>
                      <w:sz w:val="28"/>
                      <w:szCs w:val="28"/>
                    </w:rPr>
                    <w:t>年</w:t>
                  </w:r>
                </w:p>
              </w:tc>
              <w:tc>
                <w:tcPr>
                  <w:tcW w:w="1292" w:type="dxa"/>
                  <w:tcBorders>
                    <w:bottom w:val="single" w:color="auto" w:sz="4" w:space="0"/>
                  </w:tcBorders>
                  <w:vAlign w:val="bottom"/>
                </w:tcPr>
                <w:p>
                  <w:pPr>
                    <w:tabs>
                      <w:tab w:val="left" w:pos="-147"/>
                      <w:tab w:val="left" w:pos="7140"/>
                    </w:tabs>
                    <w:jc w:val="center"/>
                    <w:rPr>
                      <w:rStyle w:val="49"/>
                      <w:sz w:val="28"/>
                      <w:szCs w:val="28"/>
                    </w:rPr>
                  </w:pPr>
                  <w:r>
                    <w:rPr>
                      <w:rStyle w:val="49"/>
                      <w:rFonts w:hint="eastAsia"/>
                      <w:sz w:val="28"/>
                      <w:szCs w:val="28"/>
                      <w:lang w:val="en-US" w:eastAsia="zh-CN"/>
                    </w:rPr>
                    <w:t>06</w:t>
                  </w:r>
                </w:p>
              </w:tc>
              <w:tc>
                <w:tcPr>
                  <w:tcW w:w="322" w:type="dxa"/>
                  <w:vAlign w:val="bottom"/>
                </w:tcPr>
                <w:p>
                  <w:pPr>
                    <w:rPr>
                      <w:rStyle w:val="49"/>
                      <w:sz w:val="28"/>
                      <w:szCs w:val="28"/>
                    </w:rPr>
                  </w:pPr>
                  <w:r>
                    <w:rPr>
                      <w:rStyle w:val="49"/>
                      <w:sz w:val="28"/>
                      <w:szCs w:val="28"/>
                    </w:rPr>
                    <w:t>月</w:t>
                  </w:r>
                </w:p>
              </w:tc>
              <w:tc>
                <w:tcPr>
                  <w:tcW w:w="968" w:type="dxa"/>
                  <w:tcBorders>
                    <w:bottom w:val="single" w:color="auto" w:sz="4" w:space="0"/>
                  </w:tcBorders>
                  <w:vAlign w:val="bottom"/>
                </w:tcPr>
                <w:p>
                  <w:pPr>
                    <w:tabs>
                      <w:tab w:val="left" w:pos="0"/>
                      <w:tab w:val="left" w:pos="7140"/>
                    </w:tabs>
                    <w:rPr>
                      <w:rStyle w:val="49"/>
                      <w:sz w:val="28"/>
                      <w:szCs w:val="28"/>
                    </w:rPr>
                  </w:pPr>
                </w:p>
              </w:tc>
              <w:tc>
                <w:tcPr>
                  <w:tcW w:w="137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 xml:space="preserve"> </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p>
    <w:p>
      <w:pPr>
        <w:pStyle w:val="26"/>
        <w:ind w:firstLine="480" w:firstLineChars="200"/>
      </w:pPr>
      <w:r>
        <w:t>根据《中华人民共和国合同法》的有关规定，为明确甲乙双方的权利和义务，经友好协商，共同签订本合同。</w:t>
      </w:r>
    </w:p>
    <w:p/>
    <w:p/>
    <w:p>
      <w:pPr>
        <w:pStyle w:val="50"/>
        <w:spacing w:after="190"/>
      </w:pPr>
      <w:bookmarkStart w:id="0" w:name="_Toc70418447"/>
      <w:bookmarkStart w:id="1" w:name="_Toc493781403"/>
      <w:bookmarkStart w:id="2" w:name="_Toc344666615"/>
      <w:bookmarkStart w:id="3" w:name="_Toc69885719"/>
      <w:bookmarkStart w:id="4" w:name="_Toc69897962"/>
      <w:bookmarkStart w:id="5" w:name="_Toc40334336"/>
      <w:bookmarkStart w:id="6" w:name="_Toc40334781"/>
      <w:bookmarkStart w:id="7" w:name="_Toc479852603"/>
      <w:bookmarkStart w:id="8" w:name="_Toc40334382"/>
      <w:bookmarkStart w:id="9" w:name="_Toc40684930"/>
      <w:bookmarkStart w:id="10" w:name="_Toc40687195"/>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自动化监控平台[简称：ITiMe-Insight]V5.0系统</w:t>
      </w:r>
      <w:r>
        <w:rPr>
          <w:snapToGrid w:val="0"/>
          <w:kern w:val="0"/>
          <w:sz w:val="24"/>
          <w:u w:val="single"/>
        </w:rPr>
        <w:t>软件</w:t>
      </w:r>
      <w:r>
        <w:rPr>
          <w:snapToGrid w:val="0"/>
          <w:kern w:val="0"/>
          <w:sz w:val="24"/>
        </w:rPr>
        <w:t>产品及有偿服务。</w:t>
      </w:r>
      <w:r>
        <w:rPr>
          <w:rFonts w:hint="eastAsia"/>
          <w:snapToGrid w:val="0"/>
          <w:kern w:val="0"/>
          <w:sz w:val="24"/>
        </w:rPr>
        <w:t xml:space="preserve"> 附表参数</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344666616"/>
      <w:bookmarkStart w:id="12" w:name="_Toc69897963"/>
      <w:bookmarkStart w:id="13" w:name="_Toc70418448"/>
      <w:bookmarkStart w:id="14" w:name="_Toc493781404"/>
      <w:bookmarkStart w:id="15" w:name="_Toc40684931"/>
      <w:bookmarkStart w:id="16" w:name="_Toc40687196"/>
      <w:bookmarkStart w:id="17" w:name="_Toc40334383"/>
      <w:bookmarkStart w:id="18" w:name="_Toc479852604"/>
      <w:bookmarkStart w:id="19" w:name="_Toc40334782"/>
      <w:bookmarkStart w:id="20" w:name="_Toc69885720"/>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lang w:val="en-US" w:eastAsia="zh-CN"/>
        </w:rPr>
        <w:t>60,000.00</w:t>
      </w:r>
      <w:r>
        <w:rPr>
          <w:snapToGrid w:val="0"/>
          <w:kern w:val="0"/>
          <w:sz w:val="24"/>
          <w:u w:val="single"/>
        </w:rPr>
        <w:t xml:space="preserve"> </w:t>
      </w:r>
      <w:r>
        <w:rPr>
          <w:snapToGrid w:val="0"/>
          <w:kern w:val="0"/>
          <w:sz w:val="24"/>
        </w:rPr>
        <w:t>元</w:t>
      </w:r>
      <w:r>
        <w:rPr>
          <w:snapToGrid w:val="0"/>
          <w:kern w:val="0"/>
          <w:sz w:val="24"/>
        </w:rPr>
        <w:tab/>
      </w:r>
      <w:r>
        <w:rPr>
          <w:snapToGrid w:val="0"/>
          <w:kern w:val="0"/>
          <w:sz w:val="24"/>
        </w:rPr>
        <w:t>（人民币大写：</w:t>
      </w:r>
      <w:r>
        <w:rPr>
          <w:rFonts w:hint="eastAsia"/>
          <w:snapToGrid w:val="0"/>
          <w:kern w:val="0"/>
          <w:sz w:val="24"/>
          <w:u w:val="single"/>
        </w:rPr>
        <w:t xml:space="preserve"> </w:t>
      </w:r>
      <w:r>
        <w:rPr>
          <w:rFonts w:hint="eastAsia"/>
          <w:snapToGrid w:val="0"/>
          <w:kern w:val="0"/>
          <w:sz w:val="24"/>
          <w:u w:val="single"/>
          <w:lang w:val="en-US" w:eastAsia="zh-CN"/>
        </w:rPr>
        <w:t>陆万元</w:t>
      </w:r>
      <w:r>
        <w:rPr>
          <w:snapToGrid w:val="0"/>
          <w:kern w:val="0"/>
          <w:sz w:val="24"/>
          <w:u w:val="single"/>
        </w:rPr>
        <w:t>整</w:t>
      </w:r>
      <w:r>
        <w:rPr>
          <w:rFonts w:hint="eastAsia"/>
          <w:snapToGrid w:val="0"/>
          <w:kern w:val="0"/>
          <w:sz w:val="24"/>
          <w:u w:val="single"/>
          <w:lang w:val="en-US" w:eastAsia="zh-CN"/>
        </w:rPr>
        <w:t xml:space="preserve"> </w:t>
      </w:r>
      <w:r>
        <w:rPr>
          <w:snapToGrid w:val="0"/>
          <w:kern w:val="0"/>
          <w:sz w:val="24"/>
        </w:rPr>
        <w:t>）。</w:t>
      </w:r>
    </w:p>
    <w:p>
      <w:pPr>
        <w:ind w:left="567"/>
        <w:rPr>
          <w:rFonts w:hint="eastAsia" w:eastAsia="仿宋_GB2312"/>
          <w:snapToGrid w:val="0"/>
          <w:kern w:val="0"/>
          <w:sz w:val="24"/>
          <w:lang w:eastAsia="zh-CN"/>
        </w:rPr>
      </w:pPr>
      <w:r>
        <w:rPr>
          <w:rFonts w:hint="eastAsia"/>
          <w:snapToGrid w:val="0"/>
          <w:kern w:val="0"/>
          <w:sz w:val="24"/>
          <w:lang w:val="en-US" w:eastAsia="zh-CN"/>
        </w:rPr>
        <w:t xml:space="preserve"> </w:t>
      </w:r>
    </w:p>
    <w:p>
      <w:pPr>
        <w:pStyle w:val="50"/>
        <w:spacing w:after="190"/>
      </w:pPr>
      <w:bookmarkStart w:id="21" w:name="_Toc479852605"/>
      <w:bookmarkStart w:id="22" w:name="_Toc344666617"/>
      <w:bookmarkStart w:id="23" w:name="_Toc40334783"/>
      <w:bookmarkStart w:id="24" w:name="_Toc493781405"/>
      <w:bookmarkStart w:id="25" w:name="_Toc40684932"/>
      <w:bookmarkStart w:id="26" w:name="_Toc40687197"/>
      <w:bookmarkStart w:id="27" w:name="_Toc69897964"/>
      <w:bookmarkStart w:id="28" w:name="_Toc70418449"/>
      <w:bookmarkStart w:id="29" w:name="_Toc69885721"/>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rFonts w:hint="eastAsia"/>
          <w:snapToGrid w:val="0"/>
          <w:color w:val="000000"/>
          <w:kern w:val="0"/>
          <w:sz w:val="24"/>
        </w:rPr>
        <w:t>7</w:t>
      </w:r>
      <w:r>
        <w:rPr>
          <w:snapToGrid w:val="0"/>
          <w:kern w:val="0"/>
          <w:sz w:val="24"/>
        </w:rPr>
        <w:t>个工作日内，甲方向乙方支付第一期合同款，金额为合同总额的</w:t>
      </w:r>
      <w:r>
        <w:rPr>
          <w:rFonts w:hint="eastAsia"/>
          <w:snapToGrid w:val="0"/>
          <w:kern w:val="0"/>
          <w:sz w:val="24"/>
          <w:lang w:val="en-US" w:eastAsia="zh-CN"/>
        </w:rPr>
        <w:t>5</w:t>
      </w:r>
      <w:r>
        <w:rPr>
          <w:snapToGrid w:val="0"/>
          <w:color w:val="000000"/>
          <w:kern w:val="0"/>
          <w:sz w:val="24"/>
        </w:rPr>
        <w:t>0%</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lang w:val="en-US" w:eastAsia="zh-CN"/>
        </w:rPr>
        <w:t xml:space="preserve"> 叁</w:t>
      </w:r>
      <w:r>
        <w:rPr>
          <w:rFonts w:hint="eastAsia"/>
          <w:snapToGrid w:val="0"/>
          <w:kern w:val="0"/>
          <w:sz w:val="24"/>
          <w:u w:val="single"/>
        </w:rPr>
        <w:t>万</w:t>
      </w:r>
      <w:r>
        <w:rPr>
          <w:rFonts w:hint="eastAsia"/>
          <w:snapToGrid w:val="0"/>
          <w:kern w:val="0"/>
          <w:sz w:val="24"/>
          <w:u w:val="single"/>
          <w:lang w:val="en-US" w:eastAsia="zh-CN"/>
        </w:rPr>
        <w:t xml:space="preserve">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color w:val="000000"/>
          <w:kern w:val="0"/>
          <w:sz w:val="24"/>
        </w:rPr>
        <w:t>1个月内</w:t>
      </w:r>
      <w:r>
        <w:rPr>
          <w:snapToGrid w:val="0"/>
          <w:kern w:val="0"/>
          <w:sz w:val="24"/>
        </w:rPr>
        <w:t>，甲方向乙方支付第二期合同款，金额为合同总额的</w:t>
      </w:r>
      <w:r>
        <w:rPr>
          <w:rFonts w:hint="eastAsia"/>
          <w:snapToGrid w:val="0"/>
          <w:kern w:val="0"/>
          <w:sz w:val="24"/>
          <w:lang w:val="en-US" w:eastAsia="zh-CN"/>
        </w:rPr>
        <w:t>5</w:t>
      </w:r>
      <w:r>
        <w:rPr>
          <w:snapToGrid w:val="0"/>
          <w:color w:val="000000"/>
          <w:kern w:val="0"/>
          <w:sz w:val="24"/>
        </w:rPr>
        <w:t>0%</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lang w:val="en-US" w:eastAsia="zh-CN"/>
        </w:rPr>
        <w:t xml:space="preserve"> 叁</w:t>
      </w:r>
      <w:r>
        <w:rPr>
          <w:rFonts w:hint="eastAsia"/>
          <w:snapToGrid w:val="0"/>
          <w:kern w:val="0"/>
          <w:sz w:val="24"/>
          <w:u w:val="single"/>
        </w:rPr>
        <w:t>万</w:t>
      </w:r>
      <w:r>
        <w:rPr>
          <w:rFonts w:hint="eastAsia"/>
          <w:snapToGrid w:val="0"/>
          <w:kern w:val="0"/>
          <w:sz w:val="24"/>
          <w:u w:val="single"/>
          <w:lang w:val="en-US" w:eastAsia="zh-CN"/>
        </w:rPr>
        <w:t xml:space="preserve"> </w:t>
      </w:r>
      <w:bookmarkStart w:id="133" w:name="_GoBack"/>
      <w:bookmarkEnd w:id="133"/>
      <w:r>
        <w:rPr>
          <w:snapToGrid w:val="0"/>
          <w:kern w:val="0"/>
          <w:sz w:val="24"/>
        </w:rPr>
        <w:t>元整）。</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合同款后五日内提供</w:t>
      </w:r>
      <w:r>
        <w:rPr>
          <w:rFonts w:hint="eastAsia"/>
          <w:snapToGrid w:val="0"/>
          <w:kern w:val="0"/>
          <w:sz w:val="24"/>
        </w:rPr>
        <w:t>增值税</w:t>
      </w:r>
      <w:r>
        <w:rPr>
          <w:snapToGrid w:val="0"/>
          <w:kern w:val="0"/>
          <w:sz w:val="24"/>
        </w:rPr>
        <w:t>专用发票</w:t>
      </w:r>
      <w:r>
        <w:rPr>
          <w:rFonts w:hint="eastAsia"/>
          <w:snapToGrid w:val="0"/>
          <w:kern w:val="0"/>
          <w:sz w:val="24"/>
        </w:rPr>
        <w:t>13</w:t>
      </w:r>
      <w:r>
        <w:rPr>
          <w:snapToGrid w:val="0"/>
          <w:kern w:val="0"/>
          <w:sz w:val="24"/>
        </w:rPr>
        <w:t>%</w:t>
      </w:r>
      <w:r>
        <w:rPr>
          <w:rFonts w:hint="eastAsia"/>
          <w:snapToGrid w:val="0"/>
          <w:kern w:val="0"/>
          <w:sz w:val="24"/>
        </w:rPr>
        <w:t xml:space="preserve"> </w:t>
      </w:r>
      <w:r>
        <w:rPr>
          <w:snapToGrid w:val="0"/>
          <w:kern w:val="0"/>
          <w:sz w:val="24"/>
        </w:rPr>
        <w:t>，</w:t>
      </w:r>
      <w:r>
        <w:rPr>
          <w:rFonts w:hint="eastAsia"/>
          <w:snapToGrid w:val="0"/>
          <w:kern w:val="0"/>
          <w:sz w:val="24"/>
        </w:rPr>
        <w:t xml:space="preserve">开票内容为： </w:t>
      </w:r>
    </w:p>
    <w:p>
      <w:pPr>
        <w:ind w:left="1035" w:leftChars="493"/>
        <w:rPr>
          <w:b/>
          <w:snapToGrid w:val="0"/>
          <w:kern w:val="0"/>
          <w:sz w:val="24"/>
          <w:u w:val="single"/>
        </w:rPr>
      </w:pPr>
      <w:r>
        <w:rPr>
          <w:rFonts w:hint="eastAsia"/>
          <w:b/>
          <w:snapToGrid w:val="0"/>
          <w:kern w:val="0"/>
          <w:sz w:val="24"/>
          <w:u w:val="single"/>
        </w:rPr>
        <w:t>公司名称：乌鲁木齐新创慧至软件有限责任公司</w:t>
      </w:r>
    </w:p>
    <w:p>
      <w:pPr>
        <w:ind w:left="1035" w:leftChars="493"/>
        <w:rPr>
          <w:b/>
          <w:snapToGrid w:val="0"/>
          <w:kern w:val="0"/>
          <w:sz w:val="24"/>
          <w:u w:val="single"/>
        </w:rPr>
      </w:pPr>
      <w:r>
        <w:rPr>
          <w:rFonts w:hint="eastAsia"/>
          <w:b/>
          <w:snapToGrid w:val="0"/>
          <w:kern w:val="0"/>
          <w:sz w:val="24"/>
          <w:u w:val="single"/>
        </w:rPr>
        <w:t xml:space="preserve">地 </w:t>
      </w:r>
      <w:r>
        <w:rPr>
          <w:b/>
          <w:snapToGrid w:val="0"/>
          <w:kern w:val="0"/>
          <w:sz w:val="24"/>
          <w:u w:val="single"/>
        </w:rPr>
        <w:t xml:space="preserve">   </w:t>
      </w:r>
      <w:r>
        <w:rPr>
          <w:rFonts w:hint="eastAsia"/>
          <w:b/>
          <w:snapToGrid w:val="0"/>
          <w:kern w:val="0"/>
          <w:sz w:val="24"/>
          <w:u w:val="single"/>
        </w:rPr>
        <w:t>址：新疆乌鲁木齐高新技术产业开发区（新市区）天津南路6</w:t>
      </w:r>
      <w:r>
        <w:rPr>
          <w:b/>
          <w:snapToGrid w:val="0"/>
          <w:kern w:val="0"/>
          <w:sz w:val="24"/>
          <w:u w:val="single"/>
        </w:rPr>
        <w:t>82</w:t>
      </w:r>
      <w:r>
        <w:rPr>
          <w:rFonts w:hint="eastAsia"/>
          <w:b/>
          <w:snapToGrid w:val="0"/>
          <w:kern w:val="0"/>
          <w:sz w:val="24"/>
          <w:u w:val="single"/>
        </w:rPr>
        <w:t>号创业大厦B段1层A</w:t>
      </w:r>
      <w:r>
        <w:rPr>
          <w:b/>
          <w:snapToGrid w:val="0"/>
          <w:kern w:val="0"/>
          <w:sz w:val="24"/>
          <w:u w:val="single"/>
        </w:rPr>
        <w:t>-419</w:t>
      </w:r>
    </w:p>
    <w:p>
      <w:pPr>
        <w:ind w:left="1035" w:leftChars="493"/>
        <w:rPr>
          <w:b/>
          <w:snapToGrid w:val="0"/>
          <w:kern w:val="0"/>
          <w:sz w:val="24"/>
          <w:u w:val="single"/>
        </w:rPr>
      </w:pPr>
      <w:r>
        <w:rPr>
          <w:rFonts w:hint="eastAsia"/>
          <w:b/>
          <w:snapToGrid w:val="0"/>
          <w:kern w:val="0"/>
          <w:sz w:val="24"/>
          <w:u w:val="single"/>
        </w:rPr>
        <w:t xml:space="preserve">电 </w:t>
      </w:r>
      <w:r>
        <w:rPr>
          <w:b/>
          <w:snapToGrid w:val="0"/>
          <w:kern w:val="0"/>
          <w:sz w:val="24"/>
          <w:u w:val="single"/>
        </w:rPr>
        <w:t xml:space="preserve">   </w:t>
      </w:r>
      <w:r>
        <w:rPr>
          <w:rFonts w:hint="eastAsia"/>
          <w:b/>
          <w:snapToGrid w:val="0"/>
          <w:kern w:val="0"/>
          <w:sz w:val="24"/>
          <w:u w:val="single"/>
        </w:rPr>
        <w:t>话：</w:t>
      </w:r>
      <w:r>
        <w:rPr>
          <w:b/>
          <w:snapToGrid w:val="0"/>
          <w:kern w:val="0"/>
          <w:sz w:val="24"/>
          <w:u w:val="single"/>
        </w:rPr>
        <w:t>15899227504</w:t>
      </w:r>
    </w:p>
    <w:p>
      <w:pPr>
        <w:ind w:left="1035" w:leftChars="493"/>
        <w:rPr>
          <w:b/>
          <w:snapToGrid w:val="0"/>
          <w:kern w:val="0"/>
          <w:sz w:val="24"/>
          <w:u w:val="single"/>
        </w:rPr>
      </w:pPr>
      <w:r>
        <w:rPr>
          <w:rFonts w:hint="eastAsia"/>
          <w:b/>
          <w:snapToGrid w:val="0"/>
          <w:kern w:val="0"/>
          <w:sz w:val="24"/>
          <w:u w:val="single"/>
        </w:rPr>
        <w:t xml:space="preserve">税 </w:t>
      </w:r>
      <w:r>
        <w:rPr>
          <w:b/>
          <w:snapToGrid w:val="0"/>
          <w:kern w:val="0"/>
          <w:sz w:val="24"/>
          <w:u w:val="single"/>
        </w:rPr>
        <w:t xml:space="preserve">   </w:t>
      </w:r>
      <w:r>
        <w:rPr>
          <w:rFonts w:hint="eastAsia"/>
          <w:b/>
          <w:snapToGrid w:val="0"/>
          <w:kern w:val="0"/>
          <w:sz w:val="24"/>
          <w:u w:val="single"/>
        </w:rPr>
        <w:t>号：91650100</w:t>
      </w:r>
      <w:r>
        <w:rPr>
          <w:b/>
          <w:snapToGrid w:val="0"/>
          <w:kern w:val="0"/>
          <w:sz w:val="24"/>
          <w:u w:val="single"/>
        </w:rPr>
        <w:t>MA78G48M67</w:t>
      </w:r>
    </w:p>
    <w:p>
      <w:pPr>
        <w:ind w:left="1035" w:leftChars="493"/>
        <w:rPr>
          <w:b/>
          <w:snapToGrid w:val="0"/>
          <w:kern w:val="0"/>
          <w:sz w:val="24"/>
          <w:u w:val="single"/>
        </w:rPr>
      </w:pPr>
      <w:r>
        <w:rPr>
          <w:rFonts w:hint="eastAsia"/>
          <w:b/>
          <w:snapToGrid w:val="0"/>
          <w:kern w:val="0"/>
          <w:sz w:val="24"/>
          <w:u w:val="single"/>
        </w:rPr>
        <w:t>开 户 行：招商银行股份有限公司乌鲁木齐苏州路支行</w:t>
      </w:r>
    </w:p>
    <w:p>
      <w:pPr>
        <w:ind w:left="1035" w:leftChars="493"/>
        <w:rPr>
          <w:b/>
          <w:snapToGrid w:val="0"/>
          <w:kern w:val="0"/>
          <w:sz w:val="24"/>
          <w:u w:val="single"/>
        </w:rPr>
      </w:pPr>
      <w:r>
        <w:rPr>
          <w:rFonts w:hint="eastAsia"/>
          <w:b/>
          <w:snapToGrid w:val="0"/>
          <w:kern w:val="0"/>
          <w:sz w:val="24"/>
          <w:u w:val="single"/>
        </w:rPr>
        <w:t xml:space="preserve">账 </w:t>
      </w:r>
      <w:r>
        <w:rPr>
          <w:b/>
          <w:snapToGrid w:val="0"/>
          <w:kern w:val="0"/>
          <w:sz w:val="24"/>
          <w:u w:val="single"/>
        </w:rPr>
        <w:t xml:space="preserve">   </w:t>
      </w:r>
      <w:r>
        <w:rPr>
          <w:rFonts w:hint="eastAsia"/>
          <w:b/>
          <w:snapToGrid w:val="0"/>
          <w:kern w:val="0"/>
          <w:sz w:val="24"/>
          <w:u w:val="single"/>
        </w:rPr>
        <w:t>号：</w:t>
      </w:r>
      <w:r>
        <w:rPr>
          <w:b/>
          <w:snapToGrid w:val="0"/>
          <w:kern w:val="0"/>
          <w:sz w:val="24"/>
          <w:u w:val="single"/>
        </w:rPr>
        <w:t>991904971810701</w:t>
      </w:r>
    </w:p>
    <w:p>
      <w:pPr>
        <w:ind w:firstLine="964" w:firstLineChars="400"/>
        <w:rPr>
          <w:snapToGrid w:val="0"/>
          <w:kern w:val="0"/>
          <w:sz w:val="24"/>
        </w:rPr>
      </w:pPr>
      <w:r>
        <w:rPr>
          <w:rFonts w:hint="eastAsia"/>
          <w:b/>
          <w:snapToGrid w:val="0"/>
          <w:kern w:val="0"/>
          <w:sz w:val="24"/>
          <w:u w:val="single"/>
        </w:rPr>
        <w:t>财务咨询电话：</w:t>
      </w:r>
      <w:r>
        <w:rPr>
          <w:b/>
          <w:snapToGrid w:val="0"/>
          <w:kern w:val="0"/>
          <w:sz w:val="24"/>
          <w:u w:val="single"/>
        </w:rPr>
        <w:t>15899227504</w:t>
      </w:r>
      <w:r>
        <w:rPr>
          <w:rFonts w:hint="eastAsia"/>
          <w:snapToGrid w:val="0"/>
          <w:kern w:val="0"/>
          <w:sz w:val="24"/>
          <w:u w:val="single"/>
        </w:rPr>
        <w:t xml:space="preserve"> </w:t>
      </w:r>
      <w:r>
        <w:rPr>
          <w:snapToGrid w:val="0"/>
          <w:kern w:val="0"/>
          <w:sz w:val="24"/>
          <w:u w:val="single"/>
        </w:rPr>
        <w:t xml:space="preserve">    </w:t>
      </w:r>
    </w:p>
    <w:p>
      <w:pPr>
        <w:pStyle w:val="50"/>
        <w:spacing w:after="190"/>
        <w:rPr>
          <w:sz w:val="24"/>
        </w:rPr>
      </w:pPr>
      <w:bookmarkStart w:id="30" w:name="_Toc118017176"/>
      <w:bookmarkStart w:id="31" w:name="_Toc127180521"/>
      <w:bookmarkStart w:id="32" w:name="_Toc344666618"/>
      <w:bookmarkStart w:id="33" w:name="_Toc136942260"/>
      <w:bookmarkStart w:id="34" w:name="_Toc493781406"/>
      <w:bookmarkStart w:id="35" w:name="_Toc70418450"/>
      <w:bookmarkStart w:id="36" w:name="_Toc40687198"/>
      <w:bookmarkStart w:id="37" w:name="_Toc40684933"/>
      <w:bookmarkStart w:id="38" w:name="_Toc40334784"/>
      <w:bookmarkStart w:id="39" w:name="_Toc69885722"/>
      <w:bookmarkStart w:id="40" w:name="_Toc479852606"/>
      <w:bookmarkStart w:id="41" w:name="_Toc69897965"/>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5"/>
        </w:numPr>
        <w:rPr>
          <w:b/>
          <w:snapToGrid w:val="0"/>
          <w:kern w:val="0"/>
          <w:sz w:val="24"/>
        </w:rPr>
      </w:pPr>
      <w:r>
        <w:rPr>
          <w:b/>
          <w:snapToGrid w:val="0"/>
          <w:kern w:val="0"/>
          <w:sz w:val="24"/>
        </w:rPr>
        <w:t>甲方责任：</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5"/>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5"/>
        </w:numPr>
        <w:rPr>
          <w:b/>
          <w:snapToGrid w:val="0"/>
          <w:kern w:val="0"/>
          <w:sz w:val="24"/>
        </w:rPr>
      </w:pPr>
      <w:r>
        <w:rPr>
          <w:b/>
          <w:snapToGrid w:val="0"/>
          <w:kern w:val="0"/>
          <w:sz w:val="24"/>
        </w:rPr>
        <w:t>乙方责任：</w:t>
      </w:r>
    </w:p>
    <w:p>
      <w:pPr>
        <w:numPr>
          <w:ilvl w:val="2"/>
          <w:numId w:val="5"/>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299535543"/>
      <w:bookmarkStart w:id="43" w:name="_Toc344666619"/>
      <w:bookmarkStart w:id="44" w:name="_Toc493781407"/>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pStyle w:val="47"/>
        <w:tabs>
          <w:tab w:val="left" w:pos="1035"/>
        </w:tabs>
        <w:ind w:left="720" w:firstLine="0" w:firstLineChars="0"/>
        <w:rPr>
          <w:snapToGrid w:val="0"/>
          <w:sz w:val="24"/>
          <w:u w:val="single"/>
        </w:rPr>
      </w:pPr>
      <w:r>
        <w:rPr>
          <w:rFonts w:hint="eastAsia"/>
          <w:snapToGrid w:val="0"/>
          <w:kern w:val="0"/>
          <w:sz w:val="24"/>
        </w:rPr>
        <w:t>实施</w:t>
      </w:r>
      <w:r>
        <w:rPr>
          <w:snapToGrid w:val="0"/>
          <w:sz w:val="24"/>
        </w:rPr>
        <w:t>单位：</w:t>
      </w:r>
      <w:r>
        <w:rPr>
          <w:snapToGrid w:val="0"/>
          <w:sz w:val="24"/>
          <w:u w:val="single"/>
        </w:rPr>
        <w:t xml:space="preserve">  </w:t>
      </w:r>
      <w:r>
        <w:rPr>
          <w:rFonts w:hint="eastAsia"/>
          <w:snapToGrid w:val="0"/>
          <w:sz w:val="24"/>
          <w:u w:val="single"/>
        </w:rPr>
        <w:t>新疆</w:t>
      </w:r>
      <w:r>
        <w:rPr>
          <w:rFonts w:hint="eastAsia"/>
          <w:snapToGrid w:val="0"/>
          <w:sz w:val="24"/>
          <w:u w:val="single"/>
          <w:lang w:val="en-US" w:eastAsia="zh-CN"/>
        </w:rPr>
        <w:t>军区总院</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kern w:val="0"/>
          <w:sz w:val="24"/>
        </w:rPr>
        <w:t>实施</w:t>
      </w:r>
      <w:r>
        <w:rPr>
          <w:snapToGrid w:val="0"/>
          <w:sz w:val="24"/>
        </w:rPr>
        <w:t>地址：</w:t>
      </w:r>
      <w:r>
        <w:rPr>
          <w:snapToGrid w:val="0"/>
          <w:sz w:val="24"/>
          <w:u w:val="single"/>
        </w:rPr>
        <w:t xml:space="preserve">  </w:t>
      </w:r>
      <w:r>
        <w:rPr>
          <w:rFonts w:hint="eastAsia"/>
          <w:snapToGrid w:val="0"/>
          <w:sz w:val="24"/>
          <w:u w:val="single"/>
          <w:lang w:val="en-US" w:eastAsia="zh-CN"/>
        </w:rPr>
        <w:t>乌鲁木齐</w:t>
      </w:r>
      <w:r>
        <w:rPr>
          <w:rFonts w:hint="eastAsia"/>
          <w:snapToGrid w:val="0"/>
          <w:sz w:val="24"/>
          <w:u w:val="single"/>
        </w:rPr>
        <w:t xml:space="preserve"> </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sz w:val="24"/>
        </w:rPr>
        <w:t>联 系 人</w:t>
      </w:r>
      <w:r>
        <w:rPr>
          <w:snapToGrid w:val="0"/>
          <w:sz w:val="24"/>
        </w:rPr>
        <w:t>：</w:t>
      </w:r>
      <w:r>
        <w:rPr>
          <w:snapToGrid w:val="0"/>
          <w:sz w:val="24"/>
          <w:u w:val="single"/>
        </w:rPr>
        <w:t xml:space="preserve">  </w:t>
      </w:r>
      <w:r>
        <w:rPr>
          <w:rFonts w:hint="eastAsia"/>
          <w:snapToGrid w:val="0"/>
          <w:sz w:val="24"/>
          <w:u w:val="single"/>
        </w:rPr>
        <w:t>金玲</w:t>
      </w:r>
      <w:r>
        <w:rPr>
          <w:snapToGrid w:val="0"/>
          <w:sz w:val="24"/>
          <w:u w:val="single"/>
        </w:rPr>
        <w:t xml:space="preserve">                                           </w:t>
      </w:r>
    </w:p>
    <w:p>
      <w:pPr>
        <w:pStyle w:val="47"/>
        <w:tabs>
          <w:tab w:val="left" w:pos="1035"/>
        </w:tabs>
        <w:ind w:left="720" w:firstLine="0" w:firstLineChars="0"/>
        <w:rPr>
          <w:snapToGrid w:val="0"/>
        </w:rPr>
      </w:pPr>
      <w:r>
        <w:rPr>
          <w:snapToGrid w:val="0"/>
          <w:sz w:val="24"/>
        </w:rPr>
        <w:t>联系方式：</w:t>
      </w:r>
      <w:r>
        <w:rPr>
          <w:snapToGrid w:val="0"/>
          <w:sz w:val="24"/>
          <w:u w:val="single"/>
        </w:rPr>
        <w:t xml:space="preserve">  </w:t>
      </w:r>
      <w:r>
        <w:rPr>
          <w:rFonts w:hint="eastAsia"/>
          <w:snapToGrid w:val="0"/>
          <w:sz w:val="24"/>
          <w:u w:val="single"/>
        </w:rPr>
        <w:t>15899227504</w:t>
      </w:r>
      <w:r>
        <w:rPr>
          <w:rFonts w:hint="eastAsia"/>
          <w:snapToGrid w:val="0"/>
          <w:sz w:val="24"/>
          <w:u w:val="single"/>
          <w:lang w:val="en-US" w:eastAsia="zh-CN"/>
        </w:rPr>
        <w:t xml:space="preserve"> </w:t>
      </w:r>
      <w:r>
        <w:rPr>
          <w:snapToGrid w:val="0"/>
          <w:sz w:val="24"/>
          <w:u w:val="single"/>
        </w:rPr>
        <w:t xml:space="preserve"> </w:t>
      </w:r>
      <w:r>
        <w:rPr>
          <w:rFonts w:hint="eastAsia"/>
          <w:snapToGrid w:val="0"/>
          <w:sz w:val="24"/>
          <w:u w:val="single"/>
          <w:lang w:val="en-US" w:eastAsia="zh-CN"/>
        </w:rPr>
        <w:t xml:space="preserve"> </w:t>
      </w:r>
      <w:r>
        <w:rPr>
          <w:snapToGrid w:val="0"/>
          <w:sz w:val="24"/>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69897968"/>
      <w:bookmarkStart w:id="46" w:name="_Toc40687201"/>
      <w:bookmarkStart w:id="47" w:name="_Toc40684936"/>
      <w:bookmarkStart w:id="48" w:name="_Toc69885725"/>
      <w:bookmarkStart w:id="49" w:name="_Toc40334787"/>
      <w:bookmarkStart w:id="50" w:name="_Toc70418453"/>
      <w:bookmarkStart w:id="51" w:name="_Toc479852609"/>
      <w:bookmarkStart w:id="52" w:name="_Toc493781408"/>
      <w:bookmarkStart w:id="53" w:name="_Toc344666621"/>
      <w:bookmarkStart w:id="54" w:name="_Toc299535545"/>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w:t>
      </w:r>
      <w:r>
        <w:rPr>
          <w:rFonts w:hint="eastAsia"/>
          <w:snapToGrid w:val="0"/>
          <w:kern w:val="0"/>
          <w:sz w:val="24"/>
        </w:rPr>
        <w:t>报告</w:t>
      </w:r>
      <w:r>
        <w:rPr>
          <w:snapToGrid w:val="0"/>
          <w:kern w:val="0"/>
          <w:sz w:val="24"/>
        </w:rPr>
        <w:t>，并向甲方移交产品</w:t>
      </w:r>
      <w:r>
        <w:rPr>
          <w:rFonts w:hint="eastAsia"/>
          <w:snapToGrid w:val="0"/>
          <w:kern w:val="0"/>
          <w:sz w:val="24"/>
        </w:rPr>
        <w:t>相关</w:t>
      </w:r>
      <w:r>
        <w:rPr>
          <w:snapToGrid w:val="0"/>
          <w:kern w:val="0"/>
          <w:sz w:val="24"/>
        </w:rPr>
        <w:t>资料。</w:t>
      </w:r>
    </w:p>
    <w:p>
      <w:pPr>
        <w:pStyle w:val="50"/>
        <w:spacing w:after="190"/>
      </w:pPr>
      <w:bookmarkStart w:id="55" w:name="_Toc479852610"/>
      <w:bookmarkStart w:id="56" w:name="_Toc299535546"/>
      <w:bookmarkStart w:id="57" w:name="_Toc493781409"/>
      <w:bookmarkStart w:id="58" w:name="_Toc344666622"/>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lang w:val="en-US" w:eastAsia="zh-CN"/>
        </w:rPr>
        <w:t>1</w:t>
      </w:r>
      <w:r>
        <w:rPr>
          <w:rFonts w:hint="eastAsia"/>
          <w:snapToGrid w:val="0"/>
          <w:kern w:val="0"/>
          <w:sz w:val="24"/>
          <w:u w:val="single"/>
        </w:rPr>
        <w:t xml:space="preserve">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69897972"/>
      <w:bookmarkStart w:id="60" w:name="_Toc40334791"/>
      <w:bookmarkStart w:id="61" w:name="_Toc40684939"/>
      <w:bookmarkStart w:id="62" w:name="_Toc344666623"/>
      <w:bookmarkStart w:id="63" w:name="_Toc70418456"/>
      <w:bookmarkStart w:id="64" w:name="_Toc40687204"/>
      <w:bookmarkStart w:id="65" w:name="_Toc299535547"/>
      <w:bookmarkStart w:id="66" w:name="_Toc479852611"/>
      <w:bookmarkStart w:id="67" w:name="_Toc69885729"/>
      <w:bookmarkStart w:id="68" w:name="_Toc493781410"/>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40684941"/>
      <w:bookmarkStart w:id="70" w:name="_Toc40687206"/>
      <w:bookmarkStart w:id="71" w:name="_Toc299535548"/>
      <w:bookmarkStart w:id="72" w:name="_Toc479852613"/>
      <w:bookmarkStart w:id="73" w:name="_Toc493781411"/>
      <w:bookmarkStart w:id="74" w:name="_Toc40334793"/>
      <w:bookmarkStart w:id="75" w:name="_Toc69897974"/>
      <w:bookmarkStart w:id="76" w:name="_Toc70418458"/>
      <w:bookmarkStart w:id="77" w:name="_Toc69885731"/>
      <w:bookmarkStart w:id="78" w:name="_Toc344666624"/>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69885732"/>
      <w:bookmarkStart w:id="80" w:name="_Toc299535549"/>
      <w:bookmarkStart w:id="81" w:name="_Toc40687207"/>
      <w:bookmarkStart w:id="82" w:name="_Toc479852614"/>
      <w:bookmarkStart w:id="83" w:name="_Toc344666625"/>
      <w:bookmarkStart w:id="84" w:name="_Toc69897975"/>
      <w:bookmarkStart w:id="85" w:name="_Toc70418459"/>
      <w:bookmarkStart w:id="86" w:name="_Toc493781412"/>
      <w:bookmarkStart w:id="87" w:name="_Toc40684942"/>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70418461"/>
      <w:bookmarkStart w:id="92" w:name="_Toc69897977"/>
      <w:bookmarkStart w:id="93" w:name="_Toc493781413"/>
      <w:bookmarkStart w:id="94" w:name="_Toc40684946"/>
      <w:bookmarkStart w:id="95" w:name="_Toc479852615"/>
      <w:bookmarkStart w:id="96" w:name="_Toc69885734"/>
      <w:bookmarkStart w:id="97" w:name="_Toc299535550"/>
      <w:bookmarkStart w:id="98" w:name="_Toc40334795"/>
      <w:bookmarkStart w:id="99" w:name="_Toc40687209"/>
      <w:bookmarkStart w:id="100" w:name="_Toc344666626"/>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493781414"/>
      <w:bookmarkStart w:id="102" w:name="_Toc70418462"/>
      <w:bookmarkStart w:id="103" w:name="_Toc69885736"/>
      <w:bookmarkStart w:id="104" w:name="_Toc40684949"/>
      <w:bookmarkStart w:id="105" w:name="_Toc40334796"/>
      <w:bookmarkStart w:id="106" w:name="_Toc344666627"/>
      <w:bookmarkStart w:id="107" w:name="_Toc479852616"/>
      <w:bookmarkStart w:id="108" w:name="_Toc40687211"/>
      <w:bookmarkStart w:id="109" w:name="_Toc299535551"/>
      <w:bookmarkStart w:id="110" w:name="_Toc69897979"/>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479852617"/>
      <w:bookmarkStart w:id="112" w:name="_Toc299535552"/>
      <w:bookmarkStart w:id="113" w:name="_Toc69897980"/>
      <w:bookmarkStart w:id="114" w:name="_Toc40687212"/>
      <w:bookmarkStart w:id="115" w:name="_Toc70418463"/>
      <w:bookmarkStart w:id="116" w:name="_Toc40684950"/>
      <w:bookmarkStart w:id="117" w:name="_Toc69885737"/>
      <w:bookmarkStart w:id="118" w:name="_Toc40334797"/>
      <w:bookmarkStart w:id="119" w:name="_Toc344666628"/>
      <w:bookmarkStart w:id="120" w:name="_Toc493781415"/>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69897981"/>
      <w:bookmarkStart w:id="122" w:name="_Toc493781416"/>
      <w:bookmarkStart w:id="123" w:name="_Toc344666629"/>
      <w:bookmarkStart w:id="124" w:name="_Toc40687213"/>
      <w:bookmarkStart w:id="125" w:name="_Toc70418464"/>
      <w:bookmarkStart w:id="126" w:name="_Toc299535553"/>
      <w:bookmarkStart w:id="127" w:name="_Toc69885738"/>
      <w:bookmarkStart w:id="128" w:name="_Toc40334798"/>
      <w:bookmarkStart w:id="129" w:name="_Toc40684951"/>
      <w:bookmarkStart w:id="130" w:name="_Toc479852618"/>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临时产品授权 </w:t>
      </w:r>
      <w:r>
        <w:rPr>
          <w:snapToGrid w:val="0"/>
          <w:kern w:val="0"/>
          <w:sz w:val="24"/>
        </w:rPr>
        <w:t>。如果出现甲方违约情形，乙方有权利无条件收回全部产品，同时乙方保留解除本合同的权利。收到全款后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493781417"/>
      <w:bookmarkStart w:id="132" w:name="_Toc344666630"/>
      <w:r>
        <w:t>签字页</w:t>
      </w:r>
      <w:bookmarkEnd w:id="131"/>
      <w:bookmarkEnd w:id="132"/>
    </w:p>
    <w:p>
      <w:pPr>
        <w:spacing w:line="360" w:lineRule="atLeast"/>
        <w:rPr>
          <w:b/>
          <w:bCs/>
          <w:sz w:val="24"/>
        </w:rPr>
      </w:pPr>
      <w:r>
        <w:rPr>
          <w:b/>
          <w:bCs/>
          <w:sz w:val="24"/>
        </w:rPr>
        <w:t>【甲方】</w:t>
      </w:r>
    </w:p>
    <w:p>
      <w:pPr>
        <w:spacing w:line="360" w:lineRule="atLeast"/>
        <w:ind w:firstLine="424"/>
        <w:rPr>
          <w:rFonts w:hint="default" w:eastAsia="仿宋_GB2312"/>
          <w:lang w:val="en-US" w:eastAsia="zh-CN"/>
        </w:rPr>
      </w:pPr>
      <w:r>
        <w:rPr>
          <w:b/>
          <w:sz w:val="24"/>
        </w:rPr>
        <w:t>单位名称（</w:t>
      </w:r>
      <w:r>
        <w:rPr>
          <w:rFonts w:hint="eastAsia"/>
          <w:b/>
          <w:sz w:val="24"/>
        </w:rPr>
        <w:t>合同专用章）</w:t>
      </w:r>
      <w:r>
        <w:rPr>
          <w:b/>
          <w:sz w:val="24"/>
        </w:rPr>
        <w:t>：</w:t>
      </w:r>
      <w:r>
        <w:rPr>
          <w:rFonts w:hint="eastAsia"/>
          <w:b/>
          <w:sz w:val="24"/>
        </w:rPr>
        <w:t xml:space="preserve"> </w:t>
      </w:r>
      <w:r>
        <w:rPr>
          <w:rFonts w:hint="eastAsia"/>
          <w:b/>
          <w:sz w:val="24"/>
          <w:lang w:val="en-US" w:eastAsia="zh-CN"/>
        </w:rPr>
        <w:t>乌鲁木齐新创慧至软件有限责任公司</w:t>
      </w:r>
    </w:p>
    <w:p>
      <w:pPr>
        <w:spacing w:line="360" w:lineRule="atLeast"/>
        <w:ind w:left="1925" w:leftChars="228" w:hanging="1446" w:hangingChars="600"/>
        <w:rPr>
          <w:rFonts w:hint="default" w:eastAsia="仿宋_GB2312"/>
          <w:lang w:val="en-US" w:eastAsia="zh-CN"/>
        </w:rPr>
      </w:pPr>
      <w:r>
        <w:rPr>
          <w:b/>
          <w:sz w:val="24"/>
        </w:rPr>
        <w:t>单位地址：</w:t>
      </w:r>
      <w:r>
        <w:rPr>
          <w:rFonts w:hint="eastAsia"/>
          <w:b/>
          <w:sz w:val="24"/>
          <w:lang w:val="en-US" w:eastAsia="zh-CN"/>
        </w:rPr>
        <w:t>新疆乌鲁木齐高新技术产业开发区（新市区）天津南路682号创业大厦一层A-419</w:t>
      </w:r>
    </w:p>
    <w:p>
      <w:pPr>
        <w:spacing w:line="360" w:lineRule="atLeast"/>
        <w:ind w:firstLine="424"/>
      </w:pPr>
      <w:r>
        <w:rPr>
          <w:b/>
          <w:sz w:val="24"/>
        </w:rPr>
        <w:t>联系电话：</w:t>
      </w:r>
      <w:r>
        <w:rPr>
          <w:rFonts w:hint="eastAsia"/>
          <w:b/>
          <w:sz w:val="24"/>
          <w:lang w:val="en-US" w:eastAsia="zh-CN"/>
        </w:rPr>
        <w:t xml:space="preserve"> </w:t>
      </w:r>
      <w:r>
        <w:rPr>
          <w:b/>
          <w:sz w:val="24"/>
        </w:rPr>
        <w:t xml:space="preserve"> </w:t>
      </w:r>
    </w:p>
    <w:p>
      <w:pPr>
        <w:spacing w:line="360" w:lineRule="atLeast"/>
        <w:ind w:firstLine="424"/>
        <w:rPr>
          <w:rFonts w:hint="default" w:eastAsia="仿宋_GB2312"/>
          <w:lang w:val="en-US" w:eastAsia="zh-CN"/>
        </w:rPr>
      </w:pPr>
      <w:r>
        <w:rPr>
          <w:b/>
          <w:sz w:val="24"/>
        </w:rPr>
        <w:t>开户银行：</w:t>
      </w:r>
      <w:r>
        <w:rPr>
          <w:rFonts w:hint="eastAsia"/>
          <w:b/>
          <w:sz w:val="24"/>
          <w:lang w:val="en-US" w:eastAsia="zh-CN"/>
        </w:rPr>
        <w:t>招商银行股份有限公司乌鲁木齐苏州路支行</w:t>
      </w:r>
    </w:p>
    <w:p>
      <w:pPr>
        <w:spacing w:line="360" w:lineRule="atLeast"/>
        <w:ind w:firstLine="424"/>
        <w:rPr>
          <w:b/>
          <w:sz w:val="24"/>
          <w:szCs w:val="22"/>
        </w:rPr>
      </w:pPr>
      <w:r>
        <w:rPr>
          <w:b/>
          <w:sz w:val="24"/>
          <w:szCs w:val="22"/>
        </w:rPr>
        <w:t>银行帐号：991904971810701</w:t>
      </w:r>
    </w:p>
    <w:p>
      <w:pPr>
        <w:spacing w:line="360" w:lineRule="atLeast"/>
        <w:ind w:firstLine="424"/>
        <w:rPr>
          <w:b/>
          <w:sz w:val="24"/>
          <w:szCs w:val="22"/>
        </w:rPr>
      </w:pPr>
      <w:r>
        <w:rPr>
          <w:b/>
          <w:sz w:val="24"/>
          <w:szCs w:val="22"/>
        </w:rPr>
        <w:t>公司税号：91650100MA78G48M67</w:t>
      </w:r>
    </w:p>
    <w:p>
      <w:pPr>
        <w:spacing w:line="360" w:lineRule="atLeast"/>
        <w:ind w:firstLine="424"/>
      </w:pPr>
      <w:r>
        <w:rPr>
          <w:b/>
          <w:sz w:val="24"/>
          <w:szCs w:val="22"/>
        </w:rPr>
        <w:t>授权</w:t>
      </w:r>
      <w:r>
        <w:rPr>
          <w:b/>
          <w:sz w:val="24"/>
        </w:rPr>
        <w:t>代表签字（手写体）：</w:t>
      </w:r>
    </w:p>
    <w:p>
      <w:pPr>
        <w:tabs>
          <w:tab w:val="left" w:pos="851"/>
          <w:tab w:val="left" w:pos="1134"/>
          <w:tab w:val="left" w:pos="1276"/>
        </w:tabs>
        <w:spacing w:line="360" w:lineRule="atLeast"/>
        <w:ind w:firstLine="482" w:firstLineChars="200"/>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北京创联致信科技有限公司</w:t>
      </w:r>
    </w:p>
    <w:p>
      <w:pPr>
        <w:spacing w:line="360" w:lineRule="atLeast"/>
        <w:ind w:firstLine="424"/>
      </w:pPr>
      <w:r>
        <w:rPr>
          <w:b/>
          <w:sz w:val="24"/>
        </w:rPr>
        <w:t>单位地址：</w:t>
      </w:r>
      <w:r>
        <w:rPr>
          <w:rFonts w:hint="eastAsia"/>
          <w:b/>
          <w:sz w:val="24"/>
        </w:rPr>
        <w:t xml:space="preserve"> 北京市海淀区苏州街3号5</w:t>
      </w:r>
      <w:r>
        <w:rPr>
          <w:b/>
          <w:sz w:val="24"/>
        </w:rPr>
        <w:t>09</w:t>
      </w:r>
      <w:r>
        <w:rPr>
          <w:rFonts w:hint="eastAsia"/>
          <w:b/>
          <w:sz w:val="24"/>
        </w:rPr>
        <w:t>-</w:t>
      </w:r>
      <w:r>
        <w:rPr>
          <w:b/>
          <w:sz w:val="24"/>
        </w:rPr>
        <w:t>36</w:t>
      </w:r>
    </w:p>
    <w:p>
      <w:pPr>
        <w:spacing w:line="360" w:lineRule="atLeast"/>
        <w:ind w:firstLine="424"/>
      </w:pPr>
      <w:r>
        <w:rPr>
          <w:b/>
          <w:sz w:val="24"/>
        </w:rPr>
        <w:t>联系电话： 010-82746952</w:t>
      </w:r>
    </w:p>
    <w:p>
      <w:pPr>
        <w:spacing w:line="360" w:lineRule="atLeast"/>
        <w:ind w:firstLine="424"/>
      </w:pPr>
      <w:r>
        <w:rPr>
          <w:b/>
          <w:sz w:val="24"/>
        </w:rPr>
        <w:t>开户银行：</w:t>
      </w:r>
      <w:r>
        <w:rPr>
          <w:rFonts w:hint="eastAsia"/>
          <w:b/>
          <w:sz w:val="24"/>
        </w:rPr>
        <w:t xml:space="preserve"> 中国民生银行股份有限公司北京东二环支行</w:t>
      </w:r>
    </w:p>
    <w:p>
      <w:pPr>
        <w:spacing w:line="360" w:lineRule="atLeast"/>
        <w:ind w:firstLine="424"/>
      </w:pPr>
      <w:r>
        <w:rPr>
          <w:b/>
          <w:sz w:val="24"/>
        </w:rPr>
        <w:t>银行帐号： 0148012830000756</w:t>
      </w:r>
    </w:p>
    <w:p>
      <w:pPr>
        <w:spacing w:line="360" w:lineRule="atLeast"/>
        <w:ind w:firstLine="424"/>
      </w:pPr>
      <w:r>
        <w:rPr>
          <w:b/>
          <w:sz w:val="24"/>
        </w:rPr>
        <w:t xml:space="preserve">公司税号： </w:t>
      </w:r>
      <w:r>
        <w:rPr>
          <w:rFonts w:hint="eastAsia"/>
          <w:b/>
          <w:sz w:val="24"/>
        </w:rPr>
        <w:t>9</w:t>
      </w:r>
      <w:r>
        <w:rPr>
          <w:b/>
          <w:sz w:val="24"/>
        </w:rPr>
        <w:t>1110108596007659D</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pStyle w:val="50"/>
        <w:spacing w:after="190"/>
        <w:jc w:val="left"/>
      </w:pPr>
      <w:r>
        <w:t>附件一</w:t>
      </w:r>
    </w:p>
    <w:tbl>
      <w:tblPr>
        <w:tblStyle w:val="34"/>
        <w:tblW w:w="9890" w:type="dxa"/>
        <w:tblInd w:w="-433" w:type="dxa"/>
        <w:tblLayout w:type="fixed"/>
        <w:tblCellMar>
          <w:top w:w="0" w:type="dxa"/>
          <w:left w:w="108" w:type="dxa"/>
          <w:bottom w:w="0" w:type="dxa"/>
          <w:right w:w="108" w:type="dxa"/>
        </w:tblCellMar>
      </w:tblPr>
      <w:tblGrid>
        <w:gridCol w:w="1902"/>
        <w:gridCol w:w="7988"/>
      </w:tblGrid>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指标项</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具体技术要求</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本次配置许可要求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w:t>
            </w:r>
            <w:r>
              <w:rPr>
                <w:rFonts w:hint="eastAsia" w:ascii="宋体" w:hAnsi="宋体"/>
                <w:kern w:val="0"/>
                <w:sz w:val="24"/>
                <w:szCs w:val="24"/>
                <w:lang w:val="en-US" w:eastAsia="zh-CN"/>
              </w:rPr>
              <w:t>100</w:t>
            </w:r>
            <w:r>
              <w:rPr>
                <w:rFonts w:hint="eastAsia" w:ascii="宋体" w:hAnsi="宋体"/>
                <w:kern w:val="0"/>
                <w:sz w:val="24"/>
                <w:szCs w:val="24"/>
              </w:rPr>
              <w:t>顶级网元的监控</w:t>
            </w:r>
            <w:r>
              <w:rPr>
                <w:rFonts w:ascii="宋体" w:hAnsi="宋体"/>
                <w:kern w:val="0"/>
                <w:sz w:val="24"/>
                <w:szCs w:val="24"/>
              </w:rPr>
              <w:t>license</w:t>
            </w:r>
            <w:r>
              <w:rPr>
                <w:rFonts w:hint="eastAsia" w:ascii="宋体" w:hAnsi="宋体"/>
                <w:kern w:val="0"/>
                <w:sz w:val="24"/>
                <w:szCs w:val="24"/>
              </w:rPr>
              <w:t>永久授权</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系统总体要求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采用</w:t>
            </w:r>
            <w:r>
              <w:rPr>
                <w:rFonts w:ascii="宋体" w:hAnsi="宋体"/>
                <w:kern w:val="0"/>
                <w:sz w:val="24"/>
                <w:szCs w:val="24"/>
              </w:rPr>
              <w:t>JAVA+HTML5</w:t>
            </w:r>
            <w:r>
              <w:rPr>
                <w:rFonts w:hint="eastAsia" w:ascii="宋体" w:hAnsi="宋体"/>
                <w:kern w:val="0"/>
                <w:sz w:val="24"/>
                <w:szCs w:val="24"/>
              </w:rPr>
              <w:t>开发，全中文</w:t>
            </w:r>
            <w:r>
              <w:rPr>
                <w:rFonts w:ascii="宋体" w:hAnsi="宋体"/>
                <w:kern w:val="0"/>
                <w:sz w:val="24"/>
                <w:szCs w:val="24"/>
              </w:rPr>
              <w:t>B/S</w:t>
            </w:r>
            <w:r>
              <w:rPr>
                <w:rFonts w:hint="eastAsia" w:ascii="宋体" w:hAnsi="宋体"/>
                <w:kern w:val="0"/>
                <w:sz w:val="24"/>
                <w:szCs w:val="24"/>
              </w:rPr>
              <w:t>界面，在统一的管理界面中可以实现网络、服务器、数据库、中间件、日志、业务系统等</w:t>
            </w:r>
            <w:r>
              <w:rPr>
                <w:rFonts w:ascii="宋体" w:hAnsi="宋体"/>
                <w:kern w:val="0"/>
                <w:sz w:val="24"/>
                <w:szCs w:val="24"/>
              </w:rPr>
              <w:t>IT</w:t>
            </w:r>
            <w:r>
              <w:rPr>
                <w:rFonts w:hint="eastAsia" w:ascii="宋体" w:hAnsi="宋体"/>
                <w:kern w:val="0"/>
                <w:sz w:val="24"/>
                <w:szCs w:val="24"/>
              </w:rPr>
              <w:t>资源的集中监控、统一告警；</w:t>
            </w:r>
          </w:p>
          <w:p>
            <w:pPr>
              <w:spacing w:line="440" w:lineRule="exact"/>
              <w:jc w:val="left"/>
              <w:rPr>
                <w:rFonts w:ascii="宋体" w:hAnsi="宋体"/>
                <w:kern w:val="0"/>
                <w:sz w:val="24"/>
                <w:szCs w:val="24"/>
              </w:rPr>
            </w:pPr>
            <w:r>
              <w:rPr>
                <w:rFonts w:hint="eastAsia" w:ascii="宋体" w:hAnsi="宋体"/>
                <w:kern w:val="0"/>
                <w:sz w:val="24"/>
                <w:szCs w:val="24"/>
              </w:rPr>
              <w:t>数据采集方式的多样性：数据采集能够提供多样化的采集手段，完成对原始数据的采集，如</w:t>
            </w:r>
            <w:r>
              <w:rPr>
                <w:rFonts w:ascii="宋体" w:hAnsi="宋体"/>
                <w:kern w:val="0"/>
                <w:sz w:val="24"/>
                <w:szCs w:val="24"/>
              </w:rPr>
              <w:t>syslog</w:t>
            </w:r>
            <w:r>
              <w:rPr>
                <w:rFonts w:hint="eastAsia" w:ascii="宋体" w:hAnsi="宋体"/>
                <w:kern w:val="0"/>
                <w:sz w:val="24"/>
                <w:szCs w:val="24"/>
              </w:rPr>
              <w:t>、</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WMI</w:t>
            </w:r>
            <w:r>
              <w:rPr>
                <w:rFonts w:hint="eastAsia" w:ascii="宋体" w:hAnsi="宋体"/>
                <w:kern w:val="0"/>
                <w:sz w:val="24"/>
                <w:szCs w:val="24"/>
              </w:rPr>
              <w:t>、</w:t>
            </w:r>
            <w:r>
              <w:rPr>
                <w:rFonts w:ascii="宋体" w:hAnsi="宋体"/>
                <w:kern w:val="0"/>
                <w:sz w:val="24"/>
                <w:szCs w:val="24"/>
              </w:rPr>
              <w:t>SSH/TELNET</w:t>
            </w:r>
            <w:r>
              <w:rPr>
                <w:rFonts w:hint="eastAsia" w:ascii="宋体" w:hAnsi="宋体"/>
                <w:kern w:val="0"/>
                <w:sz w:val="24"/>
                <w:szCs w:val="24"/>
              </w:rPr>
              <w:t>等协议类型，并可以增加自定义协议类型。</w:t>
            </w:r>
          </w:p>
          <w:p>
            <w:pPr>
              <w:spacing w:line="440" w:lineRule="exact"/>
              <w:jc w:val="left"/>
              <w:rPr>
                <w:rFonts w:ascii="宋体" w:hAnsi="宋体"/>
                <w:kern w:val="0"/>
                <w:sz w:val="24"/>
                <w:szCs w:val="24"/>
              </w:rPr>
            </w:pPr>
            <w:r>
              <w:rPr>
                <w:rFonts w:hint="eastAsia" w:ascii="宋体" w:hAnsi="宋体"/>
                <w:kern w:val="0"/>
                <w:sz w:val="24"/>
                <w:szCs w:val="24"/>
              </w:rPr>
              <w:t>★为了保证系统实施的安全性，必须采用</w:t>
            </w:r>
            <w:r>
              <w:rPr>
                <w:rFonts w:ascii="宋体" w:hAnsi="宋体"/>
                <w:kern w:val="0"/>
                <w:sz w:val="24"/>
                <w:szCs w:val="24"/>
              </w:rPr>
              <w:t>Agenless</w:t>
            </w:r>
            <w:r>
              <w:rPr>
                <w:rFonts w:hint="eastAsia" w:ascii="宋体" w:hAnsi="宋体"/>
                <w:kern w:val="0"/>
                <w:sz w:val="24"/>
                <w:szCs w:val="24"/>
              </w:rPr>
              <w:t>的方式进行实施部署。</w:t>
            </w:r>
          </w:p>
          <w:p>
            <w:pPr>
              <w:spacing w:line="440" w:lineRule="exact"/>
              <w:jc w:val="left"/>
              <w:rPr>
                <w:rFonts w:ascii="宋体" w:hAnsi="宋体"/>
                <w:kern w:val="0"/>
                <w:sz w:val="24"/>
                <w:szCs w:val="24"/>
              </w:rPr>
            </w:pPr>
            <w:r>
              <w:rPr>
                <w:rFonts w:hint="eastAsia" w:ascii="宋体" w:hAnsi="宋体"/>
                <w:kern w:val="0"/>
                <w:sz w:val="24"/>
                <w:szCs w:val="24"/>
              </w:rPr>
              <w:t>★系统应采用模块化设计，数据采集、数据分析、数据展示管理等模块可单独运行，单独启动停止且不影响其他模块，有良好的可扩充性和升级能力，可以实现对监管设备类型和数量的扩充。</w:t>
            </w:r>
          </w:p>
          <w:p>
            <w:pPr>
              <w:spacing w:line="440" w:lineRule="exact"/>
              <w:jc w:val="left"/>
              <w:rPr>
                <w:rFonts w:ascii="宋体" w:hAnsi="宋体"/>
                <w:kern w:val="0"/>
                <w:sz w:val="24"/>
                <w:szCs w:val="24"/>
              </w:rPr>
            </w:pPr>
            <w:r>
              <w:rPr>
                <w:rFonts w:hint="eastAsia" w:ascii="宋体" w:hAnsi="宋体"/>
                <w:kern w:val="0"/>
                <w:sz w:val="24"/>
                <w:szCs w:val="24"/>
              </w:rPr>
              <w:t>支持数据采集层分布式部署，且数据采集层与其它各层均通过消息中间件通讯，可以以最安全的方式将多张逻辑网的监控数据进行集中上报、分析，适用于具有多张逻辑网络的大型单位。</w:t>
            </w:r>
          </w:p>
          <w:p>
            <w:pPr>
              <w:spacing w:line="440" w:lineRule="exact"/>
              <w:jc w:val="left"/>
              <w:rPr>
                <w:rFonts w:ascii="宋体" w:hAnsi="宋体"/>
                <w:kern w:val="0"/>
                <w:sz w:val="24"/>
                <w:szCs w:val="24"/>
              </w:rPr>
            </w:pPr>
            <w:r>
              <w:rPr>
                <w:rFonts w:hint="eastAsia" w:ascii="宋体" w:hAnsi="宋体"/>
                <w:kern w:val="0"/>
                <w:sz w:val="24"/>
                <w:szCs w:val="24"/>
              </w:rPr>
              <w:t>支持主流国产厂商网络设备、服务器进行管理，免费适配新型号。</w:t>
            </w:r>
          </w:p>
          <w:p>
            <w:pPr>
              <w:spacing w:line="440" w:lineRule="exact"/>
              <w:jc w:val="left"/>
              <w:rPr>
                <w:rFonts w:ascii="宋体" w:hAnsi="宋体"/>
                <w:kern w:val="0"/>
                <w:sz w:val="24"/>
                <w:szCs w:val="24"/>
              </w:rPr>
            </w:pPr>
            <w:r>
              <w:rPr>
                <w:rFonts w:hint="eastAsia" w:ascii="宋体" w:hAnsi="宋体"/>
                <w:kern w:val="0"/>
                <w:sz w:val="24"/>
                <w:szCs w:val="24"/>
              </w:rPr>
              <w:t>系统要求支持用户角色的自定义，每个角色能被赋予不同的资源权限，不同权限的用户登陆到不同操作和资源视图的界面</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系统基础功能要求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可通过资源树及监控视图显示管理对象，资源树可按类别、按厂家、按自定义组组织设备。设备类别至少包括：网络、安全、服务器、数据库、中间件、存储、备份等；</w:t>
            </w:r>
          </w:p>
          <w:p>
            <w:pPr>
              <w:spacing w:line="440" w:lineRule="exact"/>
              <w:jc w:val="left"/>
              <w:rPr>
                <w:rFonts w:ascii="宋体" w:hAnsi="宋体"/>
                <w:kern w:val="0"/>
                <w:sz w:val="24"/>
                <w:szCs w:val="24"/>
              </w:rPr>
            </w:pPr>
            <w:r>
              <w:rPr>
                <w:rFonts w:hint="eastAsia" w:ascii="宋体" w:hAnsi="宋体"/>
                <w:kern w:val="0"/>
                <w:sz w:val="24"/>
                <w:szCs w:val="24"/>
              </w:rPr>
              <w:t>所有被监控设备都需在系统中进行可视化的结构展示，实时呈现</w:t>
            </w:r>
            <w:r>
              <w:rPr>
                <w:rFonts w:ascii="宋体" w:hAnsi="宋体"/>
                <w:kern w:val="0"/>
                <w:sz w:val="24"/>
                <w:szCs w:val="24"/>
              </w:rPr>
              <w:t>KPI</w:t>
            </w:r>
            <w:r>
              <w:rPr>
                <w:rFonts w:hint="eastAsia" w:ascii="宋体" w:hAnsi="宋体"/>
                <w:kern w:val="0"/>
                <w:sz w:val="24"/>
                <w:szCs w:val="24"/>
              </w:rPr>
              <w:t>指标和监控状态；</w:t>
            </w:r>
          </w:p>
          <w:p>
            <w:pPr>
              <w:spacing w:line="440" w:lineRule="exact"/>
              <w:jc w:val="left"/>
              <w:rPr>
                <w:rFonts w:ascii="宋体" w:hAnsi="宋体"/>
                <w:kern w:val="0"/>
                <w:sz w:val="24"/>
                <w:szCs w:val="24"/>
              </w:rPr>
            </w:pPr>
            <w:r>
              <w:rPr>
                <w:rFonts w:ascii="宋体" w:hAnsi="宋体"/>
                <w:kern w:val="0"/>
                <w:sz w:val="24"/>
                <w:szCs w:val="24"/>
              </w:rPr>
              <w:t>TOPN</w:t>
            </w:r>
            <w:r>
              <w:rPr>
                <w:rFonts w:hint="eastAsia" w:ascii="宋体" w:hAnsi="宋体"/>
                <w:kern w:val="0"/>
                <w:sz w:val="24"/>
                <w:szCs w:val="24"/>
              </w:rPr>
              <w:t>分析功能：系统需支持对网络设备、服务器、数据库及业务系统的性能指标进行</w:t>
            </w:r>
            <w:r>
              <w:rPr>
                <w:rFonts w:ascii="宋体" w:hAnsi="宋体"/>
                <w:kern w:val="0"/>
                <w:sz w:val="24"/>
                <w:szCs w:val="24"/>
              </w:rPr>
              <w:t>TOPN</w:t>
            </w:r>
            <w:r>
              <w:rPr>
                <w:rFonts w:hint="eastAsia" w:ascii="宋体" w:hAnsi="宋体"/>
                <w:kern w:val="0"/>
                <w:sz w:val="24"/>
                <w:szCs w:val="24"/>
              </w:rPr>
              <w:t>分析和展示，并能又管理员进行灵活定制；</w:t>
            </w:r>
          </w:p>
          <w:p>
            <w:pPr>
              <w:spacing w:line="440" w:lineRule="exact"/>
              <w:jc w:val="left"/>
              <w:rPr>
                <w:rFonts w:ascii="宋体" w:hAnsi="宋体"/>
                <w:kern w:val="0"/>
                <w:sz w:val="24"/>
                <w:szCs w:val="24"/>
              </w:rPr>
            </w:pPr>
            <w:r>
              <w:rPr>
                <w:rFonts w:hint="eastAsia" w:ascii="宋体" w:hAnsi="宋体"/>
                <w:kern w:val="0"/>
                <w:sz w:val="24"/>
                <w:szCs w:val="24"/>
              </w:rPr>
              <w:t>通知发送：可以电子邮件、短信、专用终端等方式发送告警及任务通知；</w:t>
            </w:r>
          </w:p>
          <w:p>
            <w:pPr>
              <w:spacing w:line="440" w:lineRule="exact"/>
              <w:jc w:val="left"/>
              <w:rPr>
                <w:rFonts w:ascii="宋体" w:hAnsi="宋体"/>
                <w:kern w:val="0"/>
                <w:sz w:val="24"/>
                <w:szCs w:val="24"/>
              </w:rPr>
            </w:pPr>
            <w:r>
              <w:rPr>
                <w:rFonts w:hint="eastAsia" w:ascii="宋体" w:hAnsi="宋体"/>
                <w:kern w:val="0"/>
                <w:sz w:val="24"/>
                <w:szCs w:val="24"/>
              </w:rPr>
              <w:t>用户可以根据实际的需要自定义任何可以采集的指标数据进行监控。对所监控的指标可以设定全局阈值作为告警依据也可以针对具体的设备单独设定阈值，单独阈值设置优先级高。</w:t>
            </w:r>
          </w:p>
          <w:p>
            <w:pPr>
              <w:spacing w:line="440" w:lineRule="exact"/>
              <w:jc w:val="left"/>
              <w:rPr>
                <w:rFonts w:ascii="宋体" w:hAnsi="宋体"/>
                <w:kern w:val="0"/>
                <w:sz w:val="24"/>
                <w:szCs w:val="24"/>
              </w:rPr>
            </w:pPr>
            <w:r>
              <w:rPr>
                <w:rFonts w:hint="eastAsia" w:ascii="宋体" w:hAnsi="宋体"/>
                <w:kern w:val="0"/>
                <w:sz w:val="24"/>
                <w:szCs w:val="24"/>
              </w:rPr>
              <w:t>管理员可设置指标关注，关注的指标在个人主页展示。</w:t>
            </w:r>
          </w:p>
          <w:p>
            <w:pPr>
              <w:spacing w:line="440" w:lineRule="exact"/>
              <w:jc w:val="left"/>
              <w:rPr>
                <w:rFonts w:ascii="宋体" w:hAnsi="宋体"/>
                <w:kern w:val="0"/>
                <w:sz w:val="24"/>
                <w:szCs w:val="24"/>
              </w:rPr>
            </w:pPr>
            <w:r>
              <w:rPr>
                <w:rFonts w:hint="eastAsia" w:ascii="宋体" w:hAnsi="宋体"/>
                <w:kern w:val="0"/>
                <w:sz w:val="24"/>
                <w:szCs w:val="24"/>
              </w:rPr>
              <w:t>系统支持按设备、业务系统、链路的全局检索功能</w:t>
            </w:r>
          </w:p>
        </w:tc>
      </w:tr>
      <w:tr>
        <w:tblPrEx>
          <w:tblCellMar>
            <w:top w:w="0" w:type="dxa"/>
            <w:left w:w="108" w:type="dxa"/>
            <w:bottom w:w="0" w:type="dxa"/>
            <w:right w:w="108" w:type="dxa"/>
          </w:tblCellMar>
        </w:tblPrEx>
        <w:trPr>
          <w:trHeight w:val="274"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网络设备管理功能模块：</w:t>
            </w:r>
            <w:r>
              <w:rPr>
                <w:rFonts w:ascii="宋体" w:hAnsi="宋体"/>
                <w:kern w:val="0"/>
                <w:sz w:val="24"/>
                <w:szCs w:val="24"/>
              </w:rPr>
              <w:br w:type="textWrapping"/>
            </w:r>
            <w:r>
              <w:rPr>
                <w:rFonts w:hint="eastAsia" w:ascii="宋体" w:hAnsi="宋体"/>
                <w:kern w:val="0"/>
                <w:sz w:val="24"/>
                <w:szCs w:val="24"/>
              </w:rPr>
              <w:t>提供对</w:t>
            </w:r>
            <w:r>
              <w:rPr>
                <w:rFonts w:ascii="宋体" w:hAnsi="宋体"/>
                <w:kern w:val="0"/>
                <w:sz w:val="24"/>
                <w:szCs w:val="24"/>
              </w:rPr>
              <w:t>IP</w:t>
            </w:r>
            <w:r>
              <w:rPr>
                <w:rFonts w:hint="eastAsia" w:ascii="宋体" w:hAnsi="宋体"/>
                <w:kern w:val="0"/>
                <w:sz w:val="24"/>
                <w:szCs w:val="24"/>
              </w:rPr>
              <w:t>网络通信设备，包括交换机</w:t>
            </w:r>
            <w:r>
              <w:rPr>
                <w:rFonts w:ascii="宋体" w:hAnsi="宋体"/>
                <w:kern w:val="0"/>
                <w:sz w:val="24"/>
                <w:szCs w:val="24"/>
              </w:rPr>
              <w:t>(</w:t>
            </w:r>
            <w:r>
              <w:rPr>
                <w:rFonts w:hint="eastAsia" w:ascii="宋体" w:hAnsi="宋体"/>
                <w:kern w:val="0"/>
                <w:sz w:val="24"/>
                <w:szCs w:val="24"/>
              </w:rPr>
              <w:t>华为，</w:t>
            </w:r>
            <w:r>
              <w:rPr>
                <w:rFonts w:ascii="宋体" w:hAnsi="宋体"/>
                <w:kern w:val="0"/>
                <w:sz w:val="24"/>
                <w:szCs w:val="24"/>
              </w:rPr>
              <w:t>H3C</w:t>
            </w:r>
            <w:r>
              <w:rPr>
                <w:rFonts w:hint="eastAsia" w:ascii="宋体" w:hAnsi="宋体"/>
                <w:kern w:val="0"/>
                <w:sz w:val="24"/>
                <w:szCs w:val="24"/>
              </w:rPr>
              <w:t>，思科，北电，迈普，大三</w:t>
            </w:r>
            <w:r>
              <w:rPr>
                <w:rFonts w:ascii="宋体" w:hAnsi="宋体"/>
                <w:kern w:val="0"/>
                <w:sz w:val="24"/>
                <w:szCs w:val="24"/>
              </w:rPr>
              <w:t>)</w:t>
            </w:r>
            <w:r>
              <w:rPr>
                <w:rFonts w:hint="eastAsia" w:ascii="宋体" w:hAnsi="宋体"/>
                <w:kern w:val="0"/>
                <w:sz w:val="24"/>
                <w:szCs w:val="24"/>
              </w:rPr>
              <w:t>、路由器（思科，华为，迈普，北电，</w:t>
            </w:r>
            <w:r>
              <w:rPr>
                <w:rFonts w:ascii="宋体" w:hAnsi="宋体"/>
                <w:kern w:val="0"/>
                <w:sz w:val="24"/>
                <w:szCs w:val="24"/>
              </w:rPr>
              <w:t>H3C</w:t>
            </w:r>
            <w:r>
              <w:rPr>
                <w:rFonts w:hint="eastAsia" w:ascii="宋体" w:hAnsi="宋体"/>
                <w:kern w:val="0"/>
                <w:sz w:val="24"/>
                <w:szCs w:val="24"/>
              </w:rPr>
              <w:t>）、防火墙（天融信，</w:t>
            </w:r>
            <w:r>
              <w:rPr>
                <w:rFonts w:ascii="宋体" w:hAnsi="宋体"/>
                <w:kern w:val="0"/>
                <w:sz w:val="24"/>
                <w:szCs w:val="24"/>
              </w:rPr>
              <w:t>JUNIPER</w:t>
            </w:r>
            <w:r>
              <w:rPr>
                <w:rFonts w:hint="eastAsia" w:ascii="宋体" w:hAnsi="宋体"/>
                <w:kern w:val="0"/>
                <w:sz w:val="24"/>
                <w:szCs w:val="24"/>
              </w:rPr>
              <w:t>，华为，思科，趋势科技），其他安全设备（绿盟</w:t>
            </w:r>
            <w:r>
              <w:rPr>
                <w:rFonts w:ascii="宋体" w:hAnsi="宋体"/>
                <w:kern w:val="0"/>
                <w:sz w:val="24"/>
                <w:szCs w:val="24"/>
              </w:rPr>
              <w:t>IPS</w:t>
            </w:r>
            <w:r>
              <w:rPr>
                <w:rFonts w:hint="eastAsia" w:ascii="宋体" w:hAnsi="宋体"/>
                <w:kern w:val="0"/>
                <w:sz w:val="24"/>
                <w:szCs w:val="24"/>
              </w:rPr>
              <w:t>，思福迪</w:t>
            </w:r>
            <w:r>
              <w:rPr>
                <w:rFonts w:ascii="宋体" w:hAnsi="宋体"/>
                <w:kern w:val="0"/>
                <w:sz w:val="24"/>
                <w:szCs w:val="24"/>
              </w:rPr>
              <w:t>LogBase</w:t>
            </w:r>
            <w:r>
              <w:rPr>
                <w:rFonts w:hint="eastAsia" w:ascii="宋体" w:hAnsi="宋体"/>
                <w:kern w:val="0"/>
                <w:sz w:val="24"/>
                <w:szCs w:val="24"/>
              </w:rPr>
              <w:t>，网康行为管理</w:t>
            </w:r>
            <w:r>
              <w:rPr>
                <w:rFonts w:ascii="宋体" w:hAnsi="宋体"/>
                <w:kern w:val="0"/>
                <w:sz w:val="24"/>
                <w:szCs w:val="24"/>
              </w:rPr>
              <w:t>NS-1501</w:t>
            </w:r>
            <w:r>
              <w:rPr>
                <w:rFonts w:hint="eastAsia" w:ascii="宋体" w:hAnsi="宋体"/>
                <w:kern w:val="0"/>
                <w:sz w:val="24"/>
                <w:szCs w:val="24"/>
              </w:rPr>
              <w:t>）等的监控能力，包括设备状态、可用性、性能、流量等。</w:t>
            </w:r>
          </w:p>
          <w:p>
            <w:pPr>
              <w:spacing w:line="440" w:lineRule="exact"/>
              <w:jc w:val="left"/>
              <w:rPr>
                <w:rFonts w:ascii="宋体" w:hAnsi="宋体"/>
                <w:kern w:val="0"/>
                <w:sz w:val="24"/>
                <w:szCs w:val="24"/>
              </w:rPr>
            </w:pPr>
            <w:r>
              <w:rPr>
                <w:rFonts w:hint="eastAsia" w:ascii="宋体" w:hAnsi="宋体"/>
                <w:kern w:val="0"/>
                <w:sz w:val="24"/>
                <w:szCs w:val="24"/>
              </w:rPr>
              <w:t>能够监控网络设备的</w:t>
            </w:r>
            <w:r>
              <w:rPr>
                <w:rFonts w:ascii="宋体" w:hAnsi="宋体"/>
                <w:kern w:val="0"/>
                <w:sz w:val="24"/>
                <w:szCs w:val="24"/>
              </w:rPr>
              <w:t>CPU</w:t>
            </w:r>
            <w:r>
              <w:rPr>
                <w:rFonts w:hint="eastAsia" w:ascii="宋体" w:hAnsi="宋体"/>
                <w:kern w:val="0"/>
                <w:sz w:val="24"/>
                <w:szCs w:val="24"/>
              </w:rPr>
              <w:t>、内存使用率，网口状态、链路使用率等重要指标，并提供详尽的流量图用以做快速的流量查看和对比。此外，还提供网络设备的配置备份功能，能在交换机配置信息发生变化后进行自动记录，放置配置丢失。</w:t>
            </w:r>
          </w:p>
          <w:p>
            <w:pPr>
              <w:spacing w:line="440" w:lineRule="exact"/>
              <w:jc w:val="left"/>
              <w:rPr>
                <w:rFonts w:ascii="宋体" w:hAnsi="宋体"/>
                <w:kern w:val="0"/>
                <w:sz w:val="24"/>
                <w:szCs w:val="24"/>
              </w:rPr>
            </w:pPr>
            <w:r>
              <w:rPr>
                <w:rFonts w:hint="eastAsia" w:ascii="宋体" w:hAnsi="宋体"/>
                <w:kern w:val="0"/>
                <w:sz w:val="24"/>
                <w:szCs w:val="24"/>
              </w:rPr>
              <w:t>支持对全网的网络设备线路按照流量、带宽占用比、丢包率、错包率、广播包等指标的实时负载进行排名。</w:t>
            </w:r>
          </w:p>
          <w:p>
            <w:pPr>
              <w:spacing w:line="440" w:lineRule="exact"/>
              <w:jc w:val="left"/>
              <w:rPr>
                <w:rFonts w:ascii="宋体" w:hAnsi="宋体"/>
                <w:kern w:val="0"/>
                <w:sz w:val="24"/>
                <w:szCs w:val="24"/>
              </w:rPr>
            </w:pPr>
            <w:r>
              <w:rPr>
                <w:rFonts w:hint="eastAsia" w:ascii="宋体" w:hAnsi="宋体"/>
                <w:kern w:val="0"/>
                <w:sz w:val="24"/>
                <w:szCs w:val="24"/>
              </w:rPr>
              <w:t>支持网络设备的性能和状态指标监控与告警，要求能够监控设备的</w:t>
            </w:r>
            <w:r>
              <w:rPr>
                <w:rFonts w:ascii="宋体" w:hAnsi="宋体"/>
                <w:kern w:val="0"/>
                <w:sz w:val="24"/>
                <w:szCs w:val="24"/>
              </w:rPr>
              <w:t>CPU</w:t>
            </w:r>
            <w:r>
              <w:rPr>
                <w:rFonts w:hint="eastAsia" w:ascii="宋体" w:hAnsi="宋体"/>
                <w:kern w:val="0"/>
                <w:sz w:val="24"/>
                <w:szCs w:val="24"/>
              </w:rPr>
              <w:t>和内存使用率，丢包，延迟等信息。</w:t>
            </w:r>
          </w:p>
          <w:p>
            <w:pPr>
              <w:spacing w:line="440" w:lineRule="exact"/>
              <w:jc w:val="left"/>
              <w:rPr>
                <w:rFonts w:ascii="宋体" w:hAnsi="宋体"/>
                <w:kern w:val="0"/>
                <w:sz w:val="24"/>
                <w:szCs w:val="24"/>
              </w:rPr>
            </w:pPr>
            <w:r>
              <w:rPr>
                <w:rFonts w:hint="eastAsia" w:ascii="宋体" w:hAnsi="宋体"/>
                <w:kern w:val="0"/>
                <w:sz w:val="24"/>
                <w:szCs w:val="24"/>
              </w:rPr>
              <w:t>支持专线监控，并且可以自定义专线带宽，当带宽超过阈值可及时告警。</w:t>
            </w:r>
          </w:p>
          <w:p>
            <w:pPr>
              <w:spacing w:line="440" w:lineRule="exact"/>
              <w:jc w:val="left"/>
              <w:rPr>
                <w:rFonts w:ascii="宋体" w:hAnsi="宋体"/>
                <w:kern w:val="0"/>
                <w:sz w:val="24"/>
                <w:szCs w:val="24"/>
              </w:rPr>
            </w:pPr>
            <w:r>
              <w:rPr>
                <w:rFonts w:hint="eastAsia" w:ascii="宋体" w:hAnsi="宋体"/>
                <w:kern w:val="0"/>
                <w:sz w:val="24"/>
                <w:szCs w:val="24"/>
              </w:rPr>
              <w:t>支持网络专线链路（如：</w:t>
            </w:r>
            <w:r>
              <w:rPr>
                <w:rFonts w:ascii="宋体" w:hAnsi="宋体"/>
                <w:kern w:val="0"/>
                <w:sz w:val="24"/>
                <w:szCs w:val="24"/>
              </w:rPr>
              <w:t>MPLS</w:t>
            </w:r>
            <w:r>
              <w:rPr>
                <w:rFonts w:hint="eastAsia" w:ascii="宋体" w:hAnsi="宋体"/>
                <w:kern w:val="0"/>
                <w:sz w:val="24"/>
                <w:szCs w:val="24"/>
              </w:rPr>
              <w:t>专线）状态监控，可通过远程代理</w:t>
            </w:r>
            <w:r>
              <w:rPr>
                <w:rFonts w:ascii="宋体" w:hAnsi="宋体"/>
                <w:kern w:val="0"/>
                <w:sz w:val="24"/>
                <w:szCs w:val="24"/>
              </w:rPr>
              <w:t>ICMP</w:t>
            </w:r>
            <w:r>
              <w:rPr>
                <w:rFonts w:hint="eastAsia" w:ascii="宋体" w:hAnsi="宋体"/>
                <w:kern w:val="0"/>
                <w:sz w:val="24"/>
                <w:szCs w:val="24"/>
              </w:rPr>
              <w:t>的方式监控专线链路的真实状态。</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配置主机系统管理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主机系统管理功能模块：</w:t>
            </w:r>
            <w:r>
              <w:rPr>
                <w:rFonts w:ascii="宋体" w:hAnsi="宋体"/>
                <w:kern w:val="0"/>
                <w:sz w:val="24"/>
                <w:szCs w:val="24"/>
              </w:rPr>
              <w:br w:type="textWrapping"/>
            </w:r>
            <w:r>
              <w:rPr>
                <w:rFonts w:hint="eastAsia" w:ascii="宋体" w:hAnsi="宋体"/>
                <w:kern w:val="0"/>
                <w:sz w:val="24"/>
                <w:szCs w:val="24"/>
              </w:rPr>
              <w:t>提供对各类主机硬件、操作系统的监控能力，包括设备运行状态、磁盘信息、进程信息、</w:t>
            </w:r>
            <w:r>
              <w:rPr>
                <w:rFonts w:ascii="宋体" w:hAnsi="宋体"/>
                <w:kern w:val="0"/>
                <w:sz w:val="24"/>
                <w:szCs w:val="24"/>
              </w:rPr>
              <w:t>CPU</w:t>
            </w:r>
            <w:r>
              <w:rPr>
                <w:rFonts w:hint="eastAsia" w:ascii="宋体" w:hAnsi="宋体"/>
                <w:kern w:val="0"/>
                <w:sz w:val="24"/>
                <w:szCs w:val="24"/>
              </w:rPr>
              <w:t>、内存等指标，目前支持类型包括：</w:t>
            </w:r>
            <w:r>
              <w:rPr>
                <w:rFonts w:ascii="宋体" w:hAnsi="宋体"/>
                <w:kern w:val="0"/>
                <w:sz w:val="24"/>
                <w:szCs w:val="24"/>
              </w:rPr>
              <w:t>Windows</w:t>
            </w:r>
            <w:r>
              <w:rPr>
                <w:rFonts w:hint="eastAsia" w:ascii="宋体" w:hAnsi="宋体"/>
                <w:kern w:val="0"/>
                <w:sz w:val="24"/>
                <w:szCs w:val="24"/>
              </w:rPr>
              <w:t>（</w:t>
            </w:r>
            <w:r>
              <w:rPr>
                <w:rFonts w:ascii="宋体" w:hAnsi="宋体"/>
                <w:kern w:val="0"/>
                <w:sz w:val="24"/>
                <w:szCs w:val="24"/>
              </w:rPr>
              <w:t>XP,2000</w:t>
            </w:r>
            <w:r>
              <w:rPr>
                <w:rFonts w:hint="eastAsia" w:ascii="宋体" w:hAnsi="宋体"/>
                <w:kern w:val="0"/>
                <w:sz w:val="24"/>
                <w:szCs w:val="24"/>
              </w:rPr>
              <w:t>、</w:t>
            </w:r>
            <w:r>
              <w:rPr>
                <w:rFonts w:ascii="宋体" w:hAnsi="宋体"/>
                <w:kern w:val="0"/>
                <w:sz w:val="24"/>
                <w:szCs w:val="24"/>
              </w:rPr>
              <w:t>2003</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,Linux,AIX</w:t>
            </w:r>
            <w:r>
              <w:rPr>
                <w:rFonts w:hint="eastAsia" w:ascii="宋体" w:hAnsi="宋体"/>
                <w:kern w:val="0"/>
                <w:sz w:val="24"/>
                <w:szCs w:val="24"/>
              </w:rPr>
              <w:t>（</w:t>
            </w:r>
            <w:r>
              <w:rPr>
                <w:rFonts w:ascii="宋体" w:hAnsi="宋体"/>
                <w:kern w:val="0"/>
                <w:sz w:val="24"/>
                <w:szCs w:val="24"/>
              </w:rPr>
              <w:t>4.x,5.1,5.2,5.3</w:t>
            </w:r>
            <w:r>
              <w:rPr>
                <w:rFonts w:hint="eastAsia" w:ascii="宋体" w:hAnsi="宋体"/>
                <w:kern w:val="0"/>
                <w:sz w:val="24"/>
                <w:szCs w:val="24"/>
              </w:rPr>
              <w:t>）</w:t>
            </w:r>
            <w:r>
              <w:rPr>
                <w:rFonts w:ascii="宋体" w:hAnsi="宋体"/>
                <w:kern w:val="0"/>
                <w:sz w:val="24"/>
                <w:szCs w:val="24"/>
              </w:rPr>
              <w:t>,HP 11i,solaris(8,9,10)</w:t>
            </w:r>
            <w:r>
              <w:rPr>
                <w:rFonts w:hint="eastAsia" w:ascii="宋体" w:hAnsi="宋体"/>
                <w:kern w:val="0"/>
                <w:sz w:val="24"/>
                <w:szCs w:val="24"/>
              </w:rPr>
              <w:t>等主流主机类型。</w:t>
            </w:r>
          </w:p>
          <w:p>
            <w:pPr>
              <w:spacing w:line="440" w:lineRule="exact"/>
              <w:jc w:val="left"/>
              <w:rPr>
                <w:rFonts w:ascii="宋体" w:hAnsi="宋体"/>
                <w:kern w:val="0"/>
                <w:sz w:val="24"/>
                <w:szCs w:val="24"/>
              </w:rPr>
            </w:pPr>
            <w:r>
              <w:rPr>
                <w:rFonts w:hint="eastAsia" w:ascii="宋体" w:hAnsi="宋体"/>
                <w:kern w:val="0"/>
                <w:sz w:val="24"/>
                <w:szCs w:val="24"/>
              </w:rPr>
              <w:t>★要求能够识别服务器的分区情况，</w:t>
            </w:r>
            <w:r>
              <w:rPr>
                <w:rFonts w:ascii="宋体" w:hAnsi="宋体"/>
                <w:kern w:val="0"/>
                <w:sz w:val="24"/>
                <w:szCs w:val="24"/>
              </w:rPr>
              <w:t>Linux</w:t>
            </w:r>
            <w:r>
              <w:rPr>
                <w:rFonts w:hint="eastAsia" w:ascii="宋体" w:hAnsi="宋体"/>
                <w:kern w:val="0"/>
                <w:sz w:val="24"/>
                <w:szCs w:val="24"/>
              </w:rPr>
              <w:t>系统可识别卷、卷组、磁盘、文件系统之间的映射关系。</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主机硬件管理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★通过服务器内置的</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IPMI</w:t>
            </w:r>
            <w:r>
              <w:rPr>
                <w:rFonts w:hint="eastAsia" w:ascii="宋体" w:hAnsi="宋体"/>
                <w:kern w:val="0"/>
                <w:sz w:val="24"/>
                <w:szCs w:val="24"/>
              </w:rPr>
              <w:t>管理接口，对主流服务器厂商的服务器硬件进行监控，包括：操作系统名称、</w:t>
            </w:r>
            <w:r>
              <w:rPr>
                <w:rFonts w:ascii="宋体" w:hAnsi="宋体"/>
                <w:kern w:val="0"/>
                <w:sz w:val="24"/>
                <w:szCs w:val="24"/>
              </w:rPr>
              <w:t>BIOS</w:t>
            </w:r>
            <w:r>
              <w:rPr>
                <w:rFonts w:hint="eastAsia" w:ascii="宋体" w:hAnsi="宋体"/>
                <w:kern w:val="0"/>
                <w:sz w:val="24"/>
                <w:szCs w:val="24"/>
              </w:rPr>
              <w:t>版本、主板零件号、主板序列号、服务端口、产品型号、主机名、服务标识、主板产品名称等。包括硬件可用性状态、电源过载状态，处理器的个数，风扇个数、风扇转速，电源个数、机箱温度、风扇转速。</w:t>
            </w:r>
          </w:p>
        </w:tc>
      </w:tr>
      <w:tr>
        <w:tblPrEx>
          <w:tblCellMar>
            <w:top w:w="0" w:type="dxa"/>
            <w:left w:w="108" w:type="dxa"/>
            <w:bottom w:w="0" w:type="dxa"/>
            <w:right w:w="108" w:type="dxa"/>
          </w:tblCellMar>
        </w:tblPrEx>
        <w:trPr>
          <w:trHeight w:val="1812"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★应用系统管理：</w:t>
            </w:r>
            <w:r>
              <w:rPr>
                <w:rFonts w:ascii="宋体" w:hAnsi="宋体"/>
                <w:kern w:val="0"/>
                <w:sz w:val="24"/>
                <w:szCs w:val="24"/>
              </w:rPr>
              <w:br w:type="textWrapping"/>
            </w:r>
            <w:r>
              <w:rPr>
                <w:rFonts w:hint="eastAsia" w:ascii="宋体" w:hAnsi="宋体"/>
                <w:kern w:val="0"/>
                <w:sz w:val="24"/>
                <w:szCs w:val="24"/>
              </w:rPr>
              <w:t>数据库：</w:t>
            </w:r>
            <w:r>
              <w:rPr>
                <w:rFonts w:ascii="宋体" w:hAnsi="宋体"/>
                <w:kern w:val="0"/>
                <w:sz w:val="24"/>
                <w:szCs w:val="24"/>
              </w:rPr>
              <w:t>DB2 ,ORACLE(9i</w:t>
            </w:r>
            <w:r>
              <w:rPr>
                <w:rFonts w:hint="eastAsia" w:ascii="宋体" w:hAnsi="宋体"/>
                <w:kern w:val="0"/>
                <w:sz w:val="24"/>
                <w:szCs w:val="24"/>
              </w:rPr>
              <w:t>，</w:t>
            </w:r>
            <w:r>
              <w:rPr>
                <w:rFonts w:ascii="宋体" w:hAnsi="宋体"/>
                <w:kern w:val="0"/>
                <w:sz w:val="24"/>
                <w:szCs w:val="24"/>
              </w:rPr>
              <w:t>10g</w:t>
            </w:r>
            <w:r>
              <w:rPr>
                <w:rFonts w:hint="eastAsia" w:ascii="宋体" w:hAnsi="宋体"/>
                <w:kern w:val="0"/>
                <w:sz w:val="24"/>
                <w:szCs w:val="24"/>
              </w:rPr>
              <w:t>，</w:t>
            </w:r>
            <w:r>
              <w:rPr>
                <w:rFonts w:ascii="宋体" w:hAnsi="宋体"/>
                <w:kern w:val="0"/>
                <w:sz w:val="24"/>
                <w:szCs w:val="24"/>
              </w:rPr>
              <w:t>11g+),SQLSERVER(2000</w:t>
            </w:r>
            <w:r>
              <w:rPr>
                <w:rFonts w:hint="eastAsia" w:ascii="宋体" w:hAnsi="宋体"/>
                <w:kern w:val="0"/>
                <w:sz w:val="24"/>
                <w:szCs w:val="24"/>
              </w:rPr>
              <w:t>，</w:t>
            </w:r>
            <w:r>
              <w:rPr>
                <w:rFonts w:ascii="宋体" w:hAnsi="宋体"/>
                <w:kern w:val="0"/>
                <w:sz w:val="24"/>
                <w:szCs w:val="24"/>
              </w:rPr>
              <w:t>2005</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SYBASE11</w:t>
            </w:r>
            <w:r>
              <w:rPr>
                <w:rFonts w:hint="eastAsia" w:ascii="宋体" w:hAnsi="宋体"/>
                <w:kern w:val="0"/>
                <w:sz w:val="24"/>
                <w:szCs w:val="24"/>
              </w:rPr>
              <w:t>，</w:t>
            </w:r>
            <w:r>
              <w:rPr>
                <w:rFonts w:ascii="宋体" w:hAnsi="宋体"/>
                <w:kern w:val="0"/>
                <w:sz w:val="24"/>
                <w:szCs w:val="24"/>
              </w:rPr>
              <w:t>mysql</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br w:type="textWrapping"/>
            </w:r>
            <w:r>
              <w:rPr>
                <w:rFonts w:hint="eastAsia" w:ascii="宋体" w:hAnsi="宋体"/>
                <w:kern w:val="0"/>
                <w:sz w:val="24"/>
                <w:szCs w:val="24"/>
              </w:rPr>
              <w:t>中间件：</w:t>
            </w:r>
            <w:r>
              <w:rPr>
                <w:rFonts w:ascii="宋体" w:hAnsi="宋体"/>
                <w:kern w:val="0"/>
                <w:sz w:val="24"/>
                <w:szCs w:val="24"/>
              </w:rPr>
              <w:t>weblogic(8,9,10,11)</w:t>
            </w:r>
            <w:r>
              <w:rPr>
                <w:rFonts w:hint="eastAsia" w:ascii="宋体" w:hAnsi="宋体"/>
                <w:kern w:val="0"/>
                <w:sz w:val="24"/>
                <w:szCs w:val="24"/>
              </w:rPr>
              <w:t>，</w:t>
            </w:r>
            <w:r>
              <w:rPr>
                <w:rFonts w:ascii="宋体" w:hAnsi="宋体"/>
                <w:kern w:val="0"/>
                <w:sz w:val="24"/>
                <w:szCs w:val="24"/>
              </w:rPr>
              <w:t>websphere</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apache2.x</w:t>
            </w:r>
            <w:r>
              <w:rPr>
                <w:rFonts w:hint="eastAsia" w:ascii="宋体" w:hAnsi="宋体"/>
                <w:kern w:val="0"/>
                <w:sz w:val="24"/>
                <w:szCs w:val="24"/>
              </w:rPr>
              <w:t>，</w:t>
            </w:r>
            <w:r>
              <w:rPr>
                <w:rFonts w:ascii="宋体" w:hAnsi="宋体"/>
                <w:kern w:val="0"/>
                <w:sz w:val="24"/>
                <w:szCs w:val="24"/>
              </w:rPr>
              <w:t>IIS</w:t>
            </w:r>
            <w:r>
              <w:rPr>
                <w:rFonts w:hint="eastAsia" w:ascii="宋体" w:hAnsi="宋体"/>
                <w:kern w:val="0"/>
                <w:sz w:val="24"/>
                <w:szCs w:val="24"/>
              </w:rPr>
              <w:t>（</w:t>
            </w:r>
            <w:r>
              <w:rPr>
                <w:rFonts w:ascii="宋体" w:hAnsi="宋体"/>
                <w:kern w:val="0"/>
                <w:sz w:val="24"/>
                <w:szCs w:val="24"/>
              </w:rPr>
              <w:t>5.x,6.x,7.x)</w:t>
            </w:r>
            <w:r>
              <w:rPr>
                <w:rFonts w:hint="eastAsia" w:ascii="宋体" w:hAnsi="宋体"/>
                <w:kern w:val="0"/>
                <w:sz w:val="24"/>
                <w:szCs w:val="24"/>
              </w:rPr>
              <w:t>，</w:t>
            </w:r>
            <w:r>
              <w:rPr>
                <w:rFonts w:ascii="宋体" w:hAnsi="宋体"/>
                <w:kern w:val="0"/>
                <w:sz w:val="24"/>
                <w:szCs w:val="24"/>
              </w:rPr>
              <w:t xml:space="preserve">MQ </w:t>
            </w:r>
            <w:r>
              <w:rPr>
                <w:rFonts w:ascii="宋体" w:hAnsi="宋体"/>
                <w:kern w:val="0"/>
                <w:sz w:val="24"/>
                <w:szCs w:val="24"/>
              </w:rPr>
              <w:br w:type="textWrapping"/>
            </w:r>
            <w:r>
              <w:rPr>
                <w:rFonts w:ascii="宋体" w:hAnsi="宋体"/>
                <w:kern w:val="0"/>
                <w:sz w:val="24"/>
                <w:szCs w:val="24"/>
              </w:rPr>
              <w:t>Web</w:t>
            </w:r>
            <w:r>
              <w:rPr>
                <w:rFonts w:hint="eastAsia" w:ascii="宋体" w:hAnsi="宋体"/>
                <w:kern w:val="0"/>
                <w:sz w:val="24"/>
                <w:szCs w:val="24"/>
              </w:rPr>
              <w:t>服务器：</w:t>
            </w:r>
            <w:r>
              <w:rPr>
                <w:rFonts w:ascii="宋体" w:hAnsi="宋体"/>
                <w:kern w:val="0"/>
                <w:sz w:val="24"/>
                <w:szCs w:val="24"/>
              </w:rPr>
              <w:t xml:space="preserve">tomcat </w:t>
            </w:r>
            <w:r>
              <w:rPr>
                <w:rFonts w:hint="eastAsia" w:ascii="宋体" w:hAnsi="宋体"/>
                <w:kern w:val="0"/>
                <w:sz w:val="24"/>
                <w:szCs w:val="24"/>
              </w:rPr>
              <w:t>系列</w:t>
            </w:r>
            <w:r>
              <w:rPr>
                <w:rFonts w:ascii="宋体" w:hAnsi="宋体"/>
                <w:kern w:val="0"/>
                <w:sz w:val="24"/>
                <w:szCs w:val="24"/>
              </w:rPr>
              <w:br w:type="textWrapping"/>
            </w:r>
            <w:r>
              <w:rPr>
                <w:rFonts w:hint="eastAsia" w:ascii="宋体" w:hAnsi="宋体"/>
                <w:kern w:val="0"/>
                <w:sz w:val="24"/>
                <w:szCs w:val="24"/>
              </w:rPr>
              <w:t>其他服务：</w:t>
            </w:r>
            <w:r>
              <w:rPr>
                <w:rFonts w:ascii="宋体" w:hAnsi="宋体"/>
                <w:kern w:val="0"/>
                <w:sz w:val="24"/>
                <w:szCs w:val="24"/>
              </w:rPr>
              <w:t>URL</w:t>
            </w:r>
            <w:r>
              <w:rPr>
                <w:rFonts w:hint="eastAsia" w:ascii="宋体" w:hAnsi="宋体"/>
                <w:kern w:val="0"/>
                <w:sz w:val="24"/>
                <w:szCs w:val="24"/>
              </w:rPr>
              <w:t>探针，</w:t>
            </w:r>
            <w:r>
              <w:rPr>
                <w:rFonts w:ascii="宋体" w:hAnsi="宋体"/>
                <w:kern w:val="0"/>
                <w:sz w:val="24"/>
                <w:szCs w:val="24"/>
              </w:rPr>
              <w:t>TCP</w:t>
            </w:r>
            <w:r>
              <w:rPr>
                <w:rFonts w:hint="eastAsia" w:ascii="宋体" w:hAnsi="宋体"/>
                <w:kern w:val="0"/>
                <w:sz w:val="24"/>
                <w:szCs w:val="24"/>
              </w:rPr>
              <w:t>探针，任意基于</w:t>
            </w:r>
            <w:r>
              <w:rPr>
                <w:rFonts w:ascii="宋体" w:hAnsi="宋体"/>
                <w:kern w:val="0"/>
                <w:sz w:val="24"/>
                <w:szCs w:val="24"/>
              </w:rPr>
              <w:t>JVM</w:t>
            </w:r>
            <w:r>
              <w:rPr>
                <w:rFonts w:hint="eastAsia" w:ascii="宋体" w:hAnsi="宋体"/>
                <w:kern w:val="0"/>
                <w:sz w:val="24"/>
                <w:szCs w:val="24"/>
              </w:rPr>
              <w:t>的应用服务</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配置存储系统管理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磁阵（</w:t>
            </w:r>
            <w:r>
              <w:rPr>
                <w:rFonts w:ascii="宋体" w:hAnsi="宋体"/>
                <w:kern w:val="0"/>
                <w:sz w:val="24"/>
                <w:szCs w:val="24"/>
              </w:rPr>
              <w:t>IBMDS4000/5000/FAST,INFORTREND,NETSTOR</w:t>
            </w:r>
            <w:r>
              <w:rPr>
                <w:rFonts w:hint="eastAsia" w:ascii="宋体" w:hAnsi="宋体"/>
                <w:kern w:val="0"/>
                <w:sz w:val="24"/>
                <w:szCs w:val="24"/>
              </w:rPr>
              <w:t>，</w:t>
            </w:r>
            <w:r>
              <w:rPr>
                <w:rFonts w:ascii="宋体" w:hAnsi="宋体"/>
                <w:kern w:val="0"/>
                <w:sz w:val="24"/>
                <w:szCs w:val="24"/>
              </w:rPr>
              <w:t xml:space="preserve">EMC </w:t>
            </w:r>
            <w:r>
              <w:rPr>
                <w:rFonts w:hint="eastAsia" w:ascii="宋体" w:hAnsi="宋体"/>
                <w:kern w:val="0"/>
                <w:sz w:val="24"/>
                <w:szCs w:val="24"/>
              </w:rPr>
              <w:t>、</w:t>
            </w:r>
            <w:r>
              <w:rPr>
                <w:rFonts w:ascii="宋体" w:hAnsi="宋体"/>
                <w:kern w:val="0"/>
                <w:sz w:val="24"/>
                <w:szCs w:val="24"/>
              </w:rPr>
              <w:t>HDS</w:t>
            </w:r>
            <w:r>
              <w:rPr>
                <w:rFonts w:hint="eastAsia" w:ascii="宋体" w:hAnsi="宋体"/>
                <w:kern w:val="0"/>
                <w:sz w:val="24"/>
                <w:szCs w:val="24"/>
              </w:rPr>
              <w:t>、</w:t>
            </w:r>
            <w:r>
              <w:rPr>
                <w:rFonts w:ascii="宋体" w:hAnsi="宋体"/>
                <w:kern w:val="0"/>
                <w:sz w:val="24"/>
                <w:szCs w:val="24"/>
              </w:rPr>
              <w:t>CLARIION</w:t>
            </w:r>
            <w:r>
              <w:rPr>
                <w:rFonts w:hint="eastAsia" w:ascii="宋体" w:hAnsi="宋体"/>
                <w:kern w:val="0"/>
                <w:sz w:val="24"/>
                <w:szCs w:val="24"/>
              </w:rPr>
              <w:t>）</w:t>
            </w:r>
            <w:r>
              <w:rPr>
                <w:rFonts w:ascii="宋体" w:hAnsi="宋体"/>
                <w:kern w:val="0"/>
                <w:sz w:val="24"/>
                <w:szCs w:val="24"/>
              </w:rPr>
              <w:t>,</w:t>
            </w:r>
            <w:r>
              <w:rPr>
                <w:rFonts w:hint="eastAsia" w:ascii="宋体" w:hAnsi="宋体"/>
                <w:kern w:val="0"/>
                <w:sz w:val="24"/>
                <w:szCs w:val="24"/>
              </w:rPr>
              <w:t>博科光纤交换机</w:t>
            </w:r>
          </w:p>
        </w:tc>
      </w:tr>
      <w:tr>
        <w:tblPrEx>
          <w:tblCellMar>
            <w:top w:w="0" w:type="dxa"/>
            <w:left w:w="108" w:type="dxa"/>
            <w:bottom w:w="0" w:type="dxa"/>
            <w:right w:w="108" w:type="dxa"/>
          </w:tblCellMar>
        </w:tblPrEx>
        <w:trPr>
          <w:trHeight w:val="8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配置虚拟化监控管理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★系统应可以</w:t>
            </w:r>
            <w:r>
              <w:rPr>
                <w:rFonts w:ascii="宋体" w:hAnsi="宋体"/>
                <w:kern w:val="0"/>
                <w:sz w:val="24"/>
                <w:szCs w:val="24"/>
              </w:rPr>
              <w:t>VMWare</w:t>
            </w:r>
            <w:r>
              <w:rPr>
                <w:rFonts w:hint="eastAsia" w:ascii="宋体" w:hAnsi="宋体"/>
                <w:kern w:val="0"/>
                <w:sz w:val="24"/>
                <w:szCs w:val="24"/>
              </w:rPr>
              <w:t>、</w:t>
            </w:r>
            <w:r>
              <w:rPr>
                <w:rFonts w:ascii="宋体" w:hAnsi="宋体"/>
                <w:kern w:val="0"/>
                <w:sz w:val="24"/>
                <w:szCs w:val="24"/>
              </w:rPr>
              <w:t>Openstack</w:t>
            </w:r>
            <w:r>
              <w:rPr>
                <w:rFonts w:hint="eastAsia" w:ascii="宋体" w:hAnsi="宋体"/>
                <w:kern w:val="0"/>
                <w:sz w:val="24"/>
                <w:szCs w:val="24"/>
              </w:rPr>
              <w:t>等虚拟化平台，可自动扫描虚拟化平台中的数据中心、主机、虚拟机、存储及网络，并可自动扫描虚拟化资源之间的映射关系。</w:t>
            </w:r>
          </w:p>
          <w:p>
            <w:pPr>
              <w:spacing w:line="440" w:lineRule="exact"/>
              <w:jc w:val="left"/>
              <w:rPr>
                <w:rFonts w:ascii="宋体" w:hAnsi="宋体"/>
                <w:kern w:val="0"/>
                <w:sz w:val="24"/>
                <w:szCs w:val="24"/>
              </w:rPr>
            </w:pPr>
            <w:r>
              <w:rPr>
                <w:rFonts w:hint="eastAsia" w:ascii="宋体" w:hAnsi="宋体"/>
                <w:kern w:val="0"/>
                <w:sz w:val="24"/>
                <w:szCs w:val="24"/>
              </w:rPr>
              <w:t>支持虚拟机中心、文件夹、数据中心、集群、宿主机、资源池，包括实时性能和逻辑关系。</w:t>
            </w:r>
          </w:p>
          <w:p>
            <w:pPr>
              <w:spacing w:line="440" w:lineRule="exact"/>
              <w:jc w:val="left"/>
              <w:rPr>
                <w:rFonts w:ascii="宋体" w:hAnsi="宋体"/>
                <w:kern w:val="0"/>
                <w:sz w:val="24"/>
                <w:szCs w:val="24"/>
              </w:rPr>
            </w:pPr>
            <w:r>
              <w:rPr>
                <w:rFonts w:hint="eastAsia" w:ascii="宋体" w:hAnsi="宋体"/>
                <w:kern w:val="0"/>
                <w:sz w:val="24"/>
                <w:szCs w:val="24"/>
              </w:rPr>
              <w:t>实现宿主机配置、状态、性能信息的一体化管理。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实现虚拟机配置、状态、性能信息的一体化管理。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应能自动获取物理服务器的详细信息，包括物理服务器的基本信息（内存、</w:t>
            </w:r>
            <w:r>
              <w:rPr>
                <w:rFonts w:ascii="宋体" w:hAnsi="宋体"/>
                <w:kern w:val="0"/>
                <w:sz w:val="24"/>
                <w:szCs w:val="24"/>
              </w:rPr>
              <w:t>CPU</w:t>
            </w:r>
            <w:r>
              <w:rPr>
                <w:rFonts w:hint="eastAsia" w:ascii="宋体" w:hAnsi="宋体"/>
                <w:kern w:val="0"/>
                <w:sz w:val="24"/>
                <w:szCs w:val="24"/>
              </w:rPr>
              <w:t>、厂商、型号）、虚拟机列端口组列表、存储等信息。</w:t>
            </w:r>
          </w:p>
          <w:p>
            <w:pPr>
              <w:spacing w:line="440" w:lineRule="exact"/>
              <w:jc w:val="left"/>
              <w:rPr>
                <w:rFonts w:ascii="宋体" w:hAnsi="宋体"/>
                <w:kern w:val="0"/>
                <w:sz w:val="24"/>
                <w:szCs w:val="24"/>
              </w:rPr>
            </w:pPr>
            <w:r>
              <w:rPr>
                <w:rFonts w:hint="eastAsia" w:ascii="宋体" w:hAnsi="宋体"/>
                <w:kern w:val="0"/>
                <w:sz w:val="24"/>
                <w:szCs w:val="24"/>
              </w:rPr>
              <w:t>要求以图形化方式展现虚拟化拓扑，显示宿主机、虚拟机、虚拟网络、数据存储关系，动态显示管理对象负载、告警。</w:t>
            </w:r>
          </w:p>
          <w:p>
            <w:pPr>
              <w:spacing w:line="440" w:lineRule="exact"/>
              <w:jc w:val="left"/>
              <w:rPr>
                <w:rFonts w:ascii="宋体" w:hAnsi="宋体"/>
                <w:kern w:val="0"/>
                <w:sz w:val="24"/>
                <w:szCs w:val="24"/>
              </w:rPr>
            </w:pPr>
            <w:r>
              <w:rPr>
                <w:rFonts w:hint="eastAsia" w:ascii="宋体" w:hAnsi="宋体"/>
                <w:kern w:val="0"/>
                <w:sz w:val="24"/>
                <w:szCs w:val="24"/>
              </w:rPr>
              <w:t>应支持自动获取虚拟主机的基本信息、硬件信息、关联资源等，基本信息包括虚拟机的状态、开机时间、操作系统等，硬件信息包括</w:t>
            </w:r>
            <w:r>
              <w:rPr>
                <w:rFonts w:ascii="宋体" w:hAnsi="宋体"/>
                <w:kern w:val="0"/>
                <w:sz w:val="24"/>
                <w:szCs w:val="24"/>
              </w:rPr>
              <w:t>CPU</w:t>
            </w:r>
            <w:r>
              <w:rPr>
                <w:rFonts w:hint="eastAsia" w:ascii="宋体" w:hAnsi="宋体"/>
                <w:kern w:val="0"/>
                <w:sz w:val="24"/>
                <w:szCs w:val="24"/>
              </w:rPr>
              <w:t>、内存及硬盘信息。</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配置告警管理模块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提供灵活的告警策略配置、智能调整告警阈值，并可将告警分析判断、告警关联分析后的告警信息以短信、邮件、</w:t>
            </w:r>
            <w:r>
              <w:rPr>
                <w:rFonts w:ascii="宋体" w:hAnsi="宋体"/>
                <w:kern w:val="0"/>
                <w:sz w:val="24"/>
                <w:szCs w:val="24"/>
              </w:rPr>
              <w:t>TTS</w:t>
            </w:r>
            <w:r>
              <w:rPr>
                <w:rFonts w:hint="eastAsia" w:ascii="宋体" w:hAnsi="宋体"/>
                <w:kern w:val="0"/>
                <w:sz w:val="24"/>
                <w:szCs w:val="24"/>
              </w:rPr>
              <w:t>语音</w:t>
            </w:r>
            <w:r>
              <w:rPr>
                <w:rFonts w:ascii="宋体" w:hAnsi="宋体"/>
                <w:kern w:val="0"/>
                <w:sz w:val="24"/>
                <w:szCs w:val="24"/>
              </w:rPr>
              <w:t xml:space="preserve"> </w:t>
            </w:r>
            <w:r>
              <w:rPr>
                <w:rFonts w:hint="eastAsia" w:ascii="宋体" w:hAnsi="宋体"/>
                <w:kern w:val="0"/>
                <w:sz w:val="24"/>
                <w:szCs w:val="24"/>
              </w:rPr>
              <w:t>等方式通知相关的运维人员。</w:t>
            </w:r>
          </w:p>
        </w:tc>
      </w:tr>
      <w:tr>
        <w:tblPrEx>
          <w:tblCellMar>
            <w:top w:w="0" w:type="dxa"/>
            <w:left w:w="108" w:type="dxa"/>
            <w:bottom w:w="0" w:type="dxa"/>
            <w:right w:w="108" w:type="dxa"/>
          </w:tblCellMar>
        </w:tblPrEx>
        <w:trPr>
          <w:trHeight w:val="416"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配置拓扑管理模块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提供网络拓扑、逻辑拓扑、业务拓扑、机房</w:t>
            </w:r>
            <w:r>
              <w:rPr>
                <w:rFonts w:ascii="宋体" w:hAnsi="宋体"/>
                <w:kern w:val="0"/>
                <w:sz w:val="24"/>
                <w:szCs w:val="24"/>
              </w:rPr>
              <w:t>3</w:t>
            </w:r>
            <w:r>
              <w:rPr>
                <w:rFonts w:hint="eastAsia" w:ascii="宋体" w:hAnsi="宋体"/>
                <w:kern w:val="0"/>
                <w:sz w:val="24"/>
                <w:szCs w:val="24"/>
              </w:rPr>
              <w:t>维俯视图、机柜</w:t>
            </w:r>
            <w:r>
              <w:rPr>
                <w:rFonts w:ascii="宋体" w:hAnsi="宋体"/>
                <w:kern w:val="0"/>
                <w:sz w:val="24"/>
                <w:szCs w:val="24"/>
              </w:rPr>
              <w:t>&amp;</w:t>
            </w:r>
            <w:r>
              <w:rPr>
                <w:rFonts w:hint="eastAsia" w:ascii="宋体" w:hAnsi="宋体"/>
                <w:kern w:val="0"/>
                <w:sz w:val="24"/>
                <w:szCs w:val="24"/>
              </w:rPr>
              <w:t>机架图，基础报价包含</w:t>
            </w:r>
            <w:r>
              <w:rPr>
                <w:rFonts w:ascii="宋体" w:hAnsi="宋体"/>
                <w:kern w:val="0"/>
                <w:sz w:val="24"/>
                <w:szCs w:val="24"/>
              </w:rPr>
              <w:t>5</w:t>
            </w:r>
            <w:r>
              <w:rPr>
                <w:rFonts w:hint="eastAsia" w:ascii="宋体" w:hAnsi="宋体"/>
                <w:kern w:val="0"/>
                <w:sz w:val="24"/>
                <w:szCs w:val="24"/>
              </w:rPr>
              <w:t>张拓扑图绘制。</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配置报表分析模块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提供监测数据报表，包括可用性分析报表、容量分析报表、趋势</w:t>
            </w:r>
            <w:r>
              <w:rPr>
                <w:rFonts w:ascii="宋体" w:hAnsi="宋体"/>
                <w:kern w:val="0"/>
                <w:sz w:val="24"/>
                <w:szCs w:val="24"/>
              </w:rPr>
              <w:t>/</w:t>
            </w:r>
            <w:r>
              <w:rPr>
                <w:rFonts w:hint="eastAsia" w:ascii="宋体" w:hAnsi="宋体"/>
                <w:kern w:val="0"/>
                <w:sz w:val="24"/>
                <w:szCs w:val="24"/>
              </w:rPr>
              <w:t>峰谷</w:t>
            </w:r>
            <w:r>
              <w:rPr>
                <w:rFonts w:ascii="宋体" w:hAnsi="宋体"/>
                <w:kern w:val="0"/>
                <w:sz w:val="24"/>
                <w:szCs w:val="24"/>
              </w:rPr>
              <w:t>/</w:t>
            </w:r>
            <w:r>
              <w:rPr>
                <w:rFonts w:hint="eastAsia" w:ascii="宋体" w:hAnsi="宋体"/>
                <w:kern w:val="0"/>
                <w:sz w:val="24"/>
                <w:szCs w:val="24"/>
              </w:rPr>
              <w:t>对比分析报表、告警报表等数据分析报表。</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配置基础模块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提供智能化工作门户，支持全局的设备分类</w:t>
            </w:r>
            <w:r>
              <w:rPr>
                <w:rFonts w:ascii="宋体" w:hAnsi="宋体"/>
                <w:kern w:val="0"/>
                <w:sz w:val="24"/>
                <w:szCs w:val="24"/>
              </w:rPr>
              <w:t>/</w:t>
            </w:r>
            <w:r>
              <w:rPr>
                <w:rFonts w:hint="eastAsia" w:ascii="宋体" w:hAnsi="宋体"/>
                <w:kern w:val="0"/>
                <w:sz w:val="24"/>
                <w:szCs w:val="24"/>
              </w:rPr>
              <w:t>分组视图、可用性视图、链路地图、实时流量视图、支持任意界面的大屏投放等，形成高效率的工作平台功能</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配置应用可视化监控</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提供业务应用视角的统一监控，呈现业务系统支撑架构、业务繁忙度、可用性、用户访问趋势、慢</w:t>
            </w:r>
            <w:r>
              <w:rPr>
                <w:rFonts w:ascii="宋体" w:hAnsi="宋体"/>
                <w:kern w:val="0"/>
                <w:sz w:val="24"/>
                <w:szCs w:val="24"/>
              </w:rPr>
              <w:t>sql</w:t>
            </w:r>
            <w:r>
              <w:rPr>
                <w:rFonts w:hint="eastAsia" w:ascii="宋体" w:hAnsi="宋体"/>
                <w:kern w:val="0"/>
                <w:sz w:val="24"/>
                <w:szCs w:val="24"/>
              </w:rPr>
              <w:t>分析以及业务组件性能等。</w:t>
            </w:r>
          </w:p>
          <w:p>
            <w:pPr>
              <w:spacing w:line="440" w:lineRule="exact"/>
              <w:jc w:val="left"/>
              <w:rPr>
                <w:rFonts w:ascii="宋体" w:hAnsi="宋体"/>
                <w:kern w:val="0"/>
                <w:sz w:val="24"/>
                <w:szCs w:val="24"/>
              </w:rPr>
            </w:pPr>
            <w:r>
              <w:rPr>
                <w:rFonts w:hint="eastAsia" w:ascii="宋体" w:hAnsi="宋体"/>
                <w:kern w:val="0"/>
                <w:sz w:val="24"/>
                <w:szCs w:val="24"/>
              </w:rPr>
              <w:t>可以对应用进程的状态进行监控管理，当发现进程状态发生改变时，可以发送告警信息到管理平台。</w:t>
            </w:r>
          </w:p>
          <w:p>
            <w:pPr>
              <w:spacing w:line="440" w:lineRule="exact"/>
              <w:jc w:val="left"/>
              <w:rPr>
                <w:rFonts w:ascii="宋体" w:hAnsi="宋体"/>
                <w:kern w:val="0"/>
                <w:sz w:val="24"/>
                <w:szCs w:val="24"/>
              </w:rPr>
            </w:pPr>
            <w:r>
              <w:rPr>
                <w:rFonts w:hint="eastAsia" w:ascii="宋体" w:hAnsi="宋体"/>
                <w:kern w:val="0"/>
                <w:sz w:val="24"/>
                <w:szCs w:val="24"/>
              </w:rPr>
              <w:t>可以对各类服务、</w:t>
            </w:r>
            <w:r>
              <w:rPr>
                <w:rFonts w:ascii="宋体" w:hAnsi="宋体"/>
                <w:kern w:val="0"/>
                <w:sz w:val="24"/>
                <w:szCs w:val="24"/>
              </w:rPr>
              <w:t>http</w:t>
            </w:r>
            <w:r>
              <w:rPr>
                <w:rFonts w:hint="eastAsia" w:ascii="宋体" w:hAnsi="宋体"/>
                <w:kern w:val="0"/>
                <w:sz w:val="24"/>
                <w:szCs w:val="24"/>
              </w:rPr>
              <w:t>协议、</w:t>
            </w:r>
            <w:r>
              <w:rPr>
                <w:rFonts w:ascii="宋体" w:hAnsi="宋体"/>
                <w:kern w:val="0"/>
                <w:sz w:val="24"/>
                <w:szCs w:val="24"/>
              </w:rPr>
              <w:t>tcp</w:t>
            </w:r>
            <w:r>
              <w:rPr>
                <w:rFonts w:hint="eastAsia" w:ascii="宋体" w:hAnsi="宋体"/>
                <w:kern w:val="0"/>
                <w:sz w:val="24"/>
                <w:szCs w:val="24"/>
              </w:rPr>
              <w:t>协议进行仿真拨测，针对各服务、协议对仿真拨测的响应情况及时发现应用异常。</w:t>
            </w:r>
          </w:p>
          <w:p>
            <w:pPr>
              <w:spacing w:line="440" w:lineRule="exact"/>
              <w:jc w:val="left"/>
              <w:rPr>
                <w:rFonts w:ascii="宋体" w:hAnsi="宋体"/>
                <w:kern w:val="0"/>
                <w:sz w:val="24"/>
                <w:szCs w:val="24"/>
              </w:rPr>
            </w:pPr>
            <w:r>
              <w:rPr>
                <w:rFonts w:hint="eastAsia" w:ascii="宋体" w:hAnsi="宋体"/>
                <w:kern w:val="0"/>
                <w:sz w:val="24"/>
                <w:szCs w:val="24"/>
              </w:rPr>
              <w:t>支持业务拓扑图的绘制，能够反映业务系统的真实构成、与服务器、数据库、中间件的依赖关系，并在图上实时反映告警状态信息；</w:t>
            </w:r>
          </w:p>
          <w:p>
            <w:pPr>
              <w:spacing w:line="440" w:lineRule="exact"/>
              <w:jc w:val="left"/>
              <w:rPr>
                <w:rFonts w:ascii="宋体" w:hAnsi="宋体"/>
                <w:kern w:val="0"/>
                <w:sz w:val="24"/>
                <w:szCs w:val="24"/>
              </w:rPr>
            </w:pPr>
            <w:r>
              <w:rPr>
                <w:rFonts w:hint="eastAsia" w:ascii="宋体" w:hAnsi="宋体"/>
                <w:kern w:val="0"/>
                <w:sz w:val="24"/>
                <w:szCs w:val="24"/>
              </w:rPr>
              <w:t>支持业务风险度模型，可根据系统的运行情况实时计算风险值。</w:t>
            </w:r>
          </w:p>
          <w:p>
            <w:pPr>
              <w:spacing w:line="440" w:lineRule="exact"/>
              <w:jc w:val="left"/>
              <w:rPr>
                <w:rFonts w:ascii="宋体" w:hAnsi="宋体"/>
                <w:kern w:val="0"/>
                <w:sz w:val="24"/>
                <w:szCs w:val="24"/>
              </w:rPr>
            </w:pPr>
            <w:r>
              <w:rPr>
                <w:rFonts w:hint="eastAsia" w:ascii="宋体" w:hAnsi="宋体"/>
                <w:kern w:val="0"/>
                <w:sz w:val="24"/>
                <w:szCs w:val="24"/>
              </w:rPr>
              <w:t>能够定时从监控探针向目标</w:t>
            </w:r>
            <w:r>
              <w:rPr>
                <w:rFonts w:ascii="宋体" w:hAnsi="宋体"/>
                <w:kern w:val="0"/>
                <w:sz w:val="24"/>
                <w:szCs w:val="24"/>
              </w:rPr>
              <w:t>URL</w:t>
            </w:r>
            <w:r>
              <w:rPr>
                <w:rFonts w:hint="eastAsia" w:ascii="宋体" w:hAnsi="宋体"/>
                <w:kern w:val="0"/>
                <w:sz w:val="24"/>
                <w:szCs w:val="24"/>
              </w:rPr>
              <w:t>发起请求，获取目标</w:t>
            </w:r>
            <w:r>
              <w:rPr>
                <w:rFonts w:ascii="宋体" w:hAnsi="宋体"/>
                <w:kern w:val="0"/>
                <w:sz w:val="24"/>
                <w:szCs w:val="24"/>
              </w:rPr>
              <w:t>URL</w:t>
            </w:r>
            <w:r>
              <w:rPr>
                <w:rFonts w:hint="eastAsia" w:ascii="宋体" w:hAnsi="宋体"/>
                <w:kern w:val="0"/>
                <w:sz w:val="24"/>
                <w:szCs w:val="24"/>
              </w:rPr>
              <w:t>的响应时间、响应代码、响应页面大小等关键指标。</w:t>
            </w:r>
          </w:p>
        </w:tc>
      </w:tr>
      <w:tr>
        <w:tblPrEx>
          <w:tblCellMar>
            <w:top w:w="0" w:type="dxa"/>
            <w:left w:w="108" w:type="dxa"/>
            <w:bottom w:w="0" w:type="dxa"/>
            <w:right w:w="108" w:type="dxa"/>
          </w:tblCellMar>
        </w:tblPrEx>
        <w:trPr>
          <w:trHeight w:val="690"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配置服务器健康体检</w:t>
            </w:r>
          </w:p>
        </w:tc>
        <w:tc>
          <w:tcPr>
            <w:tcW w:w="7988" w:type="dxa"/>
            <w:tcBorders>
              <w:top w:val="single" w:color="auto" w:sz="2" w:space="0"/>
              <w:left w:val="single" w:color="auto" w:sz="2" w:space="0"/>
              <w:bottom w:val="single" w:color="auto" w:sz="2" w:space="0"/>
              <w:right w:val="single" w:color="auto" w:sz="2" w:space="0"/>
            </w:tcBorders>
            <w:vAlign w:val="center"/>
          </w:tcPr>
          <w:p>
            <w:pPr>
              <w:spacing w:line="440" w:lineRule="exact"/>
              <w:jc w:val="left"/>
              <w:rPr>
                <w:rFonts w:ascii="宋体" w:hAnsi="宋体"/>
                <w:kern w:val="0"/>
                <w:sz w:val="24"/>
                <w:szCs w:val="24"/>
              </w:rPr>
            </w:pPr>
            <w:r>
              <w:rPr>
                <w:rFonts w:hint="eastAsia" w:ascii="宋体" w:hAnsi="宋体"/>
                <w:kern w:val="0"/>
                <w:sz w:val="24"/>
                <w:szCs w:val="24"/>
              </w:rPr>
              <w:t>在指标监控的基础上，提供多种手段对各类服务器的性能、容量、可用性、安全性等方面，定期进行更深层次的体检，支持直观</w:t>
            </w:r>
            <w:r>
              <w:rPr>
                <w:rFonts w:ascii="宋体" w:hAnsi="宋体"/>
                <w:kern w:val="0"/>
                <w:sz w:val="24"/>
                <w:szCs w:val="24"/>
              </w:rPr>
              <w:br w:type="textWrapping"/>
            </w:r>
            <w:r>
              <w:rPr>
                <w:rFonts w:hint="eastAsia" w:ascii="宋体" w:hAnsi="宋体"/>
                <w:kern w:val="0"/>
                <w:sz w:val="24"/>
                <w:szCs w:val="24"/>
              </w:rPr>
              <w:t>清晰的报告并能够按策略发送给指定的管理人员，辅助进行</w:t>
            </w:r>
            <w:r>
              <w:rPr>
                <w:rFonts w:ascii="宋体" w:hAnsi="宋体"/>
                <w:kern w:val="0"/>
                <w:sz w:val="24"/>
                <w:szCs w:val="24"/>
              </w:rPr>
              <w:t>IT</w:t>
            </w:r>
            <w:r>
              <w:rPr>
                <w:rFonts w:hint="eastAsia" w:ascii="宋体" w:hAnsi="宋体"/>
                <w:kern w:val="0"/>
                <w:sz w:val="24"/>
                <w:szCs w:val="24"/>
              </w:rPr>
              <w:t>设施的优化和加固。</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配置数据库管理工具</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提供集成的跨数据库的</w:t>
            </w:r>
            <w:r>
              <w:rPr>
                <w:rFonts w:ascii="宋体" w:hAnsi="宋体"/>
                <w:kern w:val="0"/>
                <w:sz w:val="24"/>
                <w:szCs w:val="24"/>
              </w:rPr>
              <w:t>WEB</w:t>
            </w:r>
            <w:r>
              <w:rPr>
                <w:rFonts w:hint="eastAsia" w:ascii="宋体" w:hAnsi="宋体"/>
                <w:kern w:val="0"/>
                <w:sz w:val="24"/>
                <w:szCs w:val="24"/>
              </w:rPr>
              <w:t>可视化的数据维护功能，能够浏览数据库表对象，执行</w:t>
            </w:r>
            <w:r>
              <w:rPr>
                <w:rFonts w:ascii="宋体" w:hAnsi="宋体"/>
                <w:kern w:val="0"/>
                <w:sz w:val="24"/>
                <w:szCs w:val="24"/>
              </w:rPr>
              <w:t>sql</w:t>
            </w:r>
            <w:r>
              <w:rPr>
                <w:rFonts w:hint="eastAsia" w:ascii="宋体" w:hAnsi="宋体"/>
                <w:kern w:val="0"/>
                <w:sz w:val="24"/>
                <w:szCs w:val="24"/>
              </w:rPr>
              <w:t>查询、更新语句，并以表格形式展现结果集。</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分布式采集管理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提供采集模块灵活的横向扩展能力，支持采集群组配置，用以做到良好的负载均衡和监控穿透能力。支持防火墙内外分开部署</w:t>
            </w:r>
          </w:p>
          <w:p>
            <w:pPr>
              <w:spacing w:line="440" w:lineRule="exact"/>
              <w:jc w:val="left"/>
              <w:rPr>
                <w:rFonts w:ascii="宋体" w:hAnsi="宋体"/>
                <w:kern w:val="0"/>
                <w:sz w:val="24"/>
                <w:szCs w:val="24"/>
              </w:rPr>
            </w:pPr>
            <w:r>
              <w:rPr>
                <w:rFonts w:hint="eastAsia" w:ascii="宋体" w:hAnsi="宋体"/>
                <w:kern w:val="0"/>
                <w:sz w:val="24"/>
                <w:szCs w:val="24"/>
              </w:rPr>
              <w:t>支持不同物理地点分开部署</w:t>
            </w:r>
          </w:p>
          <w:p>
            <w:pPr>
              <w:spacing w:line="440" w:lineRule="exact"/>
              <w:jc w:val="left"/>
              <w:rPr>
                <w:rFonts w:ascii="宋体" w:hAnsi="宋体"/>
                <w:kern w:val="0"/>
                <w:sz w:val="24"/>
                <w:szCs w:val="24"/>
              </w:rPr>
            </w:pPr>
            <w:r>
              <w:rPr>
                <w:rFonts w:hint="eastAsia" w:ascii="宋体" w:hAnsi="宋体"/>
                <w:kern w:val="0"/>
                <w:sz w:val="24"/>
                <w:szCs w:val="24"/>
              </w:rPr>
              <w:t>支持采集模块的运行状态的监测和管理。</w:t>
            </w:r>
          </w:p>
          <w:p>
            <w:pPr>
              <w:spacing w:line="440" w:lineRule="exact"/>
              <w:jc w:val="left"/>
              <w:rPr>
                <w:rFonts w:ascii="宋体" w:hAnsi="宋体"/>
                <w:kern w:val="0"/>
                <w:sz w:val="24"/>
                <w:szCs w:val="24"/>
              </w:rPr>
            </w:pPr>
            <w:r>
              <w:rPr>
                <w:rFonts w:hint="eastAsia" w:ascii="宋体" w:hAnsi="宋体"/>
                <w:kern w:val="0"/>
                <w:sz w:val="24"/>
                <w:szCs w:val="24"/>
              </w:rPr>
              <w:t>支持采集周期的灵活管理配置功能，可自定义任意采集周期。</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配置网络设备配置备份</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提供跨厂商的网络设备配置信息备份功能，定时生成快照，能对版本信息进行可视化对比</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网元模型管理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能够由管理人员进行监控的网元管理操作，具体包括：网元分组、网元基础属性修改、网元监控与取消监控、网元采集周期调整等。此功能是监控子系统的基础功能。</w:t>
            </w:r>
          </w:p>
          <w:p>
            <w:pPr>
              <w:spacing w:line="440" w:lineRule="exact"/>
              <w:jc w:val="left"/>
              <w:rPr>
                <w:rFonts w:ascii="宋体" w:hAnsi="宋体"/>
                <w:kern w:val="0"/>
                <w:sz w:val="24"/>
                <w:szCs w:val="24"/>
              </w:rPr>
            </w:pPr>
            <w:r>
              <w:rPr>
                <w:rFonts w:hint="eastAsia" w:ascii="宋体" w:hAnsi="宋体"/>
                <w:kern w:val="0"/>
                <w:sz w:val="24"/>
                <w:szCs w:val="24"/>
              </w:rPr>
              <w:t>支持可配置的运行监控建模能力，实现对新类型设备的快速二次开发。在资源类型建模的基础上建立某种类型设备的实例，将其纳入到的管理范围进行监控，以便对其进行性能分析、故障发现、告警等。</w:t>
            </w:r>
          </w:p>
          <w:p>
            <w:pPr>
              <w:spacing w:line="440" w:lineRule="exact"/>
              <w:jc w:val="left"/>
              <w:rPr>
                <w:rFonts w:ascii="宋体" w:hAnsi="宋体"/>
                <w:kern w:val="0"/>
                <w:sz w:val="24"/>
                <w:szCs w:val="24"/>
              </w:rPr>
            </w:pPr>
            <w:r>
              <w:rPr>
                <w:rFonts w:hint="eastAsia" w:ascii="宋体" w:hAnsi="宋体"/>
                <w:kern w:val="0"/>
                <w:sz w:val="24"/>
                <w:szCs w:val="24"/>
              </w:rPr>
              <w:t>能够基于</w:t>
            </w:r>
            <w:r>
              <w:rPr>
                <w:rFonts w:ascii="宋体" w:hAnsi="宋体"/>
                <w:kern w:val="0"/>
                <w:sz w:val="24"/>
                <w:szCs w:val="24"/>
              </w:rPr>
              <w:t>CMDB</w:t>
            </w:r>
            <w:r>
              <w:rPr>
                <w:rFonts w:hint="eastAsia" w:ascii="宋体" w:hAnsi="宋体"/>
                <w:kern w:val="0"/>
                <w:sz w:val="24"/>
                <w:szCs w:val="24"/>
              </w:rPr>
              <w:t>实现了灵活的资源模型，核心元素包含资源类型、资源实例、指标（性能指标、配置指标以及指标派生机制）、指标实例，同时具备完善的关系模型，通过类型、指标的组合和继承从而完整描述设备的具体情况，目前此模型完全适应网设、主机、数据库、中间件、应用系统等各种类型、厂商的设备。</w:t>
            </w:r>
          </w:p>
          <w:p>
            <w:pPr>
              <w:spacing w:line="440" w:lineRule="exact"/>
              <w:jc w:val="left"/>
              <w:rPr>
                <w:rFonts w:ascii="宋体" w:hAnsi="宋体"/>
                <w:kern w:val="0"/>
                <w:sz w:val="24"/>
                <w:szCs w:val="24"/>
              </w:rPr>
            </w:pPr>
            <w:r>
              <w:rPr>
                <w:rFonts w:hint="eastAsia" w:ascii="宋体" w:hAnsi="宋体"/>
                <w:kern w:val="0"/>
                <w:sz w:val="24"/>
                <w:szCs w:val="24"/>
              </w:rPr>
              <w:t>负责建立某种类型的设备模型，配置其包含的指标类型，配置其内部结模型，各内部组件的安装关系、影响关系等。</w:t>
            </w:r>
          </w:p>
        </w:tc>
      </w:tr>
    </w:tbl>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sectPr>
      <w:footerReference r:id="rId6" w:type="default"/>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4</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ind w:firstLine="1440" w:firstLineChars="800"/>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3">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C1E"/>
    <w:rsid w:val="00092654"/>
    <w:rsid w:val="00092E6F"/>
    <w:rsid w:val="00095AD7"/>
    <w:rsid w:val="000A0A29"/>
    <w:rsid w:val="000A1AD4"/>
    <w:rsid w:val="000A2D50"/>
    <w:rsid w:val="000A4BD2"/>
    <w:rsid w:val="000A59FB"/>
    <w:rsid w:val="000B0BA7"/>
    <w:rsid w:val="000C1AB7"/>
    <w:rsid w:val="000C3ECF"/>
    <w:rsid w:val="000C6691"/>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2512"/>
    <w:rsid w:val="0013529D"/>
    <w:rsid w:val="00135BA2"/>
    <w:rsid w:val="001428E5"/>
    <w:rsid w:val="0014431E"/>
    <w:rsid w:val="00144FA8"/>
    <w:rsid w:val="00150345"/>
    <w:rsid w:val="00153E59"/>
    <w:rsid w:val="0016399F"/>
    <w:rsid w:val="0016666E"/>
    <w:rsid w:val="0017419D"/>
    <w:rsid w:val="0017722E"/>
    <w:rsid w:val="00177FE0"/>
    <w:rsid w:val="00181001"/>
    <w:rsid w:val="00184EBD"/>
    <w:rsid w:val="00191C8D"/>
    <w:rsid w:val="00192F7A"/>
    <w:rsid w:val="001962AE"/>
    <w:rsid w:val="00197390"/>
    <w:rsid w:val="001A146A"/>
    <w:rsid w:val="001A6B24"/>
    <w:rsid w:val="001B1CBD"/>
    <w:rsid w:val="001B63CB"/>
    <w:rsid w:val="001C5344"/>
    <w:rsid w:val="001D19FF"/>
    <w:rsid w:val="001E2669"/>
    <w:rsid w:val="001E4C77"/>
    <w:rsid w:val="001F0C51"/>
    <w:rsid w:val="001F5937"/>
    <w:rsid w:val="0020264C"/>
    <w:rsid w:val="00203150"/>
    <w:rsid w:val="0020765E"/>
    <w:rsid w:val="00211040"/>
    <w:rsid w:val="00213694"/>
    <w:rsid w:val="0022255D"/>
    <w:rsid w:val="00241C90"/>
    <w:rsid w:val="00243164"/>
    <w:rsid w:val="0024436B"/>
    <w:rsid w:val="0025411A"/>
    <w:rsid w:val="00255E1C"/>
    <w:rsid w:val="00256321"/>
    <w:rsid w:val="00257254"/>
    <w:rsid w:val="00263D08"/>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28B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278DC"/>
    <w:rsid w:val="003338FC"/>
    <w:rsid w:val="00334CD9"/>
    <w:rsid w:val="00341385"/>
    <w:rsid w:val="003419CB"/>
    <w:rsid w:val="0034306A"/>
    <w:rsid w:val="00345908"/>
    <w:rsid w:val="003505F7"/>
    <w:rsid w:val="003530B6"/>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C4B45"/>
    <w:rsid w:val="003D04DC"/>
    <w:rsid w:val="003D06C0"/>
    <w:rsid w:val="003D1387"/>
    <w:rsid w:val="003D23A6"/>
    <w:rsid w:val="003D40BC"/>
    <w:rsid w:val="003E0C6E"/>
    <w:rsid w:val="003E1C0A"/>
    <w:rsid w:val="003E67C5"/>
    <w:rsid w:val="003E765A"/>
    <w:rsid w:val="004007DD"/>
    <w:rsid w:val="0040139C"/>
    <w:rsid w:val="00407EB6"/>
    <w:rsid w:val="00410EBA"/>
    <w:rsid w:val="00413D11"/>
    <w:rsid w:val="0042061B"/>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313E"/>
    <w:rsid w:val="004860E8"/>
    <w:rsid w:val="00493513"/>
    <w:rsid w:val="004A2830"/>
    <w:rsid w:val="004A499B"/>
    <w:rsid w:val="004A7CC3"/>
    <w:rsid w:val="004B3176"/>
    <w:rsid w:val="004B5632"/>
    <w:rsid w:val="004B57A0"/>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2FC5"/>
    <w:rsid w:val="00623CA6"/>
    <w:rsid w:val="00633061"/>
    <w:rsid w:val="00633B26"/>
    <w:rsid w:val="00634C2B"/>
    <w:rsid w:val="006362A7"/>
    <w:rsid w:val="006400C8"/>
    <w:rsid w:val="00642FEF"/>
    <w:rsid w:val="00645371"/>
    <w:rsid w:val="00650A3D"/>
    <w:rsid w:val="00657628"/>
    <w:rsid w:val="00657CF0"/>
    <w:rsid w:val="006645A5"/>
    <w:rsid w:val="00666F3E"/>
    <w:rsid w:val="00667726"/>
    <w:rsid w:val="00675AF9"/>
    <w:rsid w:val="0067650B"/>
    <w:rsid w:val="006778FA"/>
    <w:rsid w:val="00681B06"/>
    <w:rsid w:val="00697032"/>
    <w:rsid w:val="006A02D6"/>
    <w:rsid w:val="006A1490"/>
    <w:rsid w:val="006A16D2"/>
    <w:rsid w:val="006A398F"/>
    <w:rsid w:val="006B1AF1"/>
    <w:rsid w:val="006B6AA3"/>
    <w:rsid w:val="006B6E7C"/>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05CE"/>
    <w:rsid w:val="007B3A06"/>
    <w:rsid w:val="007B6971"/>
    <w:rsid w:val="007C140C"/>
    <w:rsid w:val="007C3E98"/>
    <w:rsid w:val="007C5331"/>
    <w:rsid w:val="007D19B2"/>
    <w:rsid w:val="007D1C1B"/>
    <w:rsid w:val="007D219C"/>
    <w:rsid w:val="007D5402"/>
    <w:rsid w:val="007D5693"/>
    <w:rsid w:val="007E3DD7"/>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77075"/>
    <w:rsid w:val="00883999"/>
    <w:rsid w:val="00884AAC"/>
    <w:rsid w:val="00886F1E"/>
    <w:rsid w:val="008874A1"/>
    <w:rsid w:val="00893501"/>
    <w:rsid w:val="008949EA"/>
    <w:rsid w:val="00895E8D"/>
    <w:rsid w:val="008A42CA"/>
    <w:rsid w:val="008A4A8C"/>
    <w:rsid w:val="008A5670"/>
    <w:rsid w:val="008A56CD"/>
    <w:rsid w:val="008A6A82"/>
    <w:rsid w:val="008B1866"/>
    <w:rsid w:val="008B361A"/>
    <w:rsid w:val="008B5471"/>
    <w:rsid w:val="008C1069"/>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B453B"/>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43C9"/>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0F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27367"/>
    <w:rsid w:val="00B5002D"/>
    <w:rsid w:val="00B531B3"/>
    <w:rsid w:val="00B539A4"/>
    <w:rsid w:val="00B54C42"/>
    <w:rsid w:val="00B54C6E"/>
    <w:rsid w:val="00B6287D"/>
    <w:rsid w:val="00B67B40"/>
    <w:rsid w:val="00B67F86"/>
    <w:rsid w:val="00B70F66"/>
    <w:rsid w:val="00B71696"/>
    <w:rsid w:val="00B73824"/>
    <w:rsid w:val="00B76BB3"/>
    <w:rsid w:val="00B77AA5"/>
    <w:rsid w:val="00B8390F"/>
    <w:rsid w:val="00B84166"/>
    <w:rsid w:val="00B9042D"/>
    <w:rsid w:val="00B93F26"/>
    <w:rsid w:val="00BA03D6"/>
    <w:rsid w:val="00BA15EB"/>
    <w:rsid w:val="00BA1823"/>
    <w:rsid w:val="00BA26B8"/>
    <w:rsid w:val="00BA326F"/>
    <w:rsid w:val="00BA4F97"/>
    <w:rsid w:val="00BA5454"/>
    <w:rsid w:val="00BA7E7D"/>
    <w:rsid w:val="00BA7FB6"/>
    <w:rsid w:val="00BB0083"/>
    <w:rsid w:val="00BB406B"/>
    <w:rsid w:val="00BB47C0"/>
    <w:rsid w:val="00BB4A1E"/>
    <w:rsid w:val="00BB74DB"/>
    <w:rsid w:val="00BC140D"/>
    <w:rsid w:val="00BC18D0"/>
    <w:rsid w:val="00BC2819"/>
    <w:rsid w:val="00BC7457"/>
    <w:rsid w:val="00BD7E8F"/>
    <w:rsid w:val="00BE0AC4"/>
    <w:rsid w:val="00BE0BF1"/>
    <w:rsid w:val="00BE5767"/>
    <w:rsid w:val="00BE6172"/>
    <w:rsid w:val="00BE78BC"/>
    <w:rsid w:val="00BF1DA1"/>
    <w:rsid w:val="00BF2D2A"/>
    <w:rsid w:val="00C0164E"/>
    <w:rsid w:val="00C11CA7"/>
    <w:rsid w:val="00C1439E"/>
    <w:rsid w:val="00C2114E"/>
    <w:rsid w:val="00C260EB"/>
    <w:rsid w:val="00C32558"/>
    <w:rsid w:val="00C3721C"/>
    <w:rsid w:val="00C400E5"/>
    <w:rsid w:val="00C4078D"/>
    <w:rsid w:val="00C46FBB"/>
    <w:rsid w:val="00C603CB"/>
    <w:rsid w:val="00C612B8"/>
    <w:rsid w:val="00C64667"/>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0D76"/>
    <w:rsid w:val="00D015DC"/>
    <w:rsid w:val="00D041E1"/>
    <w:rsid w:val="00D068BA"/>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60D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34AB"/>
    <w:rsid w:val="00DF5EFB"/>
    <w:rsid w:val="00E025DE"/>
    <w:rsid w:val="00E05EE0"/>
    <w:rsid w:val="00E13E85"/>
    <w:rsid w:val="00E16A93"/>
    <w:rsid w:val="00E17877"/>
    <w:rsid w:val="00E24DC1"/>
    <w:rsid w:val="00E2616A"/>
    <w:rsid w:val="00E2684D"/>
    <w:rsid w:val="00E26A78"/>
    <w:rsid w:val="00E350ED"/>
    <w:rsid w:val="00E35E84"/>
    <w:rsid w:val="00E410E7"/>
    <w:rsid w:val="00E439C2"/>
    <w:rsid w:val="00E50933"/>
    <w:rsid w:val="00E50E20"/>
    <w:rsid w:val="00E550E8"/>
    <w:rsid w:val="00E610DB"/>
    <w:rsid w:val="00E61CB6"/>
    <w:rsid w:val="00E63F5F"/>
    <w:rsid w:val="00E67898"/>
    <w:rsid w:val="00E7295A"/>
    <w:rsid w:val="00E76635"/>
    <w:rsid w:val="00E768F1"/>
    <w:rsid w:val="00E76D51"/>
    <w:rsid w:val="00E81027"/>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3E6"/>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97999"/>
    <w:rsid w:val="00FA488A"/>
    <w:rsid w:val="00FA6EFB"/>
    <w:rsid w:val="00FB7779"/>
    <w:rsid w:val="00FC4B99"/>
    <w:rsid w:val="00FC4CD7"/>
    <w:rsid w:val="00FD11C7"/>
    <w:rsid w:val="00FD1E6C"/>
    <w:rsid w:val="00FD289C"/>
    <w:rsid w:val="00FD2E65"/>
    <w:rsid w:val="00FD5405"/>
    <w:rsid w:val="00FD617C"/>
    <w:rsid w:val="00FD6C98"/>
    <w:rsid w:val="00FD7765"/>
    <w:rsid w:val="00FE1E29"/>
    <w:rsid w:val="00FE3169"/>
    <w:rsid w:val="00FE51F3"/>
    <w:rsid w:val="00FE64DF"/>
    <w:rsid w:val="00FF2C37"/>
    <w:rsid w:val="00FF4D63"/>
    <w:rsid w:val="00FF5DDB"/>
    <w:rsid w:val="01F174D1"/>
    <w:rsid w:val="18C101F4"/>
    <w:rsid w:val="236C7F3B"/>
    <w:rsid w:val="250F22C8"/>
    <w:rsid w:val="2A716CA8"/>
    <w:rsid w:val="2C1F6A64"/>
    <w:rsid w:val="2C2254A6"/>
    <w:rsid w:val="3C5D2176"/>
    <w:rsid w:val="45E20FAE"/>
    <w:rsid w:val="48F1315E"/>
    <w:rsid w:val="60873F03"/>
    <w:rsid w:val="67E94E37"/>
    <w:rsid w:val="6AAB6DB3"/>
    <w:rsid w:val="749E4FCA"/>
    <w:rsid w:val="767B1823"/>
    <w:rsid w:val="77636F51"/>
    <w:rsid w:val="7EB0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ED212-B652-4305-91AD-17E9EDFA6E11}">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Company>创联致信</Company>
  <Pages>14</Pages>
  <Words>1273</Words>
  <Characters>7259</Characters>
  <Lines>60</Lines>
  <Paragraphs>17</Paragraphs>
  <TotalTime>1</TotalTime>
  <ScaleCrop>false</ScaleCrop>
  <LinksUpToDate>false</LinksUpToDate>
  <CharactersWithSpaces>8515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2019-12-06T07:47:00Z</dcterms:created>
  <dc:creator>张忠强</dc:creator>
  <cp:lastModifiedBy>杨天宇</cp:lastModifiedBy>
  <cp:lastPrinted>2013-01-08T02:23:00Z</cp:lastPrinted>
  <dcterms:modified xsi:type="dcterms:W3CDTF">2020-06-02T08:00:00Z</dcterms:modified>
  <dc:title>销售合同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