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81" w:rsidRPr="00F07081" w:rsidRDefault="004055EA" w:rsidP="00F54813">
      <w:pPr>
        <w:widowControl/>
        <w:autoSpaceDE w:val="0"/>
        <w:autoSpaceDN w:val="0"/>
        <w:adjustRightInd w:val="0"/>
        <w:snapToGrid w:val="0"/>
        <w:spacing w:after="120"/>
        <w:rPr>
          <w:rFonts w:ascii="微软雅黑" w:eastAsia="微软雅黑" w:hAnsi="微软雅黑"/>
          <w:sz w:val="36"/>
          <w:szCs w:val="36"/>
          <w:lang w:eastAsia="zh-CN"/>
        </w:rPr>
      </w:pPr>
      <w:bookmarkStart w:id="0" w:name="_Toc512414643"/>
      <w:r w:rsidRPr="00F07081">
        <w:rPr>
          <w:rFonts w:ascii="微软雅黑" w:eastAsia="微软雅黑" w:hAnsi="微软雅黑" w:hint="eastAsia"/>
          <w:sz w:val="36"/>
          <w:szCs w:val="36"/>
          <w:lang w:eastAsia="zh-CN"/>
        </w:rPr>
        <w:t>设备性能参数技术偏离表</w:t>
      </w:r>
      <w:bookmarkEnd w:id="0"/>
    </w:p>
    <w:p w:rsidR="004055EA" w:rsidRPr="00F07081" w:rsidRDefault="004055EA" w:rsidP="00F07081">
      <w:pPr>
        <w:pStyle w:val="a7"/>
        <w:ind w:firstLineChars="200" w:firstLine="480"/>
        <w:rPr>
          <w:rFonts w:ascii="微软雅黑" w:eastAsia="微软雅黑" w:hAnsi="微软雅黑"/>
          <w:b/>
          <w:color w:val="000000"/>
          <w:sz w:val="24"/>
          <w:szCs w:val="24"/>
          <w:u w:val="single"/>
        </w:rPr>
      </w:pPr>
      <w:r w:rsidRPr="00F07081">
        <w:rPr>
          <w:rFonts w:ascii="微软雅黑" w:eastAsia="微软雅黑" w:hAnsi="微软雅黑" w:hint="eastAsia"/>
          <w:b/>
          <w:color w:val="000000"/>
          <w:sz w:val="24"/>
          <w:szCs w:val="24"/>
        </w:rPr>
        <w:t>投标人名称:</w:t>
      </w:r>
      <w:r w:rsidR="000D2517" w:rsidRPr="00F07081">
        <w:rPr>
          <w:rFonts w:ascii="微软雅黑" w:eastAsia="微软雅黑" w:hAnsi="微软雅黑"/>
          <w:b/>
          <w:color w:val="000000"/>
          <w:sz w:val="24"/>
          <w:szCs w:val="24"/>
        </w:rPr>
        <w:t xml:space="preserve"> </w:t>
      </w:r>
      <w:r w:rsidR="000D2517" w:rsidRPr="00F07081">
        <w:rPr>
          <w:rFonts w:ascii="微软雅黑" w:eastAsia="微软雅黑" w:hAnsi="微软雅黑"/>
          <w:b/>
          <w:color w:val="000000"/>
          <w:sz w:val="24"/>
          <w:szCs w:val="24"/>
          <w:u w:val="single"/>
        </w:rPr>
        <w:t xml:space="preserve">  </w:t>
      </w:r>
      <w:r w:rsidR="00B905AC" w:rsidRPr="00B905AC">
        <w:rPr>
          <w:rFonts w:ascii="微软雅黑" w:eastAsia="微软雅黑" w:hAnsi="微软雅黑" w:hint="eastAsia"/>
          <w:b/>
          <w:color w:val="000000"/>
          <w:sz w:val="24"/>
          <w:szCs w:val="24"/>
          <w:u w:val="single"/>
        </w:rPr>
        <w:t>北京创联致信科技有限公司</w:t>
      </w:r>
      <w:r w:rsidR="000D2517" w:rsidRPr="00F07081">
        <w:rPr>
          <w:rFonts w:ascii="微软雅黑" w:eastAsia="微软雅黑" w:hAnsi="微软雅黑"/>
          <w:b/>
          <w:color w:val="000000"/>
          <w:sz w:val="24"/>
          <w:szCs w:val="24"/>
          <w:u w:val="single"/>
        </w:rPr>
        <w:t xml:space="preserve">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581"/>
        <w:gridCol w:w="1161"/>
        <w:gridCol w:w="2631"/>
        <w:gridCol w:w="2631"/>
        <w:gridCol w:w="900"/>
        <w:gridCol w:w="656"/>
      </w:tblGrid>
      <w:tr w:rsidR="004055EA" w:rsidRPr="000D2517" w:rsidTr="00F54813">
        <w:trPr>
          <w:trHeight w:val="521"/>
          <w:jc w:val="center"/>
        </w:trPr>
        <w:tc>
          <w:tcPr>
            <w:tcW w:w="253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2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644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459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具体功能要求</w:t>
            </w:r>
          </w:p>
        </w:tc>
        <w:tc>
          <w:tcPr>
            <w:tcW w:w="1459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投标规格</w:t>
            </w:r>
          </w:p>
        </w:tc>
        <w:tc>
          <w:tcPr>
            <w:tcW w:w="499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偏离</w:t>
            </w:r>
          </w:p>
        </w:tc>
        <w:tc>
          <w:tcPr>
            <w:tcW w:w="364" w:type="pct"/>
            <w:vAlign w:val="center"/>
          </w:tcPr>
          <w:p w:rsidR="004055EA" w:rsidRPr="00F07081" w:rsidRDefault="004055EA" w:rsidP="00E927D4">
            <w:pPr>
              <w:pStyle w:val="a7"/>
              <w:jc w:val="center"/>
              <w:rPr>
                <w:rFonts w:ascii="微软雅黑" w:eastAsia="微软雅黑" w:hAnsi="微软雅黑"/>
                <w:b/>
                <w:color w:val="000000"/>
                <w:sz w:val="24"/>
                <w:szCs w:val="24"/>
              </w:rPr>
            </w:pPr>
            <w:r w:rsidRPr="00F07081">
              <w:rPr>
                <w:rFonts w:ascii="微软雅黑" w:eastAsia="微软雅黑" w:hAnsi="微软雅黑" w:hint="eastAsia"/>
                <w:b/>
                <w:color w:val="000000"/>
                <w:sz w:val="24"/>
                <w:szCs w:val="24"/>
              </w:rPr>
              <w:t>说明</w:t>
            </w:r>
          </w:p>
        </w:tc>
      </w:tr>
      <w:tr w:rsidR="0049018F" w:rsidRPr="000D2517" w:rsidTr="00F54813">
        <w:trPr>
          <w:trHeight w:val="521"/>
          <w:jc w:val="center"/>
        </w:trPr>
        <w:tc>
          <w:tcPr>
            <w:tcW w:w="253" w:type="pct"/>
            <w:vMerge w:val="restar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1</w:t>
            </w:r>
          </w:p>
        </w:tc>
        <w:tc>
          <w:tcPr>
            <w:tcW w:w="322" w:type="pct"/>
            <w:vMerge w:val="restar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bCs/>
                <w:szCs w:val="21"/>
              </w:rPr>
              <w:t>安定门接入交换机</w:t>
            </w:r>
          </w:p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接口类型</w:t>
            </w:r>
          </w:p>
        </w:tc>
        <w:tc>
          <w:tcPr>
            <w:tcW w:w="1459" w:type="pc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≥48个10/100/1000Base-T接口，支持PoE+，≥4个1/10G SFP+接口；</w:t>
            </w:r>
          </w:p>
        </w:tc>
        <w:tc>
          <w:tcPr>
            <w:tcW w:w="1459" w:type="pc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≥48个10/100/1000Base-T接口，支持PoE+，≥4个1/10G SFP+接口；</w:t>
            </w:r>
          </w:p>
        </w:tc>
        <w:tc>
          <w:tcPr>
            <w:tcW w:w="499" w:type="pc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49018F" w:rsidRPr="000D2517" w:rsidRDefault="0049018F" w:rsidP="00E927D4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VLAN特性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支持基于端口的VLAN，支持基于协议的VLAN；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支持基于端口的VLAN，支持基于协议的VLAN；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支持基于MAC的VLAN；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支持基于MAC的VLAN；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最大VLAN数(不是VLAN ID)&gt;=4094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最大VLAN数(不是VLAN ID)&gt;=4094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链路聚合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支持最多8个端口聚合；支持最多128个聚合组（IRF2）；支持LACP</w:t>
            </w:r>
          </w:p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支持最多8个端口聚合；支持最多128个聚合组（IRF2）；支持LACP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路由协议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支持IPv4静态路由、RIP V1/V2、OSPF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支持IPv4静态路由、RIP V1/V2、OSPF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支持IPv6静态路由、RIPng、OSPFv3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支持IPv6静态路由、RIPng、OSPFv3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支持IPv6手动隧道、6to4隧道和ISATAP隧道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支持IPv6手动隧道、6to4隧道和ISATAP隧道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管理和维护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支持SNMP V1/V2/V3、RMON、SSHV2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支持SNMP V1/V2/V3、RMON、SSHV2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支持OAM(802.1AG， 802.3AH)以太网运行、维护和管理标准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支持OAM(802.1AG， 802.3AH)以太网运行、维护和管理标准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配置双电源，配置千兆多模光模块2个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配置双电源，配置千兆多模光模块2个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2</w:t>
            </w:r>
          </w:p>
        </w:tc>
        <w:tc>
          <w:tcPr>
            <w:tcW w:w="322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bCs/>
                <w:szCs w:val="21"/>
              </w:rPr>
              <w:t>安定门POE交换机</w:t>
            </w: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接口类型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≥48个10/100/1000Base-T接口，支持PoE+，≥4个1/10G SFP+接口；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≥48个10/100/1000Base-T接口，支持PoE+，≥4个1/10G SFP+接口；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VLAN特性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支持基于端口的VLAN，支持基于协议的VLAN；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支持基于端口的VLAN，支持基于协议的VLAN；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支持基于MAC的VLAN；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支持基于MAC的VLAN；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1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最大VLAN数(不是VLAN ID)&gt;=4094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最大VLAN数(不是VLAN ID)&gt;=4094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链路聚合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支持最多8个端口聚合；支持最多128个聚合组（IRF2）；支持LACP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支持最多8个端口聚合；支持最多128个聚合组（IRF2）；支持LACP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路由协议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支持IPv4静态路由、RIP V1/V2、OSPF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支持IPv4静态路由、RIP V1/V2、OSPF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支持IPv6静态路由、RIPng、OSPFv3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支持IPv6静态路由、RIPng、OSPFv3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支持IPv6手动隧道、6to4隧道和ISATAP隧道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支持IPv6手动隧道、6to4隧道和ISATAP隧道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管理和维护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支持SNMP V1/V2/V3、RMON、SSHV2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支持SNMP V1/V2/V3、RMON、SSHV2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支持OAM(802.1AG， 802.3AH)以太网运行、维护和管理标准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支持OAM(802.1AG， 802.3AH)以太网运行、维护和管理标准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配置要求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配置双电源，配置千兆多模光模块2个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配置双电源，配置千兆多模光模块2个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4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3</w:t>
            </w:r>
          </w:p>
        </w:tc>
        <w:tc>
          <w:tcPr>
            <w:tcW w:w="322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bCs/>
                <w:color w:val="000000"/>
                <w:szCs w:val="21"/>
              </w:rPr>
              <w:t>安定门无线控</w:t>
            </w:r>
            <w:r w:rsidRPr="000D2517">
              <w:rPr>
                <w:rFonts w:hAnsi="宋体" w:cs="宋体" w:hint="eastAsia"/>
                <w:bCs/>
                <w:color w:val="000000"/>
                <w:szCs w:val="21"/>
              </w:rPr>
              <w:lastRenderedPageBreak/>
              <w:t>制器</w:t>
            </w: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lastRenderedPageBreak/>
              <w:t>功能类别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技术要求及指标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技术要求及指标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管理AP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≥256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≥256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最大接入用户数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≥10K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≥10K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接口类型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千兆口≥4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千兆口≥4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无线定位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定位精度2米以内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定位精度2米以内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参与定位的AP支持跨信道部署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参与定位的AP支持跨信道部署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虚拟化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对外呈现一个IP地址，简化网络拓扑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对外呈现一个IP地址，简化网络拓扑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对外统一管理界面，简化运维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对外统一管理界面，简化运维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AC支持热备，支持ms级切换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AC支持热备，支持ms级切换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License池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虚拟化之后的虚拟AC的License能力是多台物理AC License能力之和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虚拟化之后的虚拟AC的License能力是多台物理AC License能力之和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AC支持热备，备份功能无需License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AC支持热备，备份功能无需License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数据转发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本地转发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本地转发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集中转发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集中转发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混合转发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混合转发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无线漫游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同一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AC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内漫游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同一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AC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内漫游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不同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AC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间漫游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不同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AC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间漫游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认证类型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PSK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、开放式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+web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认证、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PSK+web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认证、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WPA(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企业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)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PSK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、开放式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+web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认证、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PSK+web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认证、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WPA(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企业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)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访问控制策略（</w:t>
            </w:r>
            <w:r w:rsidRPr="000D2517">
              <w:rPr>
                <w:rFonts w:hAnsi="宋体"/>
                <w:color w:val="000000"/>
                <w:szCs w:val="21"/>
              </w:rPr>
              <w:t>ACL</w:t>
            </w:r>
            <w:r w:rsidRPr="000D2517">
              <w:rPr>
                <w:rFonts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应用识别与控制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应用识别与控制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URL</w:t>
            </w:r>
            <w:r w:rsidRPr="000D251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识别与控制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URL</w:t>
            </w:r>
            <w:r w:rsidRPr="000D2517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识别与控制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智能终端类型识别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智能终端类型识别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本地转发应用识别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/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控制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本地转发应用识别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/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控制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/>
                <w:color w:val="000000"/>
                <w:szCs w:val="21"/>
              </w:rPr>
              <w:t>QoS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外网、内网带宽管理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外网、内网带宽管理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根据不同因素分配带宽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根据不同因素分配带宽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内网无线空口管理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内网无线空口管理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802.11e/WMM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802.11e/WMM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端到端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QoS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服务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端到端</w:t>
            </w:r>
            <w:r w:rsidRPr="000D2517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QoS</w:t>
            </w: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网络应用缓存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应用和文件缓存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应用和文件缓存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智能清理满溢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智能清理满溢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配置要求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配置AP授权≥33，配置双电源；备份设备无需License；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配置AP授权≥33，配置双电源；备份设备无需License；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管理要求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支持与现有无线环境规划保持统一的运维售后管理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支持与现有无线环境规划保持统一的运维售后管理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2</w:t>
            </w:r>
          </w:p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4</w:t>
            </w:r>
          </w:p>
        </w:tc>
        <w:tc>
          <w:tcPr>
            <w:tcW w:w="322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szCs w:val="21"/>
              </w:rPr>
              <w:t>安定门高密AP</w:t>
            </w: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工作模式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Wave2协议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Wave2协议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协议支持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功耗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★最大连接数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单频≥128，支持测试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单频≥128，支持测试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QoS策略映射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支持不同SSID/VLAN映射不同的QoS策略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支持不同SSID/VLAN映射不同的QoS策略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用户数负载均衡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流量负载均衡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智能带宽</w:t>
            </w:r>
            <w:r w:rsidRPr="000D2517">
              <w:rPr>
                <w:rFonts w:hAnsi="宋体" w:cs="宋体" w:hint="eastAsia"/>
                <w:color w:val="000000"/>
                <w:szCs w:val="21"/>
              </w:rPr>
              <w:lastRenderedPageBreak/>
              <w:t>限速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1、基于带宽均分算法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1、基于带宽均分算法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频谱导航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组播转单播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AeroScout定位认证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管理要求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支持与现有无线环境规划保持统一的运维售后管理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支持与现有无线环境规划保持统一的运维售后管理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5</w:t>
            </w:r>
          </w:p>
        </w:tc>
        <w:tc>
          <w:tcPr>
            <w:tcW w:w="322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bCs/>
                <w:color w:val="000000"/>
                <w:szCs w:val="21"/>
              </w:rPr>
              <w:t>安定门吸顶AP</w:t>
            </w: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工作模式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协议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协议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协议支持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功耗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★最大连接数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单频≥96，支持测试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单频≥96，支持测试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QoS策略映射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支持不同SSID/VLAN映射不同的QoS策略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支持不同SSID/VLAN映射不同的QoS策略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用户数负载均衡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流量负载均衡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智能带宽限速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1、基于带宽均分算法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1、基于带宽均分算法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频谱导航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组播转单播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定位认证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管理要求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支持与现有无线环境规划保持统一的运维售后管理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支持与现有无线环境规划保持统一的运维售后管理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hint="eastAsia"/>
                <w:color w:val="000000"/>
                <w:szCs w:val="21"/>
              </w:rPr>
              <w:t>6</w:t>
            </w:r>
          </w:p>
        </w:tc>
        <w:tc>
          <w:tcPr>
            <w:tcW w:w="322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szCs w:val="21"/>
              </w:rPr>
              <w:t>安定门面板AP</w:t>
            </w: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工作模式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协议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支持802.11ac 协议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协议支持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802.11a/n/ac : 5.725GHz-5.850GHz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802.11b/g/n : 2.4GHz-2.483GHz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接口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≥2个10/100/1000Mbps(RJ45)，PoE供电。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内置天线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功耗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整机最大功耗小于18W(所有空间流满速率工作)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★最大连接数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单频≥32，支持测试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单频≥32，支持测试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QoS策略映射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支持不同SSID/VLAN映射不同的QoS策略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支持不同SSID/VLAN映射不同的QoS策略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用户数负载均衡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流量负载均衡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 w:val="restar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智能带宽限速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1、基于带宽均分算法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1、基于带宽均分算法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2、基于每用户指定带宽的算法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 w:cs="宋体"/>
                <w:color w:val="000000"/>
                <w:szCs w:val="21"/>
              </w:rPr>
            </w:pPr>
            <w:r w:rsidRPr="000D2517">
              <w:rPr>
                <w:rFonts w:hAnsi="宋体" w:cs="宋体" w:hint="eastAsia"/>
                <w:color w:val="000000"/>
                <w:szCs w:val="21"/>
              </w:rPr>
              <w:t>3、在流量未拥塞时，确保不同优先级SSID下的报文都可以自由通过；在流量拥塞时，确保每个SSID可以保持各自约定的最小带宽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频谱导航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组播转单播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定位认证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管理要求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支持与现有无线环境规划保持统一的运维售后管理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支持与现有无线环境规划保持统一的运维售后管理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0D2517" w:rsidRPr="000D2517" w:rsidTr="00F54813">
        <w:trPr>
          <w:trHeight w:val="522"/>
          <w:jc w:val="center"/>
        </w:trPr>
        <w:tc>
          <w:tcPr>
            <w:tcW w:w="253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22" w:type="pct"/>
            <w:vMerge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59" w:type="pct"/>
            <w:vAlign w:val="center"/>
          </w:tcPr>
          <w:p w:rsidR="000D2517" w:rsidRPr="000D2517" w:rsidRDefault="000D2517" w:rsidP="000D25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0D2517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499" w:type="pct"/>
            <w:vAlign w:val="center"/>
          </w:tcPr>
          <w:p w:rsidR="000D2517" w:rsidRDefault="000D2517" w:rsidP="000D2517">
            <w:r w:rsidRPr="00F235FF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0D2517" w:rsidRPr="000D2517" w:rsidRDefault="000D2517" w:rsidP="000D2517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超六类网线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APCX-A050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1.超六类纯铜双绞线工程专用 2.超六类4对双绞0.5铜芯／305米四对纯铜质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1.超六类纯铜双绞线工程专用 2.超六类4对双绞0.5铜芯／305米四对纯铜质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超六类水晶头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AMP-RJ45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1.超六类cat6依据国标标准IOS/IEC11801.TIA/EIA568 2.支持各种以太网.千兆以太网.百兆以太网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1.超六类cat6依据国标标准IOS/IEC11801.TIA/EIA568 2.支持各种以太网.千兆以太网.百兆以太网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光缆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 TW24芯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电信级GYTA/S工程室外光缆24芯单模铠装光缆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电信级GYTA/S工程室外光缆24芯单模铠装光缆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PVC线槽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20*30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1.纯白色新料 20*30加厚pvc线槽 明装方线槽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1.纯白色新料 20*30加厚pvc线槽 明装方线槽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PVC线槽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100*100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1.纯白色新料 100*100加厚pvc线槽 明装方线槽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1.纯白色新料 100*100加厚pvc线槽 明装方线槽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室外三角架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23*40mm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室外三角固定支臂藏青色L30加厚防火支臂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室外三角固定支臂藏青色L30加厚防火支臂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光纤终端盒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24口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24口光纤盒支持SC ST FC LC单模光纤终端盒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24口光纤盒支持SC ST FC LC单模光纤终端盒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标签色带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12mm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标签色带用于网线线标使用规格：12mm防水标签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标签色带用于网线线标使用规格：12mm防水标签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机柜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W6518U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黑色加厚版600*1000*450</w:t>
            </w:r>
          </w:p>
        </w:tc>
        <w:tc>
          <w:tcPr>
            <w:tcW w:w="1459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黑色加厚版600*1000*450</w:t>
            </w: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明装盒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辅料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:rsidR="00F07081" w:rsidRPr="000D2517" w:rsidTr="00F54813">
        <w:trPr>
          <w:trHeight w:val="522"/>
          <w:jc w:val="center"/>
        </w:trPr>
        <w:tc>
          <w:tcPr>
            <w:tcW w:w="253" w:type="pct"/>
            <w:vAlign w:val="center"/>
          </w:tcPr>
          <w:p w:rsidR="00F07081" w:rsidRPr="00F07081" w:rsidRDefault="00F07081" w:rsidP="00F07081">
            <w:pPr>
              <w:pStyle w:val="a7"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  <w:r w:rsidRPr="00F07081">
              <w:rPr>
                <w:rFonts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2" w:type="pct"/>
            <w:vAlign w:val="center"/>
          </w:tcPr>
          <w:p w:rsidR="00F07081" w:rsidRPr="00F07081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施工</w:t>
            </w:r>
          </w:p>
        </w:tc>
        <w:tc>
          <w:tcPr>
            <w:tcW w:w="644" w:type="pct"/>
            <w:vAlign w:val="center"/>
          </w:tcPr>
          <w:p w:rsidR="00F07081" w:rsidRPr="00F07081" w:rsidRDefault="00F07081" w:rsidP="00F0708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 w:rsidRPr="00F07081"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59" w:type="pct"/>
            <w:vAlign w:val="center"/>
          </w:tcPr>
          <w:p w:rsidR="00F07081" w:rsidRPr="000D2517" w:rsidRDefault="00F07081" w:rsidP="00F07081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99" w:type="pct"/>
            <w:vAlign w:val="center"/>
          </w:tcPr>
          <w:p w:rsidR="00F07081" w:rsidRDefault="00F07081" w:rsidP="00F07081">
            <w:r w:rsidRPr="00BD126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无偏离</w:t>
            </w:r>
          </w:p>
        </w:tc>
        <w:tc>
          <w:tcPr>
            <w:tcW w:w="364" w:type="pct"/>
            <w:vAlign w:val="center"/>
          </w:tcPr>
          <w:p w:rsidR="00F07081" w:rsidRPr="000D2517" w:rsidRDefault="00F07081" w:rsidP="00F07081">
            <w:pPr>
              <w:pStyle w:val="a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</w:tbl>
    <w:p w:rsidR="00966B1D" w:rsidRPr="00E927D4" w:rsidRDefault="00966B1D" w:rsidP="00F07081">
      <w:pPr>
        <w:pStyle w:val="a7"/>
        <w:rPr>
          <w:rFonts w:hAnsi="宋体"/>
          <w:color w:val="000000"/>
          <w:sz w:val="22"/>
        </w:rPr>
      </w:pPr>
    </w:p>
    <w:p w:rsidR="004055EA" w:rsidRPr="00F07081" w:rsidRDefault="004055EA" w:rsidP="000D2517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F07081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投标人法定代表人或授权代表(签字)：</w:t>
      </w:r>
    </w:p>
    <w:p w:rsidR="004055EA" w:rsidRPr="00F07081" w:rsidRDefault="004055EA" w:rsidP="000D2517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F07081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投标人名称(公章):</w:t>
      </w:r>
      <w:r w:rsidR="00B905AC" w:rsidRPr="00B905AC">
        <w:rPr>
          <w:rFonts w:hint="eastAsia"/>
        </w:rPr>
        <w:t xml:space="preserve"> </w:t>
      </w:r>
      <w:r w:rsidR="00B905AC" w:rsidRPr="00B905AC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北京创联致信科技有限公司</w:t>
      </w:r>
    </w:p>
    <w:p w:rsidR="004055EA" w:rsidRPr="00F07081" w:rsidRDefault="004055EA" w:rsidP="000D2517">
      <w:pPr>
        <w:autoSpaceDE w:val="0"/>
        <w:autoSpaceDN w:val="0"/>
        <w:adjustRightInd w:val="0"/>
        <w:ind w:left="420"/>
        <w:rPr>
          <w:rFonts w:ascii="微软雅黑" w:eastAsia="微软雅黑" w:hAnsi="微软雅黑"/>
          <w:color w:val="000000"/>
          <w:sz w:val="24"/>
          <w:szCs w:val="24"/>
          <w:lang w:eastAsia="zh-CN"/>
        </w:rPr>
      </w:pPr>
      <w:r w:rsidRPr="00F07081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日期：</w:t>
      </w:r>
      <w:r w:rsidR="00B905AC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2</w:t>
      </w:r>
      <w:r w:rsidR="00B905AC">
        <w:rPr>
          <w:rFonts w:ascii="微软雅黑" w:eastAsia="微软雅黑" w:hAnsi="微软雅黑"/>
          <w:color w:val="000000"/>
          <w:sz w:val="24"/>
          <w:szCs w:val="24"/>
          <w:lang w:eastAsia="zh-CN"/>
        </w:rPr>
        <w:t>020</w:t>
      </w:r>
      <w:r w:rsidR="00B905AC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年4月1</w:t>
      </w:r>
      <w:r w:rsidR="00B905AC">
        <w:rPr>
          <w:rFonts w:ascii="微软雅黑" w:eastAsia="微软雅黑" w:hAnsi="微软雅黑"/>
          <w:color w:val="000000"/>
          <w:sz w:val="24"/>
          <w:szCs w:val="24"/>
          <w:lang w:eastAsia="zh-CN"/>
        </w:rPr>
        <w:t>3</w:t>
      </w:r>
      <w:r w:rsidR="00B905AC">
        <w:rPr>
          <w:rFonts w:ascii="微软雅黑" w:eastAsia="微软雅黑" w:hAnsi="微软雅黑" w:hint="eastAsia"/>
          <w:color w:val="000000"/>
          <w:sz w:val="24"/>
          <w:szCs w:val="24"/>
          <w:lang w:eastAsia="zh-CN"/>
        </w:rPr>
        <w:t>日</w:t>
      </w:r>
      <w:bookmarkStart w:id="1" w:name="_GoBack"/>
      <w:bookmarkEnd w:id="1"/>
    </w:p>
    <w:sectPr w:rsidR="004055EA" w:rsidRPr="00F07081" w:rsidSect="00F5481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97" w:right="1440" w:bottom="1797" w:left="1440" w:header="902" w:footer="30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AE" w:rsidRDefault="001B0FAE" w:rsidP="004055EA">
      <w:r>
        <w:separator/>
      </w:r>
    </w:p>
  </w:endnote>
  <w:endnote w:type="continuationSeparator" w:id="0">
    <w:p w:rsidR="001B0FAE" w:rsidRDefault="001B0FAE" w:rsidP="0040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Hei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B1D" w:rsidRDefault="001B0FAE" w:rsidP="00966B1D">
    <w:pPr>
      <w:pStyle w:val="a5"/>
      <w:jc w:val="center"/>
    </w:pPr>
    <w:sdt>
      <w:sdtPr>
        <w:id w:val="4040741"/>
        <w:docPartObj>
          <w:docPartGallery w:val="Page Numbers (Bottom of Page)"/>
          <w:docPartUnique/>
        </w:docPartObj>
      </w:sdtPr>
      <w:sdtEndPr/>
      <w:sdtContent>
        <w:sdt>
          <w:sdtPr>
            <w:id w:val="4040742"/>
            <w:docPartObj>
              <w:docPartGallery w:val="Page Numbers (Top of Page)"/>
              <w:docPartUnique/>
            </w:docPartObj>
          </w:sdtPr>
          <w:sdtEndPr/>
          <w:sdtContent>
            <w:r w:rsidR="00DD20C3">
              <w:rPr>
                <w:lang w:val="zh-CN" w:eastAsia="zh-CN"/>
              </w:rPr>
              <w:t xml:space="preserve"> </w:t>
            </w:r>
            <w:r w:rsidR="00DD20C3">
              <w:rPr>
                <w:b/>
                <w:bCs/>
                <w:sz w:val="24"/>
                <w:szCs w:val="24"/>
              </w:rPr>
              <w:fldChar w:fldCharType="begin"/>
            </w:r>
            <w:r w:rsidR="00DD20C3">
              <w:rPr>
                <w:b/>
                <w:bCs/>
              </w:rPr>
              <w:instrText>PAGE</w:instrText>
            </w:r>
            <w:r w:rsidR="00DD20C3">
              <w:rPr>
                <w:b/>
                <w:bCs/>
                <w:sz w:val="24"/>
                <w:szCs w:val="24"/>
              </w:rPr>
              <w:fldChar w:fldCharType="separate"/>
            </w:r>
            <w:r w:rsidR="00F54813">
              <w:rPr>
                <w:b/>
                <w:bCs/>
                <w:noProof/>
              </w:rPr>
              <w:t>8</w:t>
            </w:r>
            <w:r w:rsidR="00DD20C3">
              <w:rPr>
                <w:b/>
                <w:bCs/>
                <w:sz w:val="24"/>
                <w:szCs w:val="24"/>
              </w:rPr>
              <w:fldChar w:fldCharType="end"/>
            </w:r>
            <w:r w:rsidR="00DD20C3">
              <w:rPr>
                <w:lang w:val="zh-CN" w:eastAsia="zh-CN"/>
              </w:rPr>
              <w:t xml:space="preserve"> / </w:t>
            </w:r>
            <w:r w:rsidR="00DD20C3">
              <w:rPr>
                <w:b/>
                <w:bCs/>
                <w:sz w:val="24"/>
                <w:szCs w:val="24"/>
              </w:rPr>
              <w:fldChar w:fldCharType="begin"/>
            </w:r>
            <w:r w:rsidR="00DD20C3">
              <w:rPr>
                <w:b/>
                <w:bCs/>
              </w:rPr>
              <w:instrText>NUMPAGES</w:instrText>
            </w:r>
            <w:r w:rsidR="00DD20C3">
              <w:rPr>
                <w:b/>
                <w:bCs/>
                <w:sz w:val="24"/>
                <w:szCs w:val="24"/>
              </w:rPr>
              <w:fldChar w:fldCharType="separate"/>
            </w:r>
            <w:r w:rsidR="00F54813">
              <w:rPr>
                <w:b/>
                <w:bCs/>
                <w:noProof/>
              </w:rPr>
              <w:t>8</w:t>
            </w:r>
            <w:r w:rsidR="00DD20C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66B1D" w:rsidRDefault="00966B1D" w:rsidP="00966B1D">
    <w:pPr>
      <w:rPr>
        <w:rFonts w:eastAsia="MS Hei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0743"/>
      <w:docPartObj>
        <w:docPartGallery w:val="Page Numbers (Bottom of Page)"/>
        <w:docPartUnique/>
      </w:docPartObj>
    </w:sdtPr>
    <w:sdtEndPr/>
    <w:sdtContent>
      <w:p w:rsidR="00966B1D" w:rsidRDefault="00DD20C3" w:rsidP="00966B1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813" w:rsidRPr="00F5481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AE" w:rsidRDefault="001B0FAE" w:rsidP="004055EA">
      <w:r>
        <w:separator/>
      </w:r>
    </w:p>
  </w:footnote>
  <w:footnote w:type="continuationSeparator" w:id="0">
    <w:p w:rsidR="001B0FAE" w:rsidRDefault="001B0FAE" w:rsidP="0040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B1D" w:rsidRDefault="00966B1D">
    <w:pPr>
      <w:pStyle w:val="a3"/>
      <w:tabs>
        <w:tab w:val="clear" w:pos="4153"/>
        <w:tab w:val="clear" w:pos="8306"/>
      </w:tabs>
      <w:ind w:firstLine="84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B1D" w:rsidRDefault="00966B1D" w:rsidP="00966B1D">
    <w:pPr>
      <w:pStyle w:val="a3"/>
      <w:tabs>
        <w:tab w:val="clear" w:pos="4153"/>
        <w:tab w:val="clear" w:pos="8306"/>
      </w:tabs>
      <w:ind w:firstLine="81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82"/>
    <w:rsid w:val="000B626A"/>
    <w:rsid w:val="000D2517"/>
    <w:rsid w:val="000F780B"/>
    <w:rsid w:val="001B0FAE"/>
    <w:rsid w:val="0024120B"/>
    <w:rsid w:val="00294087"/>
    <w:rsid w:val="002A6F01"/>
    <w:rsid w:val="004055EA"/>
    <w:rsid w:val="0043594C"/>
    <w:rsid w:val="0049018F"/>
    <w:rsid w:val="004C1451"/>
    <w:rsid w:val="006B5022"/>
    <w:rsid w:val="00710BB5"/>
    <w:rsid w:val="00840782"/>
    <w:rsid w:val="00966B1D"/>
    <w:rsid w:val="009A197E"/>
    <w:rsid w:val="00B074E6"/>
    <w:rsid w:val="00B905AC"/>
    <w:rsid w:val="00B9648B"/>
    <w:rsid w:val="00DD20C3"/>
    <w:rsid w:val="00E927D4"/>
    <w:rsid w:val="00EC09CB"/>
    <w:rsid w:val="00F07081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C0A1"/>
  <w15:chartTrackingRefBased/>
  <w15:docId w15:val="{D9CC180D-C640-4EEC-9CFB-3E63B088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EA"/>
    <w:pPr>
      <w:widowControl w:val="0"/>
    </w:pPr>
    <w:rPr>
      <w:rFonts w:ascii="MetaPlusNormalRoman" w:eastAsia="MS Song" w:hAnsi="MetaPlusNormalRoman" w:cs="Times New Roman"/>
      <w:kern w:val="0"/>
      <w:sz w:val="22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5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5EA"/>
    <w:rPr>
      <w:sz w:val="18"/>
      <w:szCs w:val="18"/>
    </w:rPr>
  </w:style>
  <w:style w:type="paragraph" w:styleId="a7">
    <w:name w:val="Plain Text"/>
    <w:aliases w:val="普通文字 Char,孙普文字,普通文字1,普通文字2,普通文字3,普通文字4,普通文字5,普通文字6,普通文字11,普通文字21,普通文字31,普通文字41,普通文字7,普通文字,正 文 1,小,纯文本 Char Char Char,纯文本 Char Char,纯文本 Char1 Char Char,纯文本 Char Char Char Char,纯文本 Char Char1,纯文本 Char1 Char,普通文字 Char Char Char Char Char,普通,纯文本 Char2"/>
    <w:basedOn w:val="a"/>
    <w:link w:val="a8"/>
    <w:rsid w:val="004055EA"/>
    <w:pPr>
      <w:jc w:val="both"/>
    </w:pPr>
    <w:rPr>
      <w:rFonts w:ascii="宋体" w:eastAsia="宋体" w:hAnsi="Courier New"/>
      <w:kern w:val="2"/>
      <w:sz w:val="21"/>
      <w:lang w:eastAsia="zh-CN"/>
    </w:rPr>
  </w:style>
  <w:style w:type="character" w:customStyle="1" w:styleId="a8">
    <w:name w:val="纯文本 字符"/>
    <w:aliases w:val="普通文字 Char 字符,孙普文字 字符,普通文字1 字符,普通文字2 字符,普通文字3 字符,普通文字4 字符,普通文字5 字符,普通文字6 字符,普通文字11 字符,普通文字21 字符,普通文字31 字符,普通文字41 字符,普通文字7 字符,普通文字 字符,正 文 1 字符,小 字符,纯文本 Char Char Char 字符,纯文本 Char Char 字符,纯文本 Char1 Char Char 字符,纯文本 Char Char Char Char 字符,普通 字符"/>
    <w:basedOn w:val="a0"/>
    <w:link w:val="a7"/>
    <w:rsid w:val="004055E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5EF3-D7A7-46E2-93B6-94593B7B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914</Words>
  <Characters>5215</Characters>
  <Application>Microsoft Office Word</Application>
  <DocSecurity>0</DocSecurity>
  <Lines>43</Lines>
  <Paragraphs>12</Paragraphs>
  <ScaleCrop>false</ScaleCrop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奇智</dc:creator>
  <cp:keywords/>
  <dc:description/>
  <cp:lastModifiedBy>GUOHUAYU</cp:lastModifiedBy>
  <cp:revision>3</cp:revision>
  <dcterms:created xsi:type="dcterms:W3CDTF">2020-04-09T08:18:00Z</dcterms:created>
  <dcterms:modified xsi:type="dcterms:W3CDTF">2020-04-11T06:24:00Z</dcterms:modified>
</cp:coreProperties>
</file>