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none"/>
        </w:rPr>
        <w:t>企业混合云运维管理平台技术服务项目</w:t>
      </w:r>
    </w:p>
    <w:p>
      <w:pPr>
        <w:spacing w:line="48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none"/>
          <w:lang w:val="en-US" w:eastAsia="zh-CN"/>
        </w:rPr>
        <w:t>之补充协议</w:t>
      </w:r>
    </w:p>
    <w:p>
      <w:pPr>
        <w:spacing w:line="560" w:lineRule="atLeast"/>
        <w:rPr>
          <w:rFonts w:hint="eastAsia" w:ascii="仿宋" w:hAnsi="仿宋" w:eastAsia="仿宋" w:cs="仿宋"/>
          <w:b/>
          <w:bCs/>
          <w:sz w:val="24"/>
          <w:szCs w:val="20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0"/>
          <w:highlight w:val="none"/>
        </w:rPr>
        <w:t>委托方（甲方）：</w:t>
      </w:r>
      <w:r>
        <w:rPr>
          <w:rFonts w:hint="eastAsia" w:ascii="仿宋" w:hAnsi="仿宋" w:eastAsia="仿宋" w:cs="仿宋"/>
          <w:b/>
          <w:bCs/>
          <w:sz w:val="24"/>
          <w:szCs w:val="20"/>
          <w:highlight w:val="none"/>
          <w:u w:val="single"/>
        </w:rPr>
        <w:t>凯美瑞德（苏州）信息科技股份有限公司</w:t>
      </w:r>
      <w:r>
        <w:rPr>
          <w:rFonts w:hint="eastAsia" w:ascii="仿宋" w:hAnsi="仿宋" w:eastAsia="仿宋" w:cs="仿宋"/>
          <w:b/>
          <w:bCs/>
          <w:sz w:val="24"/>
          <w:szCs w:val="20"/>
          <w:highlight w:val="none"/>
        </w:rPr>
        <w:t xml:space="preserve">  </w:t>
      </w:r>
    </w:p>
    <w:p>
      <w:pPr>
        <w:spacing w:line="560" w:lineRule="atLeast"/>
        <w:rPr>
          <w:rFonts w:hint="eastAsia" w:ascii="仿宋" w:hAnsi="仿宋" w:eastAsia="仿宋" w:cs="仿宋"/>
          <w:sz w:val="24"/>
          <w:szCs w:val="2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0"/>
          <w:highlight w:val="none"/>
        </w:rPr>
        <w:t>法定代表人：</w:t>
      </w:r>
      <w:r>
        <w:rPr>
          <w:rFonts w:hint="eastAsia" w:ascii="仿宋" w:hAnsi="仿宋" w:eastAsia="仿宋" w:cs="仿宋"/>
          <w:sz w:val="24"/>
          <w:szCs w:val="20"/>
          <w:highlight w:val="none"/>
          <w:lang w:val="en-US" w:eastAsia="zh-CN"/>
        </w:rPr>
        <w:t>董昆林</w:t>
      </w:r>
    </w:p>
    <w:p>
      <w:pPr>
        <w:spacing w:line="560" w:lineRule="atLeast"/>
        <w:rPr>
          <w:rFonts w:hint="eastAsia" w:ascii="仿宋" w:hAnsi="仿宋" w:eastAsia="仿宋" w:cs="仿宋"/>
          <w:sz w:val="24"/>
          <w:szCs w:val="20"/>
          <w:highlight w:val="none"/>
        </w:rPr>
      </w:pPr>
    </w:p>
    <w:p>
      <w:pPr>
        <w:spacing w:line="560" w:lineRule="atLeast"/>
        <w:rPr>
          <w:rFonts w:hint="eastAsia" w:ascii="仿宋" w:hAnsi="仿宋" w:eastAsia="仿宋" w:cs="仿宋"/>
          <w:sz w:val="24"/>
          <w:szCs w:val="20"/>
          <w:highlight w:val="none"/>
        </w:rPr>
      </w:pPr>
      <w:r>
        <w:rPr>
          <w:rFonts w:hint="eastAsia" w:ascii="仿宋" w:hAnsi="仿宋" w:eastAsia="仿宋" w:cs="仿宋"/>
          <w:sz w:val="24"/>
          <w:szCs w:val="20"/>
          <w:highlight w:val="none"/>
        </w:rPr>
        <w:t>通讯地址：苏州工业园区崇文路199号富华科技大厦4B06室</w:t>
      </w:r>
    </w:p>
    <w:p>
      <w:pPr>
        <w:spacing w:line="560" w:lineRule="atLeast"/>
        <w:rPr>
          <w:rFonts w:hint="eastAsia" w:ascii="仿宋" w:hAnsi="仿宋" w:eastAsia="仿宋" w:cs="仿宋"/>
          <w:sz w:val="24"/>
          <w:szCs w:val="20"/>
          <w:highlight w:val="none"/>
        </w:rPr>
      </w:pPr>
      <w:r>
        <w:rPr>
          <w:rFonts w:hint="eastAsia" w:ascii="仿宋" w:hAnsi="仿宋" w:eastAsia="仿宋" w:cs="仿宋"/>
          <w:sz w:val="24"/>
          <w:szCs w:val="20"/>
          <w:highlight w:val="none"/>
        </w:rPr>
        <w:t>电    话：0512-62955898</w:t>
      </w:r>
    </w:p>
    <w:p>
      <w:pPr>
        <w:spacing w:line="560" w:lineRule="atLeast"/>
        <w:rPr>
          <w:rFonts w:hint="eastAsia" w:ascii="仿宋" w:hAnsi="仿宋" w:eastAsia="仿宋" w:cs="仿宋"/>
          <w:sz w:val="24"/>
          <w:szCs w:val="20"/>
          <w:highlight w:val="none"/>
        </w:rPr>
      </w:pPr>
      <w:r>
        <w:rPr>
          <w:rFonts w:hint="eastAsia" w:ascii="仿宋" w:hAnsi="仿宋" w:eastAsia="仿宋" w:cs="仿宋"/>
          <w:sz w:val="24"/>
          <w:szCs w:val="20"/>
          <w:highlight w:val="none"/>
        </w:rPr>
        <w:t>开户行  ： 中国农业银行苏州工业园区科技支行</w:t>
      </w:r>
    </w:p>
    <w:p>
      <w:pPr>
        <w:spacing w:line="560" w:lineRule="atLeast"/>
        <w:rPr>
          <w:rFonts w:hint="eastAsia" w:ascii="仿宋" w:hAnsi="仿宋" w:eastAsia="仿宋" w:cs="仿宋"/>
          <w:sz w:val="24"/>
          <w:szCs w:val="20"/>
          <w:highlight w:val="none"/>
        </w:rPr>
      </w:pPr>
      <w:r>
        <w:rPr>
          <w:rFonts w:hint="eastAsia" w:ascii="仿宋" w:hAnsi="仿宋" w:eastAsia="仿宋" w:cs="仿宋"/>
          <w:sz w:val="24"/>
          <w:szCs w:val="20"/>
          <w:highlight w:val="none"/>
        </w:rPr>
        <w:t>银行账号：10551101040005539</w:t>
      </w:r>
    </w:p>
    <w:p>
      <w:pPr>
        <w:spacing w:line="560" w:lineRule="atLeast"/>
        <w:rPr>
          <w:rFonts w:hint="eastAsia" w:ascii="仿宋" w:hAnsi="仿宋" w:eastAsia="仿宋" w:cs="仿宋"/>
          <w:sz w:val="24"/>
          <w:szCs w:val="20"/>
          <w:highlight w:val="none"/>
        </w:rPr>
      </w:pPr>
      <w:r>
        <w:rPr>
          <w:rFonts w:hint="eastAsia" w:ascii="仿宋" w:hAnsi="仿宋" w:eastAsia="仿宋" w:cs="仿宋"/>
          <w:sz w:val="24"/>
          <w:szCs w:val="20"/>
          <w:highlight w:val="none"/>
        </w:rPr>
        <w:t>税号    ：913205940763248105</w:t>
      </w:r>
    </w:p>
    <w:p>
      <w:pPr>
        <w:spacing w:line="480" w:lineRule="atLeast"/>
        <w:ind w:left="2115" w:hanging="315"/>
        <w:rPr>
          <w:rFonts w:hint="eastAsia" w:ascii="仿宋" w:hAnsi="仿宋" w:eastAsia="仿宋" w:cs="仿宋"/>
          <w:sz w:val="24"/>
          <w:szCs w:val="20"/>
          <w:highlight w:val="none"/>
        </w:rPr>
      </w:pPr>
    </w:p>
    <w:p>
      <w:pPr>
        <w:spacing w:line="560" w:lineRule="atLeast"/>
        <w:rPr>
          <w:rFonts w:hint="eastAsia" w:ascii="仿宋" w:hAnsi="仿宋" w:eastAsia="仿宋" w:cs="仿宋"/>
          <w:b/>
          <w:bCs/>
          <w:sz w:val="24"/>
          <w:szCs w:val="20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0"/>
          <w:highlight w:val="none"/>
        </w:rPr>
        <w:t>受托方（乙方）：</w:t>
      </w:r>
      <w:r>
        <w:rPr>
          <w:rFonts w:hint="eastAsia" w:ascii="仿宋" w:hAnsi="仿宋" w:eastAsia="仿宋" w:cs="仿宋"/>
          <w:b/>
          <w:bCs/>
          <w:sz w:val="24"/>
          <w:szCs w:val="20"/>
          <w:highlight w:val="none"/>
          <w:u w:val="single"/>
        </w:rPr>
        <w:t>北京创联致信科技有限公司</w:t>
      </w:r>
    </w:p>
    <w:p>
      <w:pPr>
        <w:spacing w:line="560" w:lineRule="atLeast"/>
        <w:rPr>
          <w:rFonts w:hint="eastAsia" w:ascii="仿宋" w:hAnsi="仿宋" w:eastAsia="仿宋" w:cs="仿宋"/>
          <w:sz w:val="24"/>
          <w:szCs w:val="20"/>
          <w:highlight w:val="none"/>
        </w:rPr>
      </w:pPr>
      <w:r>
        <w:rPr>
          <w:rFonts w:hint="eastAsia" w:ascii="仿宋" w:hAnsi="仿宋" w:eastAsia="仿宋" w:cs="仿宋"/>
          <w:sz w:val="24"/>
          <w:szCs w:val="20"/>
          <w:highlight w:val="none"/>
        </w:rPr>
        <w:t>法定代表人：蔡建</w:t>
      </w:r>
    </w:p>
    <w:p>
      <w:pPr>
        <w:spacing w:line="560" w:lineRule="atLeast"/>
        <w:rPr>
          <w:rFonts w:hint="eastAsia" w:ascii="仿宋" w:hAnsi="仿宋" w:eastAsia="仿宋" w:cs="仿宋"/>
          <w:sz w:val="24"/>
          <w:szCs w:val="20"/>
          <w:highlight w:val="none"/>
        </w:rPr>
      </w:pPr>
    </w:p>
    <w:p>
      <w:pPr>
        <w:spacing w:line="560" w:lineRule="atLeast"/>
        <w:rPr>
          <w:rFonts w:hint="eastAsia" w:ascii="仿宋" w:hAnsi="仿宋" w:eastAsia="仿宋" w:cs="仿宋"/>
          <w:sz w:val="24"/>
          <w:szCs w:val="20"/>
          <w:highlight w:val="none"/>
        </w:rPr>
      </w:pPr>
      <w:r>
        <w:rPr>
          <w:rFonts w:hint="eastAsia" w:ascii="仿宋" w:hAnsi="仿宋" w:eastAsia="仿宋" w:cs="仿宋"/>
          <w:sz w:val="24"/>
          <w:szCs w:val="20"/>
          <w:highlight w:val="none"/>
        </w:rPr>
        <w:t>通讯地址：北京市海淀区苏州街3号509-36</w:t>
      </w:r>
    </w:p>
    <w:p>
      <w:pPr>
        <w:spacing w:line="560" w:lineRule="atLeast"/>
        <w:rPr>
          <w:rFonts w:hint="eastAsia" w:ascii="仿宋" w:hAnsi="仿宋" w:eastAsia="仿宋" w:cs="仿宋"/>
          <w:sz w:val="24"/>
          <w:szCs w:val="20"/>
          <w:highlight w:val="none"/>
        </w:rPr>
      </w:pPr>
      <w:r>
        <w:rPr>
          <w:rFonts w:hint="eastAsia" w:ascii="仿宋" w:hAnsi="仿宋" w:eastAsia="仿宋" w:cs="仿宋"/>
          <w:sz w:val="24"/>
          <w:szCs w:val="20"/>
          <w:highlight w:val="none"/>
        </w:rPr>
        <w:t>电    话：010-82746952</w:t>
      </w:r>
    </w:p>
    <w:p>
      <w:pPr>
        <w:spacing w:line="560" w:lineRule="atLeast"/>
        <w:rPr>
          <w:rFonts w:hint="eastAsia" w:ascii="仿宋" w:hAnsi="仿宋" w:eastAsia="仿宋" w:cs="仿宋"/>
          <w:sz w:val="24"/>
          <w:szCs w:val="20"/>
          <w:highlight w:val="none"/>
        </w:rPr>
      </w:pPr>
      <w:r>
        <w:rPr>
          <w:rFonts w:hint="eastAsia" w:ascii="仿宋" w:hAnsi="仿宋" w:eastAsia="仿宋" w:cs="仿宋"/>
          <w:sz w:val="24"/>
          <w:szCs w:val="20"/>
          <w:highlight w:val="none"/>
        </w:rPr>
        <w:t xml:space="preserve">开户行  </w:t>
      </w:r>
      <w:r>
        <w:rPr>
          <w:rFonts w:hint="eastAsia" w:ascii="仿宋" w:hAnsi="仿宋" w:eastAsia="仿宋" w:cs="仿宋"/>
          <w:sz w:val="24"/>
          <w:szCs w:val="20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0"/>
          <w:highlight w:val="none"/>
        </w:rPr>
        <w:t>中国民生银行北京东二环支行</w:t>
      </w:r>
    </w:p>
    <w:p>
      <w:pPr>
        <w:spacing w:line="560" w:lineRule="atLeast"/>
        <w:rPr>
          <w:rFonts w:hint="eastAsia" w:ascii="仿宋" w:hAnsi="仿宋" w:eastAsia="仿宋" w:cs="仿宋"/>
          <w:sz w:val="24"/>
          <w:szCs w:val="20"/>
          <w:highlight w:val="none"/>
        </w:rPr>
      </w:pPr>
      <w:r>
        <w:rPr>
          <w:rFonts w:hint="eastAsia" w:ascii="仿宋" w:hAnsi="仿宋" w:eastAsia="仿宋" w:cs="仿宋"/>
          <w:sz w:val="24"/>
          <w:szCs w:val="20"/>
          <w:highlight w:val="none"/>
        </w:rPr>
        <w:t>银行账号：0148012830000756</w:t>
      </w:r>
    </w:p>
    <w:p>
      <w:pPr>
        <w:spacing w:line="560" w:lineRule="atLeast"/>
        <w:rPr>
          <w:rFonts w:hint="eastAsia" w:ascii="仿宋" w:hAnsi="仿宋" w:eastAsia="仿宋" w:cs="仿宋"/>
          <w:sz w:val="24"/>
          <w:szCs w:val="20"/>
          <w:highlight w:val="none"/>
        </w:rPr>
      </w:pPr>
      <w:r>
        <w:rPr>
          <w:rFonts w:hint="eastAsia" w:ascii="仿宋" w:hAnsi="仿宋" w:eastAsia="仿宋" w:cs="仿宋"/>
          <w:sz w:val="24"/>
          <w:szCs w:val="20"/>
          <w:highlight w:val="none"/>
        </w:rPr>
        <w:t>税号    ：91110108596007659D</w:t>
      </w:r>
    </w:p>
    <w:p>
      <w:pPr>
        <w:spacing w:line="480" w:lineRule="auto"/>
        <w:jc w:val="center"/>
        <w:rPr>
          <w:rFonts w:hint="eastAsia" w:ascii="仿宋" w:hAnsi="仿宋" w:eastAsia="仿宋" w:cs="仿宋"/>
          <w:b/>
          <w:bCs/>
          <w:sz w:val="52"/>
          <w:szCs w:val="36"/>
          <w:highlight w:val="none"/>
          <w:u w:val="none"/>
          <w:lang w:val="en-US" w:eastAsia="zh-CN"/>
        </w:rPr>
      </w:pPr>
    </w:p>
    <w:p>
      <w:pPr>
        <w:spacing w:line="480" w:lineRule="auto"/>
        <w:jc w:val="left"/>
        <w:rPr>
          <w:rFonts w:hint="eastAsia" w:ascii="仿宋" w:hAnsi="仿宋" w:eastAsia="仿宋" w:cs="仿宋"/>
          <w:b/>
          <w:bCs/>
          <w:sz w:val="21"/>
          <w:szCs w:val="15"/>
          <w:highlight w:val="none"/>
          <w:u w:val="none"/>
          <w:lang w:val="en-US" w:eastAsia="zh-CN"/>
        </w:rPr>
      </w:pPr>
    </w:p>
    <w:p>
      <w:pPr>
        <w:adjustRightInd w:val="0"/>
        <w:snapToGrid w:val="0"/>
        <w:spacing w:line="384" w:lineRule="auto"/>
        <w:ind w:firstLine="0"/>
        <w:jc w:val="left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</w:p>
    <w:p>
      <w:pPr>
        <w:adjustRightInd w:val="0"/>
        <w:snapToGrid w:val="0"/>
        <w:spacing w:line="384" w:lineRule="auto"/>
        <w:ind w:firstLine="0"/>
        <w:jc w:val="left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</w:p>
    <w:p>
      <w:pPr>
        <w:adjustRightInd w:val="0"/>
        <w:snapToGrid w:val="0"/>
        <w:spacing w:line="384" w:lineRule="auto"/>
        <w:ind w:firstLine="0"/>
        <w:jc w:val="left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</w:p>
    <w:p>
      <w:pPr>
        <w:adjustRightInd w:val="0"/>
        <w:snapToGrid w:val="0"/>
        <w:spacing w:line="384" w:lineRule="auto"/>
        <w:ind w:firstLine="0"/>
        <w:jc w:val="left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鉴于：</w:t>
      </w:r>
    </w:p>
    <w:p>
      <w:pPr>
        <w:numPr>
          <w:ilvl w:val="0"/>
          <w:numId w:val="1"/>
        </w:numPr>
        <w:adjustRightInd/>
        <w:snapToGrid/>
        <w:spacing w:line="480" w:lineRule="auto"/>
        <w:ind w:firstLine="0"/>
        <w:jc w:val="left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甲乙双方于2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018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年1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月1日签署《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u w:val="none"/>
        </w:rPr>
        <w:t>企业混合云运维管理平台技术服务项目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u w:val="none"/>
          <w:lang w:val="en-US" w:eastAsia="zh-CN"/>
        </w:rPr>
        <w:t>合同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》，该合同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总金额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为人民币</w:t>
      </w:r>
      <w:r>
        <w:rPr>
          <w:rFonts w:hint="eastAsia" w:ascii="仿宋" w:hAnsi="仿宋" w:eastAsia="仿宋" w:cs="仿宋"/>
          <w:b w:val="0"/>
          <w:kern w:val="0"/>
          <w:sz w:val="28"/>
          <w:szCs w:val="28"/>
          <w:highlight w:val="none"/>
          <w:u w:val="none"/>
        </w:rPr>
        <w:t>肆佰陆拾陆万捌仟捌佰壹拾玖元陆角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，甲方已向乙方全额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支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付合同款。</w:t>
      </w:r>
    </w:p>
    <w:p>
      <w:pPr>
        <w:numPr>
          <w:ilvl w:val="-1"/>
          <w:numId w:val="0"/>
        </w:numPr>
        <w:adjustRightInd/>
        <w:snapToGrid/>
        <w:spacing w:line="480" w:lineRule="auto"/>
        <w:ind w:left="0" w:firstLine="0"/>
        <w:jc w:val="left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2、根据需求，甲方就原合同项目需向乙方再行采购运维人天。</w:t>
      </w:r>
    </w:p>
    <w:p>
      <w:pPr>
        <w:numPr>
          <w:ilvl w:val="-1"/>
          <w:numId w:val="0"/>
        </w:numPr>
        <w:adjustRightInd/>
        <w:snapToGrid/>
        <w:spacing w:line="480" w:lineRule="auto"/>
        <w:ind w:left="0" w:firstLine="0"/>
        <w:jc w:val="left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</w:p>
    <w:p>
      <w:pPr>
        <w:numPr>
          <w:ilvl w:val="-1"/>
          <w:numId w:val="0"/>
        </w:numPr>
        <w:adjustRightInd/>
        <w:snapToGrid/>
        <w:spacing w:line="480" w:lineRule="auto"/>
        <w:ind w:left="0"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鉴于上述事实，经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方友好协商，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现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对于甲乙双方于2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018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年1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月1日签署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《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u w:val="none"/>
        </w:rPr>
        <w:t>企业混合云运维管理平台技术服务项目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u w:val="none"/>
          <w:lang w:val="en-US" w:eastAsia="zh-CN"/>
        </w:rPr>
        <w:t>合同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》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达成补充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约定如下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：</w:t>
      </w:r>
    </w:p>
    <w:p>
      <w:pPr>
        <w:tabs>
          <w:tab w:val="left" w:pos="6915"/>
        </w:tabs>
        <w:adjustRightInd w:val="0"/>
        <w:snapToGrid w:val="0"/>
        <w:spacing w:line="384" w:lineRule="auto"/>
        <w:ind w:firstLine="624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1、甲方向乙方再行采购的运维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highlight w:val="none"/>
        </w:rPr>
        <w:t>人员单价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highlight w:val="none"/>
          <w:lang w:val="en-US" w:eastAsia="zh-CN"/>
        </w:rPr>
        <w:t>为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人民币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1,755.00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元/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天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highlight w:val="none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大写：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壹仟柒佰伍拾伍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元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整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），人天数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合计：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</w:rPr>
        <w:t>3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</w:rPr>
        <w:t>0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总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金额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为人民币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val="en-US" w:eastAsia="zh-CN"/>
        </w:rPr>
        <w:t>526,500.00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元（大写：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伍拾贰万陆仟伍佰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元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整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）。其中，不含税价款为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人民币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val="en-US" w:eastAsia="zh-CN"/>
        </w:rPr>
        <w:t>496,698.11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元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大写：肆拾玖万陆仟陆佰玖拾捌元壹角壹分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，增值税为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人民币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val="en-US" w:eastAsia="zh-CN"/>
        </w:rPr>
        <w:t>29,801.89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元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大写：贰万玖仟捌佰零壹元捌角玖分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。</w:t>
      </w:r>
    </w:p>
    <w:p>
      <w:pPr>
        <w:adjustRightInd w:val="0"/>
        <w:snapToGrid w:val="0"/>
        <w:spacing w:line="384" w:lineRule="auto"/>
        <w:ind w:firstLine="624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上述总金额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zh-CN"/>
        </w:rPr>
        <w:t>为甲方委托乙方完成本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补充协议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zh-CN"/>
        </w:rPr>
        <w:t>项下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部分客制化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zh-CN"/>
        </w:rPr>
        <w:t>开发、维护等任务应向乙方支付的全部价款，其中包括税金、项目开发费用、项目维护费用、提供人员的所有费用和其他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乙方为履行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zh-CN"/>
        </w:rPr>
        <w:t>本合同约定的工作产生的相关费用。</w:t>
      </w:r>
    </w:p>
    <w:p>
      <w:pPr>
        <w:autoSpaceDE w:val="0"/>
        <w:autoSpaceDN w:val="0"/>
        <w:adjustRightInd w:val="0"/>
        <w:snapToGrid w:val="0"/>
        <w:spacing w:line="384" w:lineRule="auto"/>
        <w:ind w:firstLine="720"/>
        <w:jc w:val="left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2、项目履行过程中，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zh-CN"/>
        </w:rPr>
        <w:t>乙方实际服务人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天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zh-CN"/>
        </w:rPr>
        <w:t>数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需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zh-CN"/>
        </w:rPr>
        <w:t>由甲方书面确认。</w:t>
      </w:r>
    </w:p>
    <w:p>
      <w:pPr>
        <w:autoSpaceDE w:val="0"/>
        <w:autoSpaceDN w:val="0"/>
        <w:adjustRightInd w:val="0"/>
        <w:snapToGrid w:val="0"/>
        <w:spacing w:line="384" w:lineRule="auto"/>
        <w:ind w:firstLine="720"/>
        <w:jc w:val="left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3、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zh-CN"/>
        </w:rPr>
        <w:t>服务期限：自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val="zh-CN"/>
        </w:rPr>
        <w:t>20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val="en-US" w:eastAsia="zh-CN"/>
        </w:rPr>
        <w:t>20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zh-CN"/>
        </w:rPr>
        <w:t>年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zh-CN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zh-CN"/>
        </w:rPr>
        <w:t>日起至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val="zh-CN"/>
        </w:rPr>
        <w:t>2020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zh-CN"/>
        </w:rPr>
        <w:t>年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zh-CN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zh-CN"/>
        </w:rPr>
        <w:t>日止。在服务期限内甲方可随时将甲方认为不合格的乙方人员退还给乙方。</w:t>
      </w:r>
    </w:p>
    <w:p>
      <w:pPr>
        <w:autoSpaceDE w:val="0"/>
        <w:autoSpaceDN w:val="0"/>
        <w:adjustRightInd w:val="0"/>
        <w:snapToGrid w:val="0"/>
        <w:spacing w:line="384" w:lineRule="auto"/>
        <w:ind w:firstLine="720"/>
        <w:jc w:val="left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4、付款方式：</w:t>
      </w:r>
    </w:p>
    <w:p>
      <w:pPr>
        <w:numPr>
          <w:ilvl w:val="0"/>
          <w:numId w:val="2"/>
        </w:numPr>
        <w:tabs>
          <w:tab w:val="left" w:pos="1276"/>
        </w:tabs>
        <w:spacing w:line="360" w:lineRule="auto"/>
        <w:ind w:left="1276" w:hanging="283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甲方应于本协议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zh-CN"/>
        </w:rPr>
        <w:t>签署生效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且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zh-CN"/>
        </w:rPr>
        <w:t>乙方人员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到达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zh-CN"/>
        </w:rPr>
        <w:t>甲方现场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后20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zh-CN"/>
        </w:rPr>
        <w:t>个工作日内支付给乙方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协议总金额的80%，即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zh-CN"/>
        </w:rPr>
        <w:t>￥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421,200.00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zh-CN"/>
        </w:rPr>
        <w:t>元 (大写：人民币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肆拾贰万壹仟贰佰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zh-CN"/>
        </w:rPr>
        <w:t>元整)；</w:t>
      </w:r>
    </w:p>
    <w:p>
      <w:pPr>
        <w:numPr>
          <w:ilvl w:val="0"/>
          <w:numId w:val="2"/>
        </w:numPr>
        <w:tabs>
          <w:tab w:val="left" w:pos="1276"/>
        </w:tabs>
        <w:spacing w:line="360" w:lineRule="auto"/>
        <w:ind w:left="1276" w:hanging="283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甲方将协议约定的人天全部使用完毕后20个工作日内支付给乙方总金额的20%，即￥105,300.00（大写：人民币壹拾万零伍仟叁佰元整）。</w:t>
      </w:r>
    </w:p>
    <w:p>
      <w:pPr>
        <w:numPr>
          <w:ilvl w:val="0"/>
          <w:numId w:val="2"/>
        </w:numPr>
        <w:tabs>
          <w:tab w:val="left" w:pos="1276"/>
        </w:tabs>
        <w:spacing w:line="360" w:lineRule="auto"/>
        <w:ind w:left="1276" w:hanging="283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甲方付款前，乙方需向甲方提交付款申请，并开具合法的增值税发票。</w:t>
      </w:r>
    </w:p>
    <w:p>
      <w:pPr>
        <w:pStyle w:val="7"/>
        <w:numPr>
          <w:ilvl w:val="0"/>
          <w:numId w:val="3"/>
        </w:numPr>
        <w:spacing w:beforeLines="0" w:afterLines="0" w:line="55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 w:bidi="ar-SA"/>
        </w:rPr>
        <w:t>本协议一式肆份，甲方执贰份，乙方执贰份，自双方加盖公章或合同专用章后生效。</w:t>
      </w:r>
    </w:p>
    <w:p>
      <w:pPr>
        <w:pStyle w:val="7"/>
        <w:numPr>
          <w:ilvl w:val="0"/>
          <w:numId w:val="3"/>
        </w:numPr>
        <w:spacing w:beforeLines="0" w:afterLines="0" w:line="55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 w:bidi="ar-SA"/>
        </w:rPr>
        <w:t>除上述补充约定外，甲乙双方的其他权利义务仍按照双方于2018年12月1日签署的《企业混合云运维管理平台技术服务项目合同》履行。</w:t>
      </w:r>
    </w:p>
    <w:p>
      <w:pPr>
        <w:pStyle w:val="7"/>
        <w:numPr>
          <w:ilvl w:val="0"/>
          <w:numId w:val="0"/>
        </w:numPr>
        <w:spacing w:beforeLines="0" w:afterLines="0" w:line="550" w:lineRule="exact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 w:bidi="ar-SA"/>
        </w:rPr>
      </w:pPr>
    </w:p>
    <w:p>
      <w:pPr>
        <w:pStyle w:val="7"/>
        <w:numPr>
          <w:ilvl w:val="0"/>
          <w:numId w:val="0"/>
        </w:numPr>
        <w:spacing w:beforeLines="0" w:afterLines="0" w:line="550" w:lineRule="exact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 w:bidi="ar-SA"/>
        </w:rPr>
      </w:pPr>
    </w:p>
    <w:p>
      <w:pPr>
        <w:pStyle w:val="7"/>
        <w:numPr>
          <w:ilvl w:val="0"/>
          <w:numId w:val="0"/>
        </w:numPr>
        <w:spacing w:beforeLines="0" w:afterLines="0" w:line="550" w:lineRule="exact"/>
        <w:rPr>
          <w:rFonts w:hint="eastAsia" w:ascii="仿宋" w:hAnsi="仿宋" w:eastAsia="仿宋" w:cs="仿宋"/>
          <w:b/>
          <w:bCs/>
          <w:sz w:val="24"/>
          <w:szCs w:val="20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0"/>
          <w:highlight w:val="none"/>
        </w:rPr>
        <w:t>委托方（甲方）：</w:t>
      </w:r>
      <w:r>
        <w:rPr>
          <w:rFonts w:hint="eastAsia" w:ascii="仿宋" w:hAnsi="仿宋" w:eastAsia="仿宋" w:cs="仿宋"/>
          <w:b/>
          <w:bCs/>
          <w:sz w:val="24"/>
          <w:szCs w:val="20"/>
          <w:highlight w:val="none"/>
          <w:u w:val="single"/>
        </w:rPr>
        <w:t>凯美瑞德（苏州）信息科技股份有限公司</w:t>
      </w:r>
      <w:r>
        <w:rPr>
          <w:rFonts w:hint="eastAsia" w:ascii="仿宋" w:hAnsi="仿宋" w:eastAsia="仿宋" w:cs="仿宋"/>
          <w:b/>
          <w:bCs/>
          <w:sz w:val="24"/>
          <w:szCs w:val="20"/>
          <w:highlight w:val="none"/>
        </w:rPr>
        <w:t xml:space="preserve"> </w:t>
      </w:r>
    </w:p>
    <w:p>
      <w:pPr>
        <w:pStyle w:val="7"/>
        <w:numPr>
          <w:ilvl w:val="0"/>
          <w:numId w:val="0"/>
        </w:numPr>
        <w:spacing w:beforeLines="0" w:afterLines="0" w:line="550" w:lineRule="exact"/>
        <w:rPr>
          <w:rFonts w:hint="eastAsia" w:ascii="仿宋" w:hAnsi="仿宋" w:eastAsia="仿宋" w:cs="仿宋"/>
          <w:b/>
          <w:bCs/>
          <w:sz w:val="24"/>
          <w:szCs w:val="20"/>
          <w:highlight w:val="none"/>
        </w:rPr>
      </w:pPr>
    </w:p>
    <w:p>
      <w:pPr>
        <w:spacing w:line="560" w:lineRule="atLeast"/>
        <w:rPr>
          <w:rFonts w:hint="eastAsia" w:ascii="仿宋" w:hAnsi="仿宋" w:eastAsia="仿宋" w:cs="仿宋"/>
          <w:b/>
          <w:bCs/>
          <w:sz w:val="24"/>
          <w:szCs w:val="20"/>
          <w:highlight w:val="none"/>
        </w:rPr>
      </w:pPr>
    </w:p>
    <w:p>
      <w:pPr>
        <w:spacing w:line="560" w:lineRule="atLeast"/>
        <w:rPr>
          <w:rFonts w:hint="eastAsia" w:ascii="仿宋" w:hAnsi="仿宋" w:eastAsia="仿宋" w:cs="仿宋"/>
          <w:b/>
          <w:bCs/>
          <w:sz w:val="24"/>
          <w:szCs w:val="20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0"/>
          <w:highlight w:val="none"/>
        </w:rPr>
        <w:t>受托方（乙方）：</w:t>
      </w:r>
      <w:r>
        <w:rPr>
          <w:rFonts w:hint="eastAsia" w:ascii="仿宋" w:hAnsi="仿宋" w:eastAsia="仿宋" w:cs="仿宋"/>
          <w:b/>
          <w:bCs/>
          <w:sz w:val="24"/>
          <w:szCs w:val="20"/>
          <w:highlight w:val="none"/>
          <w:u w:val="single"/>
        </w:rPr>
        <w:t>北京创联致信科技有限公司</w:t>
      </w:r>
    </w:p>
    <w:p>
      <w:pPr>
        <w:pStyle w:val="7"/>
        <w:numPr>
          <w:ilvl w:val="0"/>
          <w:numId w:val="0"/>
        </w:numPr>
        <w:spacing w:beforeLines="0" w:afterLines="0" w:line="550" w:lineRule="exact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4"/>
          <w:szCs w:val="20"/>
          <w:highlight w:val="none"/>
        </w:rPr>
        <w:t xml:space="preserve"> </w:t>
      </w:r>
    </w:p>
    <w:p>
      <w:pPr>
        <w:pStyle w:val="7"/>
        <w:numPr>
          <w:ilvl w:val="0"/>
          <w:numId w:val="0"/>
        </w:numPr>
        <w:spacing w:beforeLines="0" w:afterLines="0" w:line="550" w:lineRule="exact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 w:bidi="ar-SA"/>
        </w:rPr>
      </w:pPr>
    </w:p>
    <w:p>
      <w:pPr>
        <w:pStyle w:val="7"/>
        <w:numPr>
          <w:ilvl w:val="0"/>
          <w:numId w:val="0"/>
        </w:numPr>
        <w:spacing w:beforeLines="0" w:afterLines="0" w:line="550" w:lineRule="exact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 w:bidi="ar-SA"/>
        </w:rPr>
      </w:pPr>
    </w:p>
    <w:p>
      <w:pPr>
        <w:pStyle w:val="7"/>
        <w:numPr>
          <w:ilvl w:val="0"/>
          <w:numId w:val="0"/>
        </w:numPr>
        <w:spacing w:beforeLines="0" w:afterLines="0" w:line="550" w:lineRule="exact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 w:bidi="ar-SA"/>
        </w:rPr>
      </w:pPr>
    </w:p>
    <w:p>
      <w:pPr>
        <w:autoSpaceDE w:val="0"/>
        <w:autoSpaceDN w:val="0"/>
        <w:adjustRightInd w:val="0"/>
        <w:snapToGrid w:val="0"/>
        <w:spacing w:line="384" w:lineRule="auto"/>
        <w:ind w:firstLine="0"/>
        <w:jc w:val="left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zh-CN"/>
        </w:rPr>
      </w:pPr>
    </w:p>
    <w:p>
      <w:pPr>
        <w:rPr>
          <w:rFonts w:hint="eastAsia" w:ascii="仿宋" w:hAnsi="仿宋" w:eastAsia="仿宋" w:cs="仿宋"/>
          <w:highlight w:val="none"/>
        </w:rPr>
      </w:pPr>
    </w:p>
    <w:sectPr>
      <w:headerReference r:id="rId4" w:type="first"/>
      <w:headerReference r:id="rId3" w:type="default"/>
      <w:footerReference r:id="rId5" w:type="even"/>
      <w:pgSz w:w="11906" w:h="16838"/>
      <w:pgMar w:top="1440" w:right="1134" w:bottom="1440" w:left="1134" w:header="851" w:footer="992" w:gutter="34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00" w:usb3="00000000" w:csb0="001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right="-94" w:rightChars="-45"/>
      <w:rPr>
        <w:rFonts w:hint="eastAsia"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u w:val="single"/>
      </w:rPr>
    </w:pPr>
    <w:r>
      <w:rPr>
        <w:rFonts w:hint="eastAsia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A70BC9"/>
    <w:multiLevelType w:val="singleLevel"/>
    <w:tmpl w:val="94A70BC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4C6D7E4"/>
    <w:multiLevelType w:val="singleLevel"/>
    <w:tmpl w:val="54C6D7E4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5FAA3496"/>
    <w:multiLevelType w:val="multilevel"/>
    <w:tmpl w:val="5FAA3496"/>
    <w:lvl w:ilvl="0" w:tentative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833" w:hanging="420"/>
      </w:pPr>
    </w:lvl>
    <w:lvl w:ilvl="2" w:tentative="0">
      <w:start w:val="1"/>
      <w:numFmt w:val="lowerRoman"/>
      <w:lvlText w:val="%3."/>
      <w:lvlJc w:val="right"/>
      <w:pPr>
        <w:ind w:left="2253" w:hanging="420"/>
      </w:pPr>
    </w:lvl>
    <w:lvl w:ilvl="3" w:tentative="0">
      <w:start w:val="1"/>
      <w:numFmt w:val="decimal"/>
      <w:lvlText w:val="%4."/>
      <w:lvlJc w:val="left"/>
      <w:pPr>
        <w:ind w:left="2673" w:hanging="420"/>
      </w:pPr>
    </w:lvl>
    <w:lvl w:ilvl="4" w:tentative="0">
      <w:start w:val="1"/>
      <w:numFmt w:val="lowerLetter"/>
      <w:lvlText w:val="%5)"/>
      <w:lvlJc w:val="left"/>
      <w:pPr>
        <w:ind w:left="3093" w:hanging="420"/>
      </w:pPr>
    </w:lvl>
    <w:lvl w:ilvl="5" w:tentative="0">
      <w:start w:val="1"/>
      <w:numFmt w:val="lowerRoman"/>
      <w:lvlText w:val="%6."/>
      <w:lvlJc w:val="right"/>
      <w:pPr>
        <w:ind w:left="3513" w:hanging="420"/>
      </w:pPr>
    </w:lvl>
    <w:lvl w:ilvl="6" w:tentative="0">
      <w:start w:val="1"/>
      <w:numFmt w:val="decimal"/>
      <w:lvlText w:val="%7."/>
      <w:lvlJc w:val="left"/>
      <w:pPr>
        <w:ind w:left="3933" w:hanging="420"/>
      </w:pPr>
    </w:lvl>
    <w:lvl w:ilvl="7" w:tentative="0">
      <w:start w:val="1"/>
      <w:numFmt w:val="lowerLetter"/>
      <w:lvlText w:val="%8)"/>
      <w:lvlJc w:val="left"/>
      <w:pPr>
        <w:ind w:left="4353" w:hanging="420"/>
      </w:pPr>
    </w:lvl>
    <w:lvl w:ilvl="8" w:tentative="0">
      <w:start w:val="1"/>
      <w:numFmt w:val="lowerRoman"/>
      <w:lvlText w:val="%9."/>
      <w:lvlJc w:val="right"/>
      <w:pPr>
        <w:ind w:left="4773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94D26"/>
    <w:rsid w:val="0D594D26"/>
    <w:rsid w:val="25166254"/>
    <w:rsid w:val="34E3142E"/>
    <w:rsid w:val="4BC7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uiPriority w:val="0"/>
  </w:style>
  <w:style w:type="paragraph" w:customStyle="1" w:styleId="7">
    <w:name w:val="Body text|1"/>
    <w:basedOn w:val="1"/>
    <w:unhideWhenUsed/>
    <w:uiPriority w:val="0"/>
    <w:pPr>
      <w:spacing w:beforeLines="0" w:afterLines="0" w:line="480" w:lineRule="auto"/>
    </w:pPr>
    <w:rPr>
      <w:rFonts w:hint="eastAsia" w:ascii="MingLiU" w:hAnsi="MingLiU" w:eastAsia="MingLiU"/>
      <w:sz w:val="20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79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2020-03-24T08:19:00Z</dcterms:created>
  <dc:creator>LZJ</dc:creator>
  <cp:lastModifiedBy>Ryan</cp:lastModifiedBy>
  <dcterms:modified xsi:type="dcterms:W3CDTF">2020-03-24T11:57:35Z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