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rFonts w:ascii="宋体" w:hAnsi="宋体"/>
          <w:b/>
          <w:color w:val="000000"/>
          <w:kern w:val="2"/>
          <w:sz w:val="36"/>
        </w:rPr>
      </w:pPr>
      <w:bookmarkStart w:id="0" w:name="EB033048a65650412b8d21121a88abf23a"/>
    </w:p>
    <w:p>
      <w:pPr>
        <w:widowControl w:val="0"/>
        <w:spacing w:line="360" w:lineRule="auto"/>
        <w:jc w:val="center"/>
        <w:rPr>
          <w:rFonts w:ascii="宋体" w:hAnsi="宋体"/>
          <w:b/>
          <w:color w:val="000000"/>
          <w:kern w:val="2"/>
          <w:sz w:val="36"/>
        </w:rPr>
      </w:pPr>
    </w:p>
    <w:p>
      <w:pPr>
        <w:widowControl w:val="0"/>
        <w:spacing w:line="360" w:lineRule="auto"/>
        <w:jc w:val="center"/>
        <w:rPr>
          <w:rFonts w:ascii="宋体" w:hAnsi="宋体"/>
          <w:b/>
          <w:color w:val="000000"/>
          <w:kern w:val="2"/>
          <w:sz w:val="36"/>
        </w:rPr>
      </w:pPr>
    </w:p>
    <w:p>
      <w:pPr>
        <w:widowControl w:val="0"/>
        <w:spacing w:before="120" w:beforeLines="50" w:after="120" w:afterLines="50"/>
        <w:jc w:val="center"/>
        <w:outlineLvl w:val="0"/>
        <w:rPr>
          <w:rFonts w:ascii="宋体" w:hAnsi="宋体"/>
          <w:color w:val="000000"/>
          <w:kern w:val="2"/>
          <w:sz w:val="56"/>
          <w:szCs w:val="72"/>
        </w:rPr>
      </w:pPr>
      <w:r>
        <w:rPr>
          <w:rFonts w:hint="eastAsia" w:ascii="宋体" w:hAnsi="宋体"/>
          <w:color w:val="000000"/>
          <w:kern w:val="2"/>
          <w:sz w:val="56"/>
          <w:szCs w:val="72"/>
        </w:rPr>
        <w:t>中国烟草总公司内蒙古自治区公司</w:t>
      </w:r>
    </w:p>
    <w:p>
      <w:pPr>
        <w:widowControl w:val="0"/>
        <w:spacing w:before="120" w:beforeLines="50" w:after="120" w:afterLines="50"/>
        <w:jc w:val="center"/>
        <w:outlineLvl w:val="0"/>
        <w:rPr>
          <w:rFonts w:ascii="宋体" w:hAnsi="宋体"/>
          <w:color w:val="000000"/>
          <w:kern w:val="2"/>
          <w:sz w:val="56"/>
          <w:szCs w:val="72"/>
        </w:rPr>
      </w:pPr>
      <w:r>
        <w:rPr>
          <w:rFonts w:hint="eastAsia" w:ascii="宋体" w:hAnsi="宋体"/>
          <w:color w:val="000000"/>
          <w:kern w:val="2"/>
          <w:sz w:val="56"/>
          <w:szCs w:val="72"/>
        </w:rPr>
        <w:t>信息系统基础设施运维服务</w:t>
      </w:r>
    </w:p>
    <w:p>
      <w:pPr>
        <w:widowControl w:val="0"/>
        <w:spacing w:before="120" w:beforeLines="50" w:after="120" w:afterLines="50"/>
        <w:jc w:val="center"/>
        <w:outlineLvl w:val="0"/>
        <w:rPr>
          <w:rFonts w:ascii="宋体" w:hAnsi="宋体"/>
          <w:b/>
          <w:kern w:val="2"/>
          <w:sz w:val="4"/>
          <w:szCs w:val="10"/>
        </w:rPr>
      </w:pPr>
      <w:r>
        <w:rPr>
          <w:rFonts w:hint="eastAsia" w:ascii="宋体" w:hAnsi="宋体"/>
          <w:color w:val="000000"/>
          <w:kern w:val="2"/>
          <w:sz w:val="32"/>
          <w:szCs w:val="72"/>
        </w:rPr>
        <w:t>（合同编号：</w:t>
      </w:r>
      <w:r>
        <w:rPr>
          <w:rFonts w:hint="eastAsia" w:ascii="宋体" w:hAnsi="宋体"/>
          <w:b/>
          <w:bCs/>
          <w:color w:val="FF0000"/>
          <w:kern w:val="2"/>
          <w:sz w:val="32"/>
          <w:szCs w:val="72"/>
        </w:rPr>
        <w:t xml:space="preserve">           </w:t>
      </w:r>
      <w:r>
        <w:rPr>
          <w:rFonts w:hint="eastAsia" w:ascii="宋体" w:hAnsi="宋体"/>
          <w:color w:val="000000"/>
          <w:kern w:val="2"/>
          <w:sz w:val="32"/>
          <w:szCs w:val="72"/>
        </w:rPr>
        <w:t>）</w:t>
      </w:r>
    </w:p>
    <w:p>
      <w:pPr>
        <w:widowControl w:val="0"/>
        <w:jc w:val="center"/>
        <w:rPr>
          <w:rFonts w:ascii="宋体" w:hAnsi="宋体"/>
          <w:kern w:val="2"/>
          <w:sz w:val="72"/>
          <w:szCs w:val="84"/>
        </w:rPr>
      </w:pPr>
      <w:r>
        <w:rPr>
          <w:rFonts w:hint="eastAsia" w:ascii="宋体" w:hAnsi="宋体"/>
          <w:kern w:val="2"/>
          <w:sz w:val="72"/>
          <w:szCs w:val="84"/>
        </w:rPr>
        <w:t>合</w:t>
      </w:r>
    </w:p>
    <w:p>
      <w:pPr>
        <w:widowControl w:val="0"/>
        <w:jc w:val="center"/>
        <w:rPr>
          <w:rFonts w:ascii="宋体" w:hAnsi="宋体"/>
          <w:kern w:val="2"/>
          <w:sz w:val="72"/>
          <w:szCs w:val="84"/>
        </w:rPr>
      </w:pPr>
      <w:r>
        <w:rPr>
          <w:rFonts w:hint="eastAsia" w:ascii="宋体" w:hAnsi="宋体"/>
          <w:kern w:val="2"/>
          <w:sz w:val="72"/>
          <w:szCs w:val="84"/>
        </w:rPr>
        <w:t>同</w:t>
      </w:r>
    </w:p>
    <w:p>
      <w:pPr>
        <w:widowControl w:val="0"/>
        <w:jc w:val="center"/>
        <w:rPr>
          <w:rFonts w:ascii="宋体" w:hAnsi="宋体"/>
          <w:kern w:val="2"/>
          <w:sz w:val="72"/>
          <w:szCs w:val="84"/>
        </w:rPr>
      </w:pPr>
      <w:r>
        <w:rPr>
          <w:rFonts w:hint="eastAsia" w:ascii="宋体" w:hAnsi="宋体"/>
          <w:kern w:val="2"/>
          <w:sz w:val="72"/>
          <w:szCs w:val="84"/>
        </w:rPr>
        <w:t>书</w:t>
      </w:r>
      <w:bookmarkStart w:id="17" w:name="_GoBack"/>
      <w:bookmarkEnd w:id="17"/>
    </w:p>
    <w:p>
      <w:pPr>
        <w:widowControl w:val="0"/>
        <w:tabs>
          <w:tab w:val="left" w:pos="840"/>
        </w:tabs>
        <w:spacing w:line="360" w:lineRule="auto"/>
        <w:jc w:val="both"/>
        <w:rPr>
          <w:rFonts w:ascii="宋体" w:hAnsi="宋体"/>
          <w:color w:val="000000"/>
          <w:kern w:val="2"/>
          <w:sz w:val="21"/>
        </w:rPr>
      </w:pPr>
      <w:r>
        <w:rPr>
          <w:rFonts w:hint="eastAsia" w:ascii="宋体" w:hAnsi="宋体"/>
          <w:color w:val="000000"/>
          <w:kern w:val="2"/>
          <w:sz w:val="21"/>
        </w:rPr>
        <w:tab/>
      </w:r>
    </w:p>
    <w:p>
      <w:pPr>
        <w:widowControl w:val="0"/>
        <w:spacing w:line="360" w:lineRule="auto"/>
        <w:ind w:firstLine="800" w:firstLineChars="250"/>
        <w:jc w:val="both"/>
        <w:rPr>
          <w:rFonts w:ascii="宋体" w:hAnsi="宋体"/>
          <w:kern w:val="2"/>
          <w:sz w:val="32"/>
          <w:szCs w:val="32"/>
          <w:u w:val="single"/>
        </w:rPr>
      </w:pPr>
      <w:r>
        <w:rPr>
          <w:rFonts w:hint="eastAsia" w:ascii="宋体" w:hAnsi="宋体"/>
          <w:kern w:val="2"/>
          <w:sz w:val="32"/>
          <w:szCs w:val="32"/>
        </w:rPr>
        <w:t>采购人(甲方)</w:t>
      </w:r>
      <w:r>
        <w:rPr>
          <w:rFonts w:hint="eastAsia" w:ascii="宋体" w:hAnsi="宋体"/>
          <w:b/>
          <w:color w:val="000000"/>
          <w:spacing w:val="20"/>
          <w:kern w:val="2"/>
          <w:sz w:val="32"/>
          <w:szCs w:val="32"/>
        </w:rPr>
        <w:t>：</w:t>
      </w:r>
      <w:r>
        <w:rPr>
          <w:rFonts w:hint="eastAsia" w:ascii="宋体" w:hAnsi="宋体"/>
          <w:kern w:val="2"/>
          <w:sz w:val="32"/>
          <w:szCs w:val="32"/>
          <w:u w:val="single"/>
        </w:rPr>
        <w:t>北京创联致信科技有限公司</w:t>
      </w:r>
    </w:p>
    <w:p>
      <w:pPr>
        <w:widowControl w:val="0"/>
        <w:spacing w:line="360" w:lineRule="auto"/>
        <w:ind w:firstLine="800" w:firstLineChars="250"/>
        <w:jc w:val="both"/>
        <w:rPr>
          <w:rFonts w:ascii="宋体" w:hAnsi="宋体"/>
          <w:kern w:val="2"/>
          <w:sz w:val="32"/>
          <w:szCs w:val="32"/>
          <w:u w:val="single"/>
        </w:rPr>
      </w:pPr>
      <w:r>
        <w:rPr>
          <w:rFonts w:hint="eastAsia" w:ascii="宋体" w:hAnsi="宋体"/>
          <w:kern w:val="2"/>
          <w:sz w:val="32"/>
          <w:szCs w:val="32"/>
        </w:rPr>
        <w:t>服务商(乙方)</w:t>
      </w:r>
      <w:r>
        <w:rPr>
          <w:rFonts w:hint="eastAsia" w:ascii="宋体" w:hAnsi="宋体"/>
          <w:b/>
          <w:color w:val="000000"/>
          <w:spacing w:val="20"/>
          <w:kern w:val="2"/>
          <w:sz w:val="32"/>
          <w:szCs w:val="32"/>
        </w:rPr>
        <w:t>：</w:t>
      </w:r>
      <w:r>
        <w:rPr>
          <w:rFonts w:hint="eastAsia" w:ascii="宋体" w:hAnsi="宋体"/>
          <w:kern w:val="2"/>
          <w:sz w:val="32"/>
          <w:szCs w:val="32"/>
          <w:u w:val="single"/>
        </w:rPr>
        <w:t>北京垚鑫同创科技有限公司</w:t>
      </w:r>
    </w:p>
    <w:p>
      <w:pPr>
        <w:widowControl w:val="0"/>
        <w:spacing w:line="360" w:lineRule="auto"/>
        <w:ind w:firstLine="800" w:firstLineChars="250"/>
        <w:jc w:val="both"/>
        <w:rPr>
          <w:rFonts w:ascii="宋体" w:hAnsi="宋体"/>
          <w:spacing w:val="44"/>
          <w:kern w:val="11"/>
          <w:sz w:val="32"/>
          <w:szCs w:val="32"/>
        </w:rPr>
      </w:pPr>
      <w:r>
        <w:rPr>
          <w:rFonts w:hint="eastAsia" w:ascii="宋体" w:hAnsi="宋体"/>
          <w:kern w:val="2"/>
          <w:sz w:val="32"/>
          <w:szCs w:val="32"/>
        </w:rPr>
        <w:t>合同签订地点</w:t>
      </w:r>
      <w:r>
        <w:rPr>
          <w:rFonts w:hint="eastAsia" w:ascii="宋体" w:hAnsi="宋体"/>
          <w:b/>
          <w:color w:val="000000"/>
          <w:spacing w:val="20"/>
          <w:kern w:val="2"/>
          <w:sz w:val="32"/>
          <w:szCs w:val="32"/>
        </w:rPr>
        <w:t>：</w:t>
      </w:r>
      <w:r>
        <w:rPr>
          <w:rFonts w:hint="eastAsia" w:ascii="宋体" w:hAnsi="宋体"/>
          <w:kern w:val="2"/>
          <w:sz w:val="32"/>
          <w:szCs w:val="32"/>
          <w:u w:val="single"/>
        </w:rPr>
        <w:t>北京市</w:t>
      </w:r>
    </w:p>
    <w:p>
      <w:pPr>
        <w:widowControl w:val="0"/>
        <w:spacing w:line="360" w:lineRule="auto"/>
        <w:ind w:firstLine="800" w:firstLineChars="250"/>
        <w:jc w:val="both"/>
        <w:rPr>
          <w:rFonts w:ascii="宋体" w:hAnsi="宋体"/>
          <w:kern w:val="2"/>
          <w:sz w:val="32"/>
          <w:szCs w:val="32"/>
        </w:rPr>
      </w:pPr>
      <w:r>
        <w:rPr>
          <w:rFonts w:hint="eastAsia" w:ascii="宋体" w:hAnsi="宋体"/>
          <w:kern w:val="2"/>
          <w:sz w:val="32"/>
          <w:szCs w:val="32"/>
        </w:rPr>
        <w:t>合同签订日期</w:t>
      </w:r>
      <w:r>
        <w:rPr>
          <w:rFonts w:hint="eastAsia" w:ascii="宋体" w:hAnsi="宋体"/>
          <w:b/>
          <w:color w:val="000000"/>
          <w:spacing w:val="20"/>
          <w:kern w:val="2"/>
          <w:sz w:val="32"/>
          <w:szCs w:val="32"/>
        </w:rPr>
        <w:t>：</w:t>
      </w:r>
      <w:r>
        <w:rPr>
          <w:rFonts w:hint="eastAsia" w:ascii="宋体" w:hAnsi="宋体"/>
          <w:kern w:val="2"/>
          <w:sz w:val="32"/>
          <w:szCs w:val="32"/>
          <w:u w:val="single"/>
        </w:rPr>
        <w:t>20</w:t>
      </w:r>
      <w:r>
        <w:rPr>
          <w:rFonts w:hint="eastAsia" w:ascii="宋体" w:hAnsi="宋体"/>
          <w:kern w:val="2"/>
          <w:sz w:val="32"/>
          <w:szCs w:val="32"/>
          <w:u w:val="single"/>
          <w:lang w:val="en-US" w:eastAsia="zh-CN"/>
        </w:rPr>
        <w:t>19</w:t>
      </w:r>
      <w:r>
        <w:rPr>
          <w:rFonts w:hint="eastAsia" w:ascii="宋体" w:hAnsi="宋体"/>
          <w:kern w:val="2"/>
          <w:sz w:val="32"/>
          <w:szCs w:val="32"/>
          <w:u w:val="single"/>
        </w:rPr>
        <w:t>年</w:t>
      </w:r>
      <w:r>
        <w:rPr>
          <w:rFonts w:hint="eastAsia" w:ascii="宋体" w:hAnsi="宋体"/>
          <w:kern w:val="2"/>
          <w:sz w:val="32"/>
          <w:szCs w:val="32"/>
          <w:u w:val="single"/>
          <w:lang w:val="en-US" w:eastAsia="zh-CN"/>
        </w:rPr>
        <w:t>12</w:t>
      </w:r>
      <w:r>
        <w:rPr>
          <w:rFonts w:hint="eastAsia" w:ascii="宋体" w:hAnsi="宋体"/>
          <w:kern w:val="2"/>
          <w:sz w:val="32"/>
          <w:szCs w:val="32"/>
          <w:u w:val="single"/>
        </w:rPr>
        <w:t>月</w:t>
      </w:r>
    </w:p>
    <w:p>
      <w:pPr>
        <w:widowControl w:val="0"/>
        <w:spacing w:line="500" w:lineRule="exact"/>
        <w:ind w:firstLine="562" w:firstLineChars="200"/>
        <w:rPr>
          <w:rFonts w:ascii="宋体" w:hAnsi="宋体"/>
          <w:color w:val="000000"/>
          <w:kern w:val="2"/>
          <w:sz w:val="21"/>
          <w:szCs w:val="21"/>
        </w:rPr>
      </w:pPr>
      <w:r>
        <w:rPr>
          <w:rFonts w:hint="eastAsia" w:ascii="宋体" w:hAnsi="宋体"/>
          <w:b/>
          <w:color w:val="000000"/>
          <w:kern w:val="2"/>
          <w:sz w:val="28"/>
        </w:rPr>
        <w:br w:type="page"/>
      </w:r>
      <w:r>
        <w:rPr>
          <w:rFonts w:hint="eastAsia" w:ascii="宋体" w:hAnsi="宋体"/>
          <w:b/>
          <w:color w:val="000000"/>
          <w:kern w:val="2"/>
          <w:sz w:val="21"/>
          <w:szCs w:val="21"/>
          <w:u w:val="single"/>
        </w:rPr>
        <w:t>北京创联致信科技有限公司（以下简称甲方）</w:t>
      </w:r>
      <w:r>
        <w:rPr>
          <w:rFonts w:hint="eastAsia" w:ascii="宋体" w:hAnsi="宋体"/>
          <w:color w:val="000000"/>
          <w:kern w:val="2"/>
          <w:sz w:val="21"/>
          <w:szCs w:val="21"/>
        </w:rPr>
        <w:t>与</w:t>
      </w:r>
      <w:r>
        <w:rPr>
          <w:rFonts w:hint="eastAsia" w:ascii="宋体" w:hAnsi="宋体"/>
          <w:b/>
          <w:color w:val="000000"/>
          <w:kern w:val="2"/>
          <w:sz w:val="21"/>
          <w:szCs w:val="21"/>
          <w:u w:val="single"/>
        </w:rPr>
        <w:t>北京垚鑫同创科技有限公司（以下简称乙方）本着</w:t>
      </w:r>
      <w:r>
        <w:rPr>
          <w:rFonts w:hint="eastAsia" w:ascii="宋体" w:hAnsi="宋体"/>
          <w:color w:val="000000"/>
          <w:kern w:val="2"/>
          <w:sz w:val="21"/>
          <w:szCs w:val="21"/>
        </w:rPr>
        <w:t>合同双方合法权益，按照自愿、公平、合法、诚信的原则，就</w:t>
      </w:r>
      <w:r>
        <w:rPr>
          <w:rFonts w:hint="eastAsia"/>
          <w:sz w:val="21"/>
          <w:szCs w:val="21"/>
          <w:u w:val="single"/>
        </w:rPr>
        <w:t>“中国烟草总公司内蒙古自治区公司”信息系统基础设施运维项目</w:t>
      </w:r>
      <w:r>
        <w:rPr>
          <w:rFonts w:hint="eastAsia" w:ascii="宋体" w:hAnsi="宋体"/>
          <w:color w:val="000000"/>
          <w:kern w:val="2"/>
          <w:sz w:val="21"/>
          <w:szCs w:val="21"/>
        </w:rPr>
        <w:t>达成共识，经双方协商，一致同意签订如下合同（以下简称本合同）。</w:t>
      </w:r>
    </w:p>
    <w:p>
      <w:pPr>
        <w:widowControl w:val="0"/>
        <w:autoSpaceDE w:val="0"/>
        <w:autoSpaceDN w:val="0"/>
        <w:adjustRightInd w:val="0"/>
        <w:spacing w:line="500" w:lineRule="exact"/>
        <w:ind w:firstLine="200"/>
        <w:jc w:val="center"/>
        <w:outlineLvl w:val="0"/>
        <w:rPr>
          <w:rFonts w:ascii="宋体" w:hAnsi="宋体"/>
          <w:b/>
          <w:bCs/>
          <w:kern w:val="2"/>
          <w:sz w:val="21"/>
          <w:szCs w:val="21"/>
        </w:rPr>
      </w:pPr>
      <w:r>
        <w:rPr>
          <w:rFonts w:hint="eastAsia" w:ascii="宋体" w:hAnsi="宋体"/>
          <w:b/>
          <w:bCs/>
          <w:kern w:val="2"/>
          <w:sz w:val="21"/>
          <w:szCs w:val="21"/>
        </w:rPr>
        <w:t>第一章 合同说明</w:t>
      </w:r>
    </w:p>
    <w:p>
      <w:pPr>
        <w:widowControl w:val="0"/>
        <w:spacing w:line="500" w:lineRule="exact"/>
        <w:ind w:firstLine="200"/>
        <w:rPr>
          <w:rFonts w:ascii="宋体" w:hAnsi="宋体"/>
          <w:color w:val="000000"/>
          <w:kern w:val="2"/>
          <w:sz w:val="21"/>
          <w:szCs w:val="21"/>
        </w:rPr>
      </w:pPr>
      <w:r>
        <w:rPr>
          <w:rFonts w:hint="eastAsia" w:ascii="宋体" w:hAnsi="宋体"/>
          <w:color w:val="000000"/>
          <w:kern w:val="2"/>
          <w:sz w:val="21"/>
          <w:szCs w:val="21"/>
        </w:rPr>
        <w:t>本合同的签订基于以下事实：</w:t>
      </w:r>
    </w:p>
    <w:p>
      <w:pPr>
        <w:widowControl w:val="0"/>
        <w:spacing w:line="500" w:lineRule="exact"/>
        <w:ind w:firstLine="420" w:firstLineChars="200"/>
        <w:rPr>
          <w:rFonts w:ascii="宋体" w:hAnsi="宋体"/>
          <w:color w:val="000000"/>
          <w:kern w:val="2"/>
          <w:sz w:val="21"/>
          <w:szCs w:val="21"/>
        </w:rPr>
      </w:pPr>
      <w:r>
        <w:rPr>
          <w:rFonts w:hint="eastAsia" w:ascii="宋体" w:hAnsi="宋体"/>
          <w:color w:val="000000"/>
          <w:kern w:val="2"/>
          <w:sz w:val="21"/>
          <w:szCs w:val="21"/>
        </w:rPr>
        <w:t>一、甲乙双方就以下合同条款进行了充分的讨论。</w:t>
      </w:r>
    </w:p>
    <w:p>
      <w:pPr>
        <w:widowControl w:val="0"/>
        <w:spacing w:line="500" w:lineRule="exact"/>
        <w:ind w:firstLine="420" w:firstLineChars="200"/>
        <w:rPr>
          <w:rFonts w:ascii="宋体" w:hAnsi="宋体"/>
          <w:color w:val="000000"/>
          <w:kern w:val="2"/>
          <w:sz w:val="21"/>
          <w:szCs w:val="21"/>
        </w:rPr>
      </w:pPr>
      <w:r>
        <w:rPr>
          <w:rFonts w:hint="eastAsia" w:ascii="宋体" w:hAnsi="宋体"/>
          <w:color w:val="000000"/>
          <w:kern w:val="2"/>
          <w:sz w:val="21"/>
          <w:szCs w:val="21"/>
        </w:rPr>
        <w:t>二、甲乙双方要严格遵守合同，真诚合作，以保证信息系统基础设施设备稳定、可靠运行。</w:t>
      </w:r>
    </w:p>
    <w:p>
      <w:pPr>
        <w:widowControl w:val="0"/>
        <w:spacing w:line="500" w:lineRule="exact"/>
        <w:ind w:firstLine="420" w:firstLineChars="200"/>
        <w:jc w:val="both"/>
        <w:rPr>
          <w:rFonts w:ascii="宋体" w:hAnsi="宋体"/>
          <w:bCs/>
          <w:kern w:val="2"/>
          <w:sz w:val="21"/>
          <w:szCs w:val="21"/>
        </w:rPr>
      </w:pPr>
      <w:r>
        <w:rPr>
          <w:rFonts w:hint="eastAsia" w:ascii="宋体" w:hAnsi="宋体"/>
          <w:color w:val="000000"/>
          <w:kern w:val="2"/>
          <w:sz w:val="21"/>
          <w:szCs w:val="21"/>
        </w:rPr>
        <w:t>三、</w:t>
      </w:r>
      <w:r>
        <w:rPr>
          <w:rFonts w:hint="eastAsia" w:ascii="宋体" w:hAnsi="宋体"/>
          <w:kern w:val="2"/>
          <w:sz w:val="21"/>
          <w:szCs w:val="21"/>
        </w:rPr>
        <w:t>除双方另有约定外，甲乙双方之间任何与本合同相关的结算，均使用并且只能使用本合同中甲、乙双方指定的银行账户通过电汇进行结算。</w:t>
      </w:r>
    </w:p>
    <w:tbl>
      <w:tblPr>
        <w:tblStyle w:val="9"/>
        <w:tblW w:w="88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4"/>
        <w:gridCol w:w="4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4404"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center"/>
              <w:rPr>
                <w:rFonts w:ascii="宋体" w:hAnsi="宋体"/>
                <w:b/>
                <w:bCs/>
                <w:kern w:val="2"/>
                <w:sz w:val="21"/>
                <w:szCs w:val="21"/>
              </w:rPr>
            </w:pPr>
            <w:r>
              <w:rPr>
                <w:rFonts w:hint="eastAsia" w:ascii="宋体" w:hAnsi="宋体"/>
                <w:b/>
                <w:bCs/>
                <w:kern w:val="2"/>
                <w:sz w:val="21"/>
                <w:szCs w:val="21"/>
              </w:rPr>
              <w:t>甲方</w:t>
            </w:r>
          </w:p>
        </w:tc>
        <w:tc>
          <w:tcPr>
            <w:tcW w:w="449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center"/>
              <w:rPr>
                <w:rFonts w:ascii="宋体" w:hAnsi="宋体"/>
                <w:b/>
                <w:bCs/>
                <w:kern w:val="2"/>
                <w:sz w:val="21"/>
                <w:szCs w:val="21"/>
              </w:rPr>
            </w:pPr>
            <w:r>
              <w:rPr>
                <w:rFonts w:hint="eastAsia" w:ascii="宋体" w:hAnsi="宋体"/>
                <w:b/>
                <w:bCs/>
                <w:kern w:val="2"/>
                <w:sz w:val="21"/>
                <w:szCs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4404"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kern w:val="2"/>
                <w:sz w:val="21"/>
                <w:szCs w:val="21"/>
              </w:rPr>
            </w:pPr>
            <w:r>
              <w:rPr>
                <w:rFonts w:hint="eastAsia" w:ascii="宋体" w:hAnsi="宋体"/>
                <w:bCs/>
                <w:kern w:val="2"/>
                <w:sz w:val="21"/>
                <w:szCs w:val="21"/>
              </w:rPr>
              <w:t>单位名称：北京创联致信科技有限公司</w:t>
            </w:r>
          </w:p>
        </w:tc>
        <w:tc>
          <w:tcPr>
            <w:tcW w:w="449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单位名称：北京创联致信科技有限公司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4404" w:type="dxa"/>
            <w:tcBorders>
              <w:top w:val="single" w:color="auto" w:sz="4" w:space="0"/>
              <w:left w:val="single" w:color="auto" w:sz="4" w:space="0"/>
              <w:bottom w:val="single" w:color="auto" w:sz="4" w:space="0"/>
              <w:right w:val="single" w:color="auto" w:sz="4" w:space="0"/>
            </w:tcBorders>
          </w:tcPr>
          <w:p>
            <w:pPr>
              <w:widowControl w:val="0"/>
              <w:spacing w:line="500" w:lineRule="exact"/>
              <w:jc w:val="both"/>
              <w:rPr>
                <w:rFonts w:ascii="宋体" w:hAnsi="宋体"/>
                <w:bCs/>
                <w:kern w:val="2"/>
                <w:sz w:val="21"/>
                <w:szCs w:val="21"/>
              </w:rPr>
            </w:pPr>
            <w:r>
              <w:rPr>
                <w:rFonts w:hint="eastAsia" w:ascii="宋体" w:hAnsi="宋体"/>
                <w:bCs/>
                <w:kern w:val="2"/>
                <w:sz w:val="21"/>
                <w:szCs w:val="21"/>
              </w:rPr>
              <w:t>单位地址：北京市海淀区清河</w:t>
            </w:r>
            <w:r>
              <w:rPr>
                <w:rFonts w:ascii="宋体" w:hAnsi="宋体"/>
                <w:bCs/>
                <w:kern w:val="2"/>
                <w:sz w:val="21"/>
                <w:szCs w:val="21"/>
              </w:rPr>
              <w:t>永泰中路25号A201</w:t>
            </w:r>
          </w:p>
        </w:tc>
        <w:tc>
          <w:tcPr>
            <w:tcW w:w="4491" w:type="dxa"/>
            <w:tcBorders>
              <w:top w:val="single" w:color="auto" w:sz="4" w:space="0"/>
              <w:left w:val="single" w:color="auto" w:sz="4" w:space="0"/>
              <w:bottom w:val="single" w:color="auto" w:sz="4" w:space="0"/>
              <w:right w:val="single" w:color="auto" w:sz="4" w:space="0"/>
            </w:tcBorders>
          </w:tcPr>
          <w:p>
            <w:pPr>
              <w:widowControl w:val="0"/>
              <w:spacing w:line="500" w:lineRule="exact"/>
              <w:jc w:val="both"/>
              <w:rPr>
                <w:rFonts w:ascii="宋体" w:hAnsi="宋体"/>
                <w:bCs/>
                <w:color w:val="FF0000"/>
                <w:kern w:val="2"/>
                <w:sz w:val="21"/>
                <w:szCs w:val="21"/>
              </w:rPr>
            </w:pPr>
            <w:r>
              <w:rPr>
                <w:rFonts w:hint="eastAsia" w:ascii="宋体" w:hAnsi="宋体"/>
                <w:bCs/>
                <w:color w:val="FF0000"/>
                <w:kern w:val="2"/>
                <w:sz w:val="21"/>
                <w:szCs w:val="21"/>
              </w:rPr>
              <w:t>单位地址：北京市海淀区清河</w:t>
            </w:r>
            <w:r>
              <w:rPr>
                <w:rFonts w:ascii="宋体" w:hAnsi="宋体"/>
                <w:bCs/>
                <w:color w:val="FF0000"/>
                <w:kern w:val="2"/>
                <w:sz w:val="21"/>
                <w:szCs w:val="21"/>
              </w:rPr>
              <w:t>永泰中路25号A201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color w:val="FF0000"/>
                <w:kern w:val="2"/>
                <w:sz w:val="21"/>
                <w:szCs w:val="21"/>
              </w:rPr>
            </w:pPr>
            <w:r>
              <w:rPr>
                <w:rFonts w:hint="eastAsia" w:ascii="宋体" w:hAnsi="宋体"/>
                <w:bCs/>
                <w:kern w:val="2"/>
                <w:sz w:val="21"/>
                <w:szCs w:val="21"/>
              </w:rPr>
              <w:t>邮编：10019</w:t>
            </w:r>
            <w:r>
              <w:rPr>
                <w:rFonts w:ascii="宋体" w:hAnsi="宋体"/>
                <w:bCs/>
                <w:kern w:val="2"/>
                <w:sz w:val="21"/>
                <w:szCs w:val="21"/>
              </w:rPr>
              <w:t>2</w:t>
            </w:r>
          </w:p>
        </w:tc>
        <w:tc>
          <w:tcPr>
            <w:tcW w:w="449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邮编：10019</w:t>
            </w:r>
            <w:r>
              <w:rPr>
                <w:rFonts w:ascii="宋体" w:hAnsi="宋体"/>
                <w:bCs/>
                <w:color w:val="FF0000"/>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电话：</w:t>
            </w:r>
            <w:r>
              <w:rPr>
                <w:rFonts w:hint="eastAsia" w:ascii="宋体" w:hAnsi="宋体"/>
                <w:bCs/>
                <w:kern w:val="2"/>
                <w:sz w:val="21"/>
                <w:szCs w:val="21"/>
              </w:rPr>
              <w:t>010-</w:t>
            </w:r>
            <w:r>
              <w:rPr>
                <w:rFonts w:ascii="宋体" w:hAnsi="宋体"/>
                <w:bCs/>
                <w:kern w:val="2"/>
                <w:sz w:val="21"/>
                <w:szCs w:val="21"/>
              </w:rPr>
              <w:t>82746952</w:t>
            </w:r>
          </w:p>
        </w:tc>
        <w:tc>
          <w:tcPr>
            <w:tcW w:w="449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电话：010-</w:t>
            </w:r>
            <w:r>
              <w:rPr>
                <w:rFonts w:ascii="宋体" w:hAnsi="宋体"/>
                <w:bCs/>
                <w:color w:val="FF0000"/>
                <w:kern w:val="2"/>
                <w:sz w:val="21"/>
                <w:szCs w:val="21"/>
              </w:rPr>
              <w:t>82746952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4"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color w:val="FF0000"/>
                <w:kern w:val="2"/>
                <w:sz w:val="21"/>
                <w:szCs w:val="21"/>
              </w:rPr>
            </w:pPr>
            <w:r>
              <w:rPr>
                <w:rFonts w:hint="eastAsia" w:ascii="宋体" w:hAnsi="宋体"/>
                <w:bCs/>
                <w:kern w:val="2"/>
                <w:sz w:val="21"/>
                <w:szCs w:val="21"/>
              </w:rPr>
              <w:t>传真：010-</w:t>
            </w:r>
            <w:r>
              <w:rPr>
                <w:rFonts w:ascii="宋体" w:hAnsi="宋体"/>
                <w:bCs/>
                <w:kern w:val="2"/>
                <w:sz w:val="21"/>
                <w:szCs w:val="21"/>
              </w:rPr>
              <w:t>82746952</w:t>
            </w:r>
          </w:p>
        </w:tc>
        <w:tc>
          <w:tcPr>
            <w:tcW w:w="449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传真：</w:t>
            </w:r>
            <w:bookmarkStart w:id="1" w:name="OLE_LINK1"/>
            <w:r>
              <w:rPr>
                <w:rFonts w:hint="eastAsia" w:ascii="宋体" w:hAnsi="宋体"/>
                <w:bCs/>
                <w:color w:val="FF0000"/>
                <w:kern w:val="2"/>
                <w:sz w:val="21"/>
                <w:szCs w:val="21"/>
              </w:rPr>
              <w:t>010-</w:t>
            </w:r>
            <w:bookmarkEnd w:id="1"/>
            <w:r>
              <w:rPr>
                <w:rFonts w:ascii="宋体" w:hAnsi="宋体"/>
                <w:bCs/>
                <w:color w:val="FF0000"/>
                <w:kern w:val="2"/>
                <w:sz w:val="21"/>
                <w:szCs w:val="21"/>
              </w:rPr>
              <w:t>82746952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6" w:hRule="atLeast"/>
        </w:trPr>
        <w:tc>
          <w:tcPr>
            <w:tcW w:w="4404"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kern w:val="2"/>
                <w:sz w:val="21"/>
                <w:szCs w:val="21"/>
              </w:rPr>
            </w:pPr>
            <w:r>
              <w:rPr>
                <w:rFonts w:hint="eastAsia" w:ascii="宋体" w:hAnsi="宋体"/>
                <w:bCs/>
                <w:kern w:val="2"/>
                <w:sz w:val="21"/>
                <w:szCs w:val="21"/>
              </w:rPr>
              <w:t>单位信息：</w:t>
            </w:r>
          </w:p>
          <w:p>
            <w:pPr>
              <w:widowControl w:val="0"/>
              <w:spacing w:line="500" w:lineRule="exact"/>
              <w:ind w:firstLine="200"/>
              <w:jc w:val="both"/>
              <w:rPr>
                <w:rFonts w:ascii="宋体" w:hAnsi="宋体"/>
                <w:bCs/>
                <w:kern w:val="2"/>
                <w:sz w:val="21"/>
                <w:szCs w:val="21"/>
              </w:rPr>
            </w:pPr>
            <w:r>
              <w:rPr>
                <w:rFonts w:hint="eastAsia" w:ascii="宋体" w:hAnsi="宋体"/>
                <w:bCs/>
                <w:kern w:val="2"/>
                <w:sz w:val="21"/>
                <w:szCs w:val="21"/>
              </w:rPr>
              <w:t>名称：北京创联致信科技有限公司</w:t>
            </w:r>
          </w:p>
          <w:p>
            <w:pPr>
              <w:widowControl w:val="0"/>
              <w:spacing w:line="500" w:lineRule="exact"/>
              <w:ind w:firstLine="200"/>
              <w:jc w:val="both"/>
              <w:rPr>
                <w:rFonts w:ascii="宋体" w:hAnsi="宋体"/>
                <w:bCs/>
                <w:kern w:val="2"/>
                <w:sz w:val="21"/>
                <w:szCs w:val="21"/>
              </w:rPr>
            </w:pPr>
            <w:r>
              <w:rPr>
                <w:rFonts w:hint="eastAsia" w:ascii="宋体" w:hAnsi="宋体"/>
                <w:bCs/>
                <w:kern w:val="2"/>
                <w:sz w:val="21"/>
                <w:szCs w:val="21"/>
              </w:rPr>
              <w:t>纳税识别号：91110108596007659D</w:t>
            </w:r>
          </w:p>
          <w:p>
            <w:pPr>
              <w:widowControl w:val="0"/>
              <w:spacing w:line="500" w:lineRule="exact"/>
              <w:ind w:firstLine="200"/>
              <w:jc w:val="both"/>
              <w:rPr>
                <w:rFonts w:ascii="宋体" w:hAnsi="宋体"/>
                <w:bCs/>
                <w:kern w:val="2"/>
                <w:sz w:val="21"/>
                <w:szCs w:val="21"/>
              </w:rPr>
            </w:pPr>
            <w:r>
              <w:rPr>
                <w:rFonts w:hint="eastAsia" w:ascii="宋体" w:hAnsi="宋体"/>
                <w:bCs/>
                <w:kern w:val="2"/>
                <w:sz w:val="21"/>
                <w:szCs w:val="21"/>
              </w:rPr>
              <w:t>开户银行：中国民生银行股份有限公司北京东二环支行</w:t>
            </w:r>
          </w:p>
          <w:p>
            <w:pPr>
              <w:rPr>
                <w:sz w:val="28"/>
                <w:szCs w:val="28"/>
              </w:rPr>
            </w:pPr>
            <w:r>
              <w:rPr>
                <w:rFonts w:hint="eastAsia" w:ascii="宋体" w:hAnsi="宋体"/>
                <w:bCs/>
                <w:kern w:val="2"/>
                <w:sz w:val="21"/>
                <w:szCs w:val="21"/>
              </w:rPr>
              <w:t>银行账号：0148012830000756</w:t>
            </w:r>
          </w:p>
        </w:tc>
        <w:tc>
          <w:tcPr>
            <w:tcW w:w="4491" w:type="dxa"/>
            <w:tcBorders>
              <w:top w:val="single" w:color="auto" w:sz="4" w:space="0"/>
              <w:left w:val="single" w:color="auto" w:sz="4" w:space="0"/>
              <w:bottom w:val="single" w:color="auto" w:sz="4" w:space="0"/>
              <w:right w:val="single" w:color="auto" w:sz="4" w:space="0"/>
            </w:tcBorders>
          </w:tcPr>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单位信息：</w:t>
            </w:r>
          </w:p>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名称：北京创联致信科技有限公司</w:t>
            </w:r>
          </w:p>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纳税识别号：91110108596007659D</w:t>
            </w:r>
          </w:p>
          <w:p>
            <w:pPr>
              <w:widowControl w:val="0"/>
              <w:spacing w:line="500" w:lineRule="exact"/>
              <w:ind w:firstLine="200"/>
              <w:jc w:val="both"/>
              <w:rPr>
                <w:rFonts w:ascii="宋体" w:hAnsi="宋体"/>
                <w:bCs/>
                <w:color w:val="FF0000"/>
                <w:kern w:val="2"/>
                <w:sz w:val="21"/>
                <w:szCs w:val="21"/>
              </w:rPr>
            </w:pPr>
            <w:r>
              <w:rPr>
                <w:rFonts w:hint="eastAsia" w:ascii="宋体" w:hAnsi="宋体"/>
                <w:bCs/>
                <w:color w:val="FF0000"/>
                <w:kern w:val="2"/>
                <w:sz w:val="21"/>
                <w:szCs w:val="21"/>
              </w:rPr>
              <w:t>开户银行：中国民生银行股份有限公司北京东二环支行</w:t>
            </w:r>
          </w:p>
          <w:p>
            <w:pPr>
              <w:rPr>
                <w:color w:val="FF0000"/>
                <w:sz w:val="28"/>
                <w:szCs w:val="28"/>
              </w:rPr>
            </w:pPr>
            <w:r>
              <w:rPr>
                <w:rFonts w:hint="eastAsia" w:ascii="宋体" w:hAnsi="宋体"/>
                <w:bCs/>
                <w:color w:val="FF0000"/>
                <w:kern w:val="2"/>
                <w:sz w:val="21"/>
                <w:szCs w:val="21"/>
              </w:rPr>
              <w:t>银行账号：0148012830000756</w:t>
            </w:r>
          </w:p>
        </w:tc>
      </w:tr>
    </w:tbl>
    <w:p>
      <w:pPr>
        <w:widowControl w:val="0"/>
        <w:autoSpaceDE w:val="0"/>
        <w:autoSpaceDN w:val="0"/>
        <w:adjustRightInd w:val="0"/>
        <w:spacing w:line="500" w:lineRule="exact"/>
        <w:ind w:firstLine="200"/>
        <w:jc w:val="center"/>
        <w:outlineLvl w:val="0"/>
        <w:rPr>
          <w:rFonts w:ascii="宋体" w:hAnsi="宋体"/>
          <w:b/>
          <w:bCs/>
          <w:kern w:val="2"/>
          <w:sz w:val="21"/>
          <w:szCs w:val="21"/>
        </w:rPr>
      </w:pPr>
    </w:p>
    <w:p>
      <w:pPr>
        <w:widowControl w:val="0"/>
        <w:autoSpaceDE w:val="0"/>
        <w:autoSpaceDN w:val="0"/>
        <w:adjustRightInd w:val="0"/>
        <w:spacing w:line="500" w:lineRule="exact"/>
        <w:ind w:firstLine="200"/>
        <w:jc w:val="center"/>
        <w:outlineLvl w:val="0"/>
        <w:rPr>
          <w:rFonts w:ascii="宋体" w:hAnsi="宋体"/>
          <w:b/>
          <w:bCs/>
          <w:kern w:val="2"/>
          <w:sz w:val="21"/>
          <w:szCs w:val="21"/>
        </w:rPr>
      </w:pPr>
      <w:r>
        <w:rPr>
          <w:rFonts w:hint="eastAsia" w:ascii="宋体" w:hAnsi="宋体"/>
          <w:b/>
          <w:bCs/>
          <w:kern w:val="2"/>
          <w:sz w:val="21"/>
          <w:szCs w:val="21"/>
        </w:rPr>
        <w:t>第二章 定  义</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在本合同中，下列用词及用语除上下文另有规定外，应具有本章赋予的特定含义：</w:t>
      </w:r>
    </w:p>
    <w:p>
      <w:pPr>
        <w:widowControl w:val="0"/>
        <w:spacing w:line="500" w:lineRule="exact"/>
        <w:ind w:firstLine="422" w:firstLineChars="200"/>
        <w:jc w:val="both"/>
        <w:rPr>
          <w:rFonts w:ascii="宋体" w:hAnsi="宋体"/>
          <w:kern w:val="2"/>
          <w:sz w:val="21"/>
          <w:szCs w:val="21"/>
        </w:rPr>
      </w:pPr>
      <w:r>
        <w:rPr>
          <w:rFonts w:hint="eastAsia" w:ascii="宋体" w:hAnsi="宋体"/>
          <w:b/>
          <w:kern w:val="2"/>
          <w:sz w:val="21"/>
          <w:szCs w:val="21"/>
        </w:rPr>
        <w:t>一、合  同：</w:t>
      </w:r>
      <w:r>
        <w:rPr>
          <w:rFonts w:hint="eastAsia" w:ascii="宋体" w:hAnsi="宋体"/>
          <w:kern w:val="2"/>
          <w:sz w:val="21"/>
          <w:szCs w:val="21"/>
        </w:rPr>
        <w:t>是指甲方与乙方为信息系统基础设施运维服务而签订的协议，包括所有条款和附件。本合同对双方均有约束力。</w:t>
      </w:r>
    </w:p>
    <w:p>
      <w:pPr>
        <w:widowControl w:val="0"/>
        <w:spacing w:line="500" w:lineRule="exact"/>
        <w:ind w:firstLine="422" w:firstLineChars="200"/>
        <w:jc w:val="both"/>
        <w:rPr>
          <w:rFonts w:ascii="宋体" w:hAnsi="宋体"/>
          <w:kern w:val="2"/>
          <w:sz w:val="21"/>
          <w:szCs w:val="21"/>
        </w:rPr>
      </w:pPr>
      <w:r>
        <w:rPr>
          <w:rFonts w:hint="eastAsia" w:ascii="宋体" w:hAnsi="宋体"/>
          <w:b/>
          <w:kern w:val="2"/>
          <w:sz w:val="21"/>
          <w:szCs w:val="21"/>
        </w:rPr>
        <w:t>二、合同方：</w:t>
      </w:r>
      <w:r>
        <w:rPr>
          <w:rFonts w:hint="eastAsia" w:ascii="宋体" w:hAnsi="宋体"/>
          <w:kern w:val="2"/>
          <w:sz w:val="21"/>
          <w:szCs w:val="21"/>
        </w:rPr>
        <w:t>是指甲乙双方。</w:t>
      </w:r>
    </w:p>
    <w:p>
      <w:pPr>
        <w:widowControl w:val="0"/>
        <w:spacing w:line="500" w:lineRule="exact"/>
        <w:ind w:firstLine="422" w:firstLineChars="200"/>
        <w:jc w:val="both"/>
        <w:rPr>
          <w:rFonts w:ascii="宋体" w:hAnsi="宋体"/>
          <w:kern w:val="2"/>
          <w:sz w:val="21"/>
          <w:szCs w:val="21"/>
        </w:rPr>
      </w:pPr>
      <w:r>
        <w:rPr>
          <w:rFonts w:hint="eastAsia" w:ascii="宋体" w:hAnsi="宋体"/>
          <w:b/>
          <w:kern w:val="2"/>
          <w:sz w:val="21"/>
          <w:szCs w:val="21"/>
        </w:rPr>
        <w:t>三、设  备：</w:t>
      </w:r>
      <w:r>
        <w:rPr>
          <w:rFonts w:hint="eastAsia" w:ascii="宋体" w:hAnsi="宋体"/>
          <w:kern w:val="2"/>
          <w:sz w:val="21"/>
          <w:szCs w:val="21"/>
        </w:rPr>
        <w:t>是指合同中要求乙方提供维护保修服务的所有信息系统基础设施、设备及相关软件，具体明细详见附件1。</w:t>
      </w:r>
    </w:p>
    <w:p>
      <w:pPr>
        <w:widowControl w:val="0"/>
        <w:spacing w:line="500" w:lineRule="exact"/>
        <w:ind w:firstLine="422" w:firstLineChars="200"/>
        <w:jc w:val="both"/>
        <w:rPr>
          <w:rFonts w:ascii="宋体" w:hAnsi="宋体"/>
          <w:kern w:val="2"/>
          <w:sz w:val="21"/>
          <w:szCs w:val="21"/>
        </w:rPr>
      </w:pPr>
      <w:r>
        <w:rPr>
          <w:rFonts w:hint="eastAsia" w:ascii="宋体" w:hAnsi="宋体"/>
          <w:b/>
          <w:kern w:val="2"/>
          <w:sz w:val="21"/>
          <w:szCs w:val="21"/>
        </w:rPr>
        <w:t>四、合同期：</w:t>
      </w:r>
      <w:r>
        <w:rPr>
          <w:rFonts w:hint="eastAsia" w:ascii="宋体" w:hAnsi="宋体"/>
          <w:kern w:val="2"/>
          <w:sz w:val="21"/>
          <w:szCs w:val="21"/>
        </w:rPr>
        <w:t>是指自甲乙双方就信息系统基础设施运行维护保修服务签订的合同有效期。</w:t>
      </w:r>
    </w:p>
    <w:p>
      <w:pPr>
        <w:widowControl w:val="0"/>
        <w:spacing w:line="500" w:lineRule="exact"/>
        <w:ind w:firstLine="422" w:firstLineChars="200"/>
        <w:jc w:val="both"/>
        <w:rPr>
          <w:rFonts w:ascii="宋体" w:hAnsi="宋体"/>
          <w:kern w:val="2"/>
          <w:sz w:val="21"/>
          <w:szCs w:val="21"/>
        </w:rPr>
      </w:pPr>
      <w:r>
        <w:rPr>
          <w:rFonts w:hint="eastAsia" w:ascii="宋体" w:hAnsi="宋体"/>
          <w:b/>
          <w:kern w:val="2"/>
          <w:sz w:val="21"/>
          <w:szCs w:val="21"/>
        </w:rPr>
        <w:t>五、服务地点：</w:t>
      </w:r>
      <w:r>
        <w:rPr>
          <w:rFonts w:hint="eastAsia" w:ascii="宋体" w:hAnsi="宋体"/>
          <w:kern w:val="2"/>
          <w:sz w:val="21"/>
          <w:szCs w:val="21"/>
        </w:rPr>
        <w:t>指内蒙古自治区呼和浩特市昭乌达路1号中国烟草总公司内蒙古自治区公司、昭乌达路61号办公区、大学西路139号办公区。</w:t>
      </w:r>
    </w:p>
    <w:p>
      <w:pPr>
        <w:widowControl w:val="0"/>
        <w:spacing w:line="500" w:lineRule="exact"/>
        <w:ind w:firstLine="422" w:firstLineChars="200"/>
        <w:jc w:val="both"/>
        <w:rPr>
          <w:rFonts w:ascii="宋体" w:hAnsi="宋体"/>
          <w:kern w:val="2"/>
          <w:sz w:val="21"/>
          <w:szCs w:val="21"/>
        </w:rPr>
      </w:pPr>
      <w:r>
        <w:rPr>
          <w:rFonts w:hint="eastAsia" w:ascii="宋体" w:hAnsi="宋体"/>
          <w:b/>
          <w:kern w:val="2"/>
          <w:sz w:val="21"/>
          <w:szCs w:val="21"/>
        </w:rPr>
        <w:t>六、不可抗力：</w:t>
      </w:r>
      <w:r>
        <w:rPr>
          <w:rFonts w:hint="eastAsia" w:ascii="宋体" w:hAnsi="宋体"/>
          <w:kern w:val="2"/>
          <w:sz w:val="21"/>
          <w:szCs w:val="21"/>
        </w:rPr>
        <w:t>指因战争、洪水、地震、雷电、火灾等不可预见、不能避免、不能克服的自然灾害。</w:t>
      </w:r>
    </w:p>
    <w:p>
      <w:pPr>
        <w:widowControl w:val="0"/>
        <w:autoSpaceDE w:val="0"/>
        <w:autoSpaceDN w:val="0"/>
        <w:adjustRightInd w:val="0"/>
        <w:spacing w:line="500" w:lineRule="exact"/>
        <w:ind w:firstLine="200"/>
        <w:jc w:val="center"/>
        <w:outlineLvl w:val="0"/>
        <w:rPr>
          <w:rFonts w:ascii="宋体" w:hAnsi="宋体"/>
          <w:b/>
          <w:bCs/>
          <w:kern w:val="2"/>
          <w:sz w:val="21"/>
          <w:szCs w:val="21"/>
        </w:rPr>
      </w:pPr>
      <w:r>
        <w:rPr>
          <w:rFonts w:hint="eastAsia" w:ascii="宋体" w:hAnsi="宋体"/>
          <w:b/>
          <w:bCs/>
          <w:kern w:val="2"/>
          <w:sz w:val="21"/>
          <w:szCs w:val="21"/>
        </w:rPr>
        <w:t>第三章 合同内容及要求</w:t>
      </w:r>
    </w:p>
    <w:p>
      <w:pPr>
        <w:widowControl w:val="0"/>
        <w:spacing w:line="500" w:lineRule="exact"/>
        <w:ind w:firstLine="422" w:firstLineChars="200"/>
        <w:jc w:val="both"/>
        <w:rPr>
          <w:rFonts w:ascii="宋体" w:hAnsi="宋体"/>
          <w:b/>
          <w:kern w:val="2"/>
          <w:sz w:val="21"/>
          <w:szCs w:val="21"/>
        </w:rPr>
      </w:pPr>
      <w:r>
        <w:rPr>
          <w:rFonts w:hint="eastAsia" w:ascii="宋体" w:hAnsi="宋体"/>
          <w:b/>
          <w:kern w:val="2"/>
          <w:sz w:val="21"/>
          <w:szCs w:val="21"/>
        </w:rPr>
        <w:t>3.1服务的基本原则</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w:t>
      </w:r>
      <w:r>
        <w:rPr>
          <w:rFonts w:hint="eastAsia" w:ascii="宋体" w:hAnsi="宋体"/>
          <w:b/>
          <w:kern w:val="2"/>
          <w:sz w:val="21"/>
          <w:szCs w:val="21"/>
        </w:rPr>
        <w:t>最小影响原则：</w:t>
      </w:r>
      <w:r>
        <w:rPr>
          <w:rFonts w:hint="eastAsia" w:ascii="宋体" w:hAnsi="宋体"/>
          <w:kern w:val="2"/>
          <w:sz w:val="21"/>
          <w:szCs w:val="21"/>
        </w:rPr>
        <w:t>服务工作不能对现有信息系统及网络的正常运行产生显著影响。</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w:t>
      </w:r>
      <w:r>
        <w:rPr>
          <w:rFonts w:hint="eastAsia" w:ascii="宋体" w:hAnsi="宋体"/>
          <w:b/>
          <w:kern w:val="2"/>
          <w:sz w:val="21"/>
          <w:szCs w:val="21"/>
        </w:rPr>
        <w:t>保密性原则：</w:t>
      </w:r>
      <w:r>
        <w:rPr>
          <w:rFonts w:hint="eastAsia" w:ascii="宋体" w:hAnsi="宋体"/>
          <w:kern w:val="2"/>
          <w:sz w:val="21"/>
          <w:szCs w:val="21"/>
        </w:rPr>
        <w:t>对服务过程中获知的任何业务系统及信息系统基础设施信息均属秘密信息，不得泄露给第三方单位或个人，不得利用这些信息进行任何违法行为。</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w:t>
      </w:r>
      <w:r>
        <w:rPr>
          <w:rFonts w:hint="eastAsia" w:ascii="宋体" w:hAnsi="宋体"/>
          <w:b/>
          <w:kern w:val="2"/>
          <w:sz w:val="21"/>
          <w:szCs w:val="21"/>
        </w:rPr>
        <w:t>规范性原则：</w:t>
      </w:r>
      <w:r>
        <w:rPr>
          <w:rFonts w:hint="eastAsia" w:ascii="宋体" w:hAnsi="宋体"/>
          <w:kern w:val="2"/>
          <w:sz w:val="21"/>
          <w:szCs w:val="21"/>
        </w:rPr>
        <w:t>服务的实施必须由专业的、有资质的工程师依照规范的操作流程进行，对操作过程和结果要有相应的记录，提供完整的服务报告。</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w:t>
      </w:r>
      <w:r>
        <w:rPr>
          <w:rFonts w:hint="eastAsia" w:ascii="宋体" w:hAnsi="宋体"/>
          <w:b/>
          <w:kern w:val="2"/>
          <w:sz w:val="21"/>
          <w:szCs w:val="21"/>
        </w:rPr>
        <w:t>可控性原则：</w:t>
      </w:r>
      <w:r>
        <w:rPr>
          <w:rFonts w:hint="eastAsia" w:ascii="宋体" w:hAnsi="宋体"/>
          <w:kern w:val="2"/>
          <w:sz w:val="21"/>
          <w:szCs w:val="21"/>
        </w:rPr>
        <w:t xml:space="preserve">服务的工具、方法和过程要在双方认可的范围之内，保证对服务过程的可控性。 </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w:t>
      </w:r>
      <w:r>
        <w:rPr>
          <w:rFonts w:hint="eastAsia" w:ascii="宋体" w:hAnsi="宋体"/>
          <w:b/>
          <w:kern w:val="2"/>
          <w:sz w:val="21"/>
          <w:szCs w:val="21"/>
        </w:rPr>
        <w:t>及时性原则：</w:t>
      </w:r>
      <w:r>
        <w:rPr>
          <w:rFonts w:hint="eastAsia" w:ascii="宋体" w:hAnsi="宋体"/>
          <w:kern w:val="2"/>
          <w:sz w:val="21"/>
          <w:szCs w:val="21"/>
        </w:rPr>
        <w:t>服务的及时性是解决故障的重要因素, 要为用户提供更加主动的服务，缩短故障解决时间, 出现故障后能够及时发现和处理。</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乙方必须根据以上原则为甲方信息系统基础设施、设备及系统设计制定相应的维护保修技术方案，提供整套全面可靠的服务项目和内容。从 7×24 小时电话和现场技术支持到主动的服务计划及实时监测，最大限度地减少信息系统基础设施、设备及软件的故障停机时间，达到信息系统基础设施设备安全、可靠、连续运行的目标。</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本合同项下双方的信息资料均为保密信息。在未获得任何一方事先书面同意前，不得以任何理由或目的将信息披露给任何第三方。</w:t>
      </w:r>
    </w:p>
    <w:p>
      <w:pPr>
        <w:widowControl w:val="0"/>
        <w:spacing w:line="500" w:lineRule="exact"/>
        <w:ind w:left="137" w:leftChars="57" w:firstLine="422" w:firstLineChars="200"/>
        <w:rPr>
          <w:rFonts w:ascii="宋体" w:hAnsi="宋体"/>
          <w:b/>
          <w:color w:val="000000"/>
          <w:kern w:val="2"/>
          <w:sz w:val="21"/>
          <w:szCs w:val="21"/>
        </w:rPr>
      </w:pPr>
      <w:r>
        <w:rPr>
          <w:rFonts w:hint="eastAsia" w:ascii="宋体" w:hAnsi="宋体"/>
          <w:b/>
          <w:color w:val="000000"/>
          <w:kern w:val="2"/>
          <w:sz w:val="21"/>
          <w:szCs w:val="21"/>
        </w:rPr>
        <w:t>3.2基础设施情况</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甲方机房配套设备包括：空调系统4台，空调软化水系统2套，供配电系统2套，UPS系统1套，消防系统2套，机房监控系统2套，新风系统1套，加湿机1台，KVM系统2套。</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主机设备中服务器包括：IBM P系列小型机23台，IBM BladeCenter H 刀片机箱3台，IBM BladeCenter H 刀片服务器 30台，IBM X系列PC服务器41台，SUN V880服务器2台，DellPC服务器5台，曙光 I620r服务器 2台，HP PC服务器2台。存储设备包括IBM XIV 2套，IBM DS4800 2套，IBM FastT600 1套，IBM DS4700 3套，Infortrend F16F 1套，IBM DS4300 1套，IBM DS3400 1套。磁带库包括FalconStor VTL1000i 1套，IBM TS3200 1套。光线交换机包括IBM H08 2台，H16 2台，B16 7台，B24 6台，B40 2台。基础软件包括上述服务器所用操作系统（含Windows、IBM AIX及Linux等）、数据库（含IBM DB2企业版等）、中间件软件（含IBM WAS等）。存储设备的配套管理软件。</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网络和信息安全设备包括路由器7台，交换机20台，防火墙9台，IDS 3台，IPS 1台，安全网关13台，思科网管软件1套。具体型号及参数见项目需求中设备清单。</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电视电话会议系统包括宝利通MCU 1台，视频终端VSX8000 2台，锐取录播系统1套，摄像头5个，液晶电视4台，音频设备1套。宝利通Group550两台，可视电话终端2台。</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高清视频会议系统包括华为9650MCU2台，华为TE50终端4台，TE40终端7台，创视通录播1套，高清视频矩阵2套，华为SMC2.0会管系统1套，高清摄像头6个，液晶电视8台等设备。上述设备及其它设备详见设备清单（详见附件1设备清单）。</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信息系统基础设施运行维护服务主要内容是为上述信息系统基础设施稳定、正常运行提供运行维护和保修及技术支持服务。</w:t>
      </w:r>
    </w:p>
    <w:p>
      <w:pPr>
        <w:widowControl w:val="0"/>
        <w:spacing w:line="500" w:lineRule="exact"/>
        <w:ind w:firstLine="200"/>
        <w:jc w:val="both"/>
        <w:outlineLvl w:val="1"/>
        <w:rPr>
          <w:rFonts w:ascii="宋体" w:hAnsi="宋体"/>
          <w:b/>
          <w:kern w:val="2"/>
          <w:sz w:val="21"/>
          <w:szCs w:val="21"/>
        </w:rPr>
      </w:pPr>
      <w:r>
        <w:rPr>
          <w:rFonts w:hint="eastAsia" w:ascii="宋体" w:hAnsi="宋体"/>
          <w:b/>
          <w:kern w:val="2"/>
          <w:sz w:val="21"/>
          <w:szCs w:val="21"/>
        </w:rPr>
        <w:t>3.2项目服务内容</w:t>
      </w:r>
      <w:bookmarkStart w:id="2" w:name="_Toc65498459"/>
      <w:bookmarkStart w:id="3" w:name="_Toc225256179"/>
      <w:bookmarkStart w:id="4" w:name="_Toc65846756"/>
      <w:bookmarkStart w:id="5" w:name="_Toc72678849"/>
      <w:bookmarkStart w:id="6" w:name="_Toc65641180"/>
      <w:bookmarkStart w:id="7" w:name="_Toc65597805"/>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乙方应根据设备及基础软件清单中列明的设备及基础软件提供保修及技术支持服务。通过对设备定期进行规范化的预防性维护，提高设备的可靠性、稳定性及可使用率；对存在问题及突发故障提供及时有效的技术支持、完善的解决方案，减低故障影响，使设备和系统保持或迅速恢复其良好的工作状态，消除产生故障的薄弱环节，使区公司机房内各类系统运行环境稳定、安全、合理和高效。</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本项目要求的服务指保修服务，即对设备及其运行的系统环境提供服务，包括平时的定期预防性维护、故障设备更换以及相关技术支持服务等。主要包括：</w:t>
      </w:r>
    </w:p>
    <w:p>
      <w:pPr>
        <w:spacing w:line="500" w:lineRule="exact"/>
        <w:ind w:firstLine="413" w:firstLineChars="196"/>
        <w:jc w:val="both"/>
        <w:outlineLvl w:val="2"/>
        <w:rPr>
          <w:rFonts w:ascii="宋体" w:hAnsi="宋体"/>
          <w:b/>
          <w:bCs/>
          <w:sz w:val="21"/>
          <w:szCs w:val="21"/>
        </w:rPr>
      </w:pPr>
      <w:r>
        <w:rPr>
          <w:rFonts w:hint="eastAsia" w:ascii="宋体" w:hAnsi="宋体"/>
          <w:b/>
          <w:bCs/>
          <w:sz w:val="21"/>
          <w:szCs w:val="21"/>
        </w:rPr>
        <w:t>1.设备保修及技术支持服务</w:t>
      </w:r>
    </w:p>
    <w:p>
      <w:pPr>
        <w:widowControl w:val="0"/>
        <w:spacing w:line="500" w:lineRule="exact"/>
        <w:ind w:firstLine="422" w:firstLineChars="200"/>
        <w:jc w:val="both"/>
        <w:rPr>
          <w:rFonts w:ascii="宋体" w:hAnsi="宋体"/>
          <w:kern w:val="2"/>
          <w:sz w:val="21"/>
          <w:szCs w:val="21"/>
        </w:rPr>
      </w:pPr>
      <w:r>
        <w:rPr>
          <w:rFonts w:hint="eastAsia" w:ascii="宋体" w:hAnsi="宋体"/>
          <w:b/>
          <w:kern w:val="2"/>
          <w:sz w:val="21"/>
          <w:szCs w:val="21"/>
        </w:rPr>
        <w:t>乙方必须提供所有已过保设备的维保服务，提供原厂配件，对所有设备及基础软件提供不低于原厂商标准的技术支持服务。</w:t>
      </w:r>
      <w:r>
        <w:rPr>
          <w:rFonts w:hint="eastAsia" w:ascii="宋体" w:hAnsi="宋体"/>
          <w:kern w:val="2"/>
          <w:sz w:val="21"/>
          <w:szCs w:val="21"/>
        </w:rPr>
        <w:t>乙方应根据甲方设备状况建立备件库并明确备用资源的存放位置，提供的配件必须为原厂产品，报修后8小时内送达招标人机房并更换完毕。对于一些重大故障，</w:t>
      </w:r>
      <w:r>
        <w:rPr>
          <w:rFonts w:hint="eastAsia" w:ascii="宋体" w:hAnsi="宋体"/>
          <w:b/>
          <w:kern w:val="2"/>
          <w:sz w:val="21"/>
          <w:szCs w:val="21"/>
        </w:rPr>
        <w:t>如由于乙方能力有限不能在承诺时间内修复故障，需要由原厂解决的，乙方必须提供原厂服务，必要时招标人甲方有权请其他专业公司提供维修服务，费用由乙方承担。</w:t>
      </w:r>
    </w:p>
    <w:p>
      <w:pPr>
        <w:numPr>
          <w:ilvl w:val="0"/>
          <w:numId w:val="5"/>
        </w:numPr>
        <w:spacing w:line="500" w:lineRule="exact"/>
        <w:ind w:firstLine="422" w:firstLineChars="200"/>
        <w:jc w:val="both"/>
        <w:outlineLvl w:val="2"/>
        <w:rPr>
          <w:rFonts w:ascii="宋体" w:hAnsi="宋体"/>
          <w:b/>
          <w:bCs/>
          <w:sz w:val="21"/>
          <w:szCs w:val="21"/>
        </w:rPr>
      </w:pPr>
      <w:r>
        <w:rPr>
          <w:rFonts w:hint="eastAsia" w:ascii="宋体" w:hAnsi="宋体"/>
          <w:b/>
          <w:bCs/>
          <w:sz w:val="21"/>
          <w:szCs w:val="21"/>
        </w:rPr>
        <w:t>驻场运维服务</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提供不少于7名驻场工程师组成驻场团队提供5*8小时的驻场服务和7*24小时驻场值班服务，并保证7*24小时应急响应。其中，驻场项目负责人1名（</w:t>
      </w:r>
      <w:r>
        <w:rPr>
          <w:rFonts w:hint="eastAsia" w:ascii="宋体" w:hAnsi="宋体"/>
          <w:b/>
          <w:kern w:val="2"/>
          <w:sz w:val="21"/>
          <w:szCs w:val="21"/>
        </w:rPr>
        <w:t>须熟悉机房运维、项目管理和信息化工作，大学本科及以上学历，具备3年以上相关工作经验，具备良好的组织协调能力</w:t>
      </w:r>
      <w:r>
        <w:rPr>
          <w:rFonts w:hint="eastAsia" w:ascii="宋体" w:hAnsi="宋体"/>
          <w:kern w:val="2"/>
          <w:sz w:val="21"/>
          <w:szCs w:val="21"/>
        </w:rPr>
        <w:t>），网络和信息安全小组负责人1名（</w:t>
      </w:r>
      <w:r>
        <w:rPr>
          <w:rFonts w:hint="eastAsia" w:ascii="宋体" w:hAnsi="宋体"/>
          <w:b/>
          <w:kern w:val="2"/>
          <w:sz w:val="21"/>
          <w:szCs w:val="21"/>
        </w:rPr>
        <w:t>须熟悉主流网络及信息安全设备的配置和维护，大学本科及以上学历，具备良好的组织协调能力</w:t>
      </w:r>
      <w:r>
        <w:rPr>
          <w:rFonts w:hint="eastAsia" w:ascii="宋体" w:hAnsi="宋体"/>
          <w:kern w:val="2"/>
          <w:sz w:val="21"/>
          <w:szCs w:val="21"/>
        </w:rPr>
        <w:t>），网络及信息安全工程师不少于1名（</w:t>
      </w:r>
      <w:r>
        <w:rPr>
          <w:rFonts w:hint="eastAsia" w:ascii="宋体" w:hAnsi="宋体"/>
          <w:b/>
          <w:kern w:val="2"/>
          <w:sz w:val="21"/>
          <w:szCs w:val="21"/>
        </w:rPr>
        <w:t>须具有两年以上且在有效期内的主流网络设备厂商认证资质的工程师</w:t>
      </w:r>
      <w:r>
        <w:rPr>
          <w:rFonts w:hint="eastAsia" w:ascii="宋体" w:hAnsi="宋体"/>
          <w:kern w:val="2"/>
          <w:sz w:val="21"/>
          <w:szCs w:val="21"/>
        </w:rPr>
        <w:t>），系统及主机小组负责人1名（</w:t>
      </w:r>
      <w:r>
        <w:rPr>
          <w:rFonts w:hint="eastAsia" w:ascii="宋体" w:hAnsi="宋体"/>
          <w:b/>
          <w:kern w:val="2"/>
          <w:sz w:val="21"/>
          <w:szCs w:val="21"/>
        </w:rPr>
        <w:t>须熟悉主流主机及服务器设备及操作系统等软件的配置和维护，大学本科及以上学历，具备良好的组织协调能力</w:t>
      </w:r>
      <w:r>
        <w:rPr>
          <w:rFonts w:hint="eastAsia" w:ascii="宋体" w:hAnsi="宋体"/>
          <w:kern w:val="2"/>
          <w:sz w:val="21"/>
          <w:szCs w:val="21"/>
        </w:rPr>
        <w:t>），系统及主机工程师不少于1名（</w:t>
      </w:r>
      <w:r>
        <w:rPr>
          <w:rFonts w:hint="eastAsia" w:ascii="宋体" w:hAnsi="宋体"/>
          <w:b/>
          <w:kern w:val="2"/>
          <w:sz w:val="21"/>
          <w:szCs w:val="21"/>
        </w:rPr>
        <w:t>系统工程师具有IBM相关认证资质及工作经验</w:t>
      </w:r>
      <w:r>
        <w:rPr>
          <w:rFonts w:hint="eastAsia" w:ascii="宋体" w:hAnsi="宋体"/>
          <w:kern w:val="2"/>
          <w:sz w:val="21"/>
          <w:szCs w:val="21"/>
        </w:rPr>
        <w:t>），视频会议系统维护工程师不少于1名（</w:t>
      </w:r>
      <w:r>
        <w:rPr>
          <w:rFonts w:hint="eastAsia" w:ascii="宋体" w:hAnsi="宋体"/>
          <w:b/>
          <w:kern w:val="2"/>
          <w:sz w:val="21"/>
          <w:szCs w:val="21"/>
        </w:rPr>
        <w:t>熟悉宝利通、华为等视频会议设备及相配套的录播等设备的操作使用及基本原理，具备1年相关工作经验</w:t>
      </w:r>
      <w:r>
        <w:rPr>
          <w:rFonts w:hint="eastAsia" w:ascii="宋体" w:hAnsi="宋体"/>
          <w:kern w:val="2"/>
          <w:sz w:val="21"/>
          <w:szCs w:val="21"/>
        </w:rPr>
        <w:t>），机房基础设施工程师不少于1名（</w:t>
      </w:r>
      <w:r>
        <w:rPr>
          <w:rFonts w:hint="eastAsia" w:ascii="宋体" w:hAnsi="宋体"/>
          <w:b/>
          <w:kern w:val="2"/>
          <w:sz w:val="21"/>
          <w:szCs w:val="21"/>
        </w:rPr>
        <w:t>熟悉精密空调、UPS电源、消防系统等机房基础设施操作使用及基本原理，具备3年相关工作经验</w:t>
      </w:r>
      <w:r>
        <w:rPr>
          <w:rFonts w:hint="eastAsia" w:ascii="宋体" w:hAnsi="宋体"/>
          <w:kern w:val="2"/>
          <w:sz w:val="21"/>
          <w:szCs w:val="21"/>
        </w:rPr>
        <w:t>）。驻场团队负责主机及存储设备、网络及信息安全设备、视频会议系统、机房基础设施及基础软件的运行维护，包括系统运行监控、日常巡检、故障处理、技术支持、系统优化、定期保养，技术支持协调等工作。维护服务范围不包含应用系统的维护、修改和升级，但需要保证应用系统所使用的数据库软件、应用服务器（含中间件）、存储以及安全相关软件的正常维护，比如升级、补丁等。</w:t>
      </w:r>
    </w:p>
    <w:p>
      <w:pPr>
        <w:spacing w:line="360" w:lineRule="auto"/>
        <w:ind w:firstLine="422" w:firstLineChars="200"/>
        <w:jc w:val="both"/>
        <w:outlineLvl w:val="2"/>
        <w:rPr>
          <w:rFonts w:ascii="宋体" w:hAnsi="宋体"/>
          <w:b/>
          <w:bCs/>
          <w:sz w:val="21"/>
          <w:szCs w:val="21"/>
        </w:rPr>
      </w:pPr>
      <w:r>
        <w:rPr>
          <w:rFonts w:hint="eastAsia" w:ascii="宋体" w:hAnsi="宋体"/>
          <w:b/>
          <w:bCs/>
          <w:sz w:val="21"/>
          <w:szCs w:val="21"/>
        </w:rPr>
        <w:t>3.其他运维服务内容</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（1）按照ISO9001、ISO20000、ISO27001有关规范建立机房运维服务体系。</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（2）区公司办公大楼6层机房提供7*24小时驻场值班，网络和信息安全工程师、系统及主机工程师须各1名提供5*8小时驻场服务。</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（3）对机房信息化资产使用情况进行统计、分析，定期清查机房资产，建立机房信息资产清单并及时更新维护。</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（4）提供数据备份（数据库、存储）日常维护服务，并建立合理的备份管理制度。</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（5）提供合同范围内的所有设备及系统的巡检报告、月报、季报、年报等所有服务内容的服务报告。</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（6）设立热线电话、传真、电子邮件，提供7*24小时维修服务和技术支持要求响应。</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（7）提供第三方服务协调管理。负责通告、督促、陪同、跟踪第三方厂商履行服务义务，并对第三方服务厂商服务的情况进行汇总和登记。</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（8）提供服务响应保障方案。</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（9）提供运维管理支撑平台。</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（10）提供服务人员管理及绩效考核标准。</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（11）提供技术咨询和管理咨询服务。</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（12）所有维保设备须提供区公司办公区内的免费搬迁移机服务。</w:t>
      </w:r>
    </w:p>
    <w:p>
      <w:pPr>
        <w:widowControl w:val="0"/>
        <w:spacing w:line="360" w:lineRule="auto"/>
        <w:ind w:left="137" w:leftChars="57" w:firstLine="422" w:firstLineChars="200"/>
        <w:outlineLvl w:val="1"/>
        <w:rPr>
          <w:rFonts w:ascii="宋体"/>
          <w:color w:val="000000"/>
          <w:kern w:val="2"/>
          <w:sz w:val="21"/>
          <w:szCs w:val="20"/>
        </w:rPr>
      </w:pPr>
      <w:r>
        <w:rPr>
          <w:rFonts w:hint="eastAsia" w:ascii="宋体"/>
          <w:b/>
          <w:color w:val="000000"/>
          <w:kern w:val="2"/>
          <w:sz w:val="21"/>
          <w:szCs w:val="20"/>
        </w:rPr>
        <w:t>3.3 运维服务方式和要求</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乙方应明确自己的责任和义务，在充分了解甲方现有环境基础上，严格按照约定的服务方式和标准，提供规范化、高质量的服务，并对服务质量作出可量化的承诺。</w:t>
      </w:r>
    </w:p>
    <w:p>
      <w:pPr>
        <w:spacing w:line="360" w:lineRule="auto"/>
        <w:ind w:firstLine="422" w:firstLineChars="200"/>
        <w:jc w:val="both"/>
        <w:outlineLvl w:val="2"/>
        <w:rPr>
          <w:rFonts w:ascii="宋体" w:hAnsi="宋体"/>
          <w:b/>
          <w:bCs/>
          <w:sz w:val="21"/>
          <w:szCs w:val="21"/>
        </w:rPr>
      </w:pPr>
      <w:r>
        <w:rPr>
          <w:rFonts w:hint="eastAsia" w:ascii="宋体" w:hAnsi="宋体"/>
          <w:b/>
          <w:bCs/>
          <w:sz w:val="21"/>
          <w:szCs w:val="21"/>
        </w:rPr>
        <w:t>1.服务响应时间要求</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乙方应提供分级的故障响应和处理标准承诺。当甲方因设备或系统故障或紧急问题需要乙方提供技术支持时，甲方应根据故障级别启动不同的服务流程。乙方需在投标书中提交服务响应方式和流程的详细说明以及相关记录文档模版，并如实提供以下几个服务时间点的承诺：服务响应时间（到达现场时间）、问题确珍时间、设备修复或问题解决时间。</w:t>
      </w:r>
    </w:p>
    <w:p>
      <w:pPr>
        <w:widowControl w:val="0"/>
        <w:tabs>
          <w:tab w:val="left" w:pos="720"/>
        </w:tabs>
        <w:spacing w:line="360" w:lineRule="auto"/>
        <w:ind w:firstLine="420" w:firstLineChars="200"/>
        <w:jc w:val="both"/>
        <w:rPr>
          <w:rFonts w:ascii="宋体" w:hAnsi="宋体"/>
          <w:spacing w:val="-2"/>
          <w:kern w:val="2"/>
          <w:sz w:val="21"/>
          <w:szCs w:val="21"/>
        </w:rPr>
      </w:pPr>
      <w:r>
        <w:rPr>
          <w:rFonts w:hint="eastAsia" w:ascii="宋体" w:hAnsi="宋体"/>
          <w:kern w:val="2"/>
          <w:sz w:val="21"/>
          <w:szCs w:val="21"/>
        </w:rPr>
        <w:t>当出现系统或软件故障时，在现场技术工程师和远程技术支持无法解决问题的情况下，</w:t>
      </w:r>
      <w:r>
        <w:rPr>
          <w:rFonts w:hint="eastAsia" w:ascii="宋体" w:hAnsi="宋体"/>
          <w:b/>
          <w:kern w:val="2"/>
          <w:sz w:val="21"/>
          <w:szCs w:val="21"/>
        </w:rPr>
        <w:t>甲方可要求提供第三方根据系统或软件的不规定具体时间的现</w:t>
      </w:r>
      <w:r>
        <w:rPr>
          <w:rFonts w:hint="eastAsia" w:ascii="宋体" w:hAnsi="宋体"/>
          <w:b/>
          <w:spacing w:val="-2"/>
          <w:kern w:val="2"/>
          <w:sz w:val="21"/>
          <w:szCs w:val="21"/>
        </w:rPr>
        <w:t>场技术支持服务，以迅速恢复系统或软件的运行，由此产生的费用由</w:t>
      </w:r>
      <w:r>
        <w:rPr>
          <w:rFonts w:hint="eastAsia" w:ascii="宋体" w:hAnsi="宋体"/>
          <w:b/>
          <w:kern w:val="2"/>
          <w:sz w:val="21"/>
          <w:szCs w:val="21"/>
        </w:rPr>
        <w:t>乙方</w:t>
      </w:r>
      <w:r>
        <w:rPr>
          <w:rFonts w:hint="eastAsia" w:ascii="宋体" w:hAnsi="宋体"/>
          <w:b/>
          <w:spacing w:val="-2"/>
          <w:kern w:val="2"/>
          <w:sz w:val="21"/>
          <w:szCs w:val="21"/>
        </w:rPr>
        <w:t>承担。</w:t>
      </w:r>
    </w:p>
    <w:p>
      <w:pPr>
        <w:widowControl w:val="0"/>
        <w:tabs>
          <w:tab w:val="left" w:pos="720"/>
        </w:tabs>
        <w:spacing w:line="360" w:lineRule="auto"/>
        <w:ind w:firstLine="420" w:firstLineChars="200"/>
        <w:jc w:val="both"/>
        <w:rPr>
          <w:rFonts w:ascii="宋体" w:hAnsi="宋体"/>
          <w:kern w:val="2"/>
          <w:sz w:val="21"/>
          <w:szCs w:val="21"/>
        </w:rPr>
      </w:pPr>
      <w:r>
        <w:rPr>
          <w:rFonts w:hint="eastAsia" w:ascii="宋体" w:hAnsi="宋体"/>
          <w:kern w:val="2"/>
          <w:sz w:val="21"/>
          <w:szCs w:val="21"/>
        </w:rPr>
        <w:t>对系统和设备的一般运行故障要求在4小时内完成故障处理。设备硬件故障发生后，按照服务流程进行备件更换，主要关键备件要求在8小时内完成，更换的硬件必须为原厂商的合格备件。</w:t>
      </w:r>
    </w:p>
    <w:p>
      <w:pPr>
        <w:widowControl w:val="0"/>
        <w:tabs>
          <w:tab w:val="left" w:pos="720"/>
        </w:tabs>
        <w:spacing w:line="360" w:lineRule="auto"/>
        <w:ind w:firstLine="420" w:firstLineChars="200"/>
        <w:jc w:val="both"/>
        <w:rPr>
          <w:rFonts w:ascii="宋体" w:hAnsi="宋体"/>
          <w:kern w:val="2"/>
          <w:sz w:val="21"/>
          <w:szCs w:val="21"/>
        </w:rPr>
      </w:pPr>
      <w:r>
        <w:rPr>
          <w:rFonts w:hint="eastAsia" w:ascii="宋体" w:hAnsi="宋体"/>
          <w:kern w:val="2"/>
          <w:sz w:val="21"/>
          <w:szCs w:val="21"/>
        </w:rPr>
        <w:t>设备硬件更换产生的费用由乙方承担，更换下来的备件归甲方支配（硬盘除外），对硬件的更换处理过程要详细做好服务记录备查。</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甲方对本项目的服务响应时间基本要求如下：</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现有网络和系统故障，对最终用户的业务运作产生严重影响的需在4小时解决。现有的网络或应用系统的操作性能严重下降，或由于网络或系统性能明显下降，对最终用户的操作性能产生重要影响的需在6小时内解决。网络或系统的操作性能受损，但最终用户大部分业务运作仍可正常工作需在8小时内解决。设备在运行中出现的断续或间接地影响系统功能和服务的故障需在24小时内解决。网络中断时间单次不得超过4小时，全年不得超过24小时。</w:t>
      </w:r>
    </w:p>
    <w:p>
      <w:pPr>
        <w:widowControl w:val="0"/>
        <w:spacing w:line="360" w:lineRule="auto"/>
        <w:ind w:firstLine="422" w:firstLineChars="200"/>
        <w:jc w:val="both"/>
        <w:rPr>
          <w:rFonts w:ascii="宋体" w:hAnsi="宋体"/>
          <w:b/>
          <w:kern w:val="2"/>
          <w:sz w:val="21"/>
          <w:szCs w:val="21"/>
        </w:rPr>
      </w:pPr>
      <w:r>
        <w:rPr>
          <w:rFonts w:hint="eastAsia" w:ascii="宋体" w:hAnsi="宋体"/>
          <w:b/>
          <w:kern w:val="2"/>
          <w:sz w:val="21"/>
          <w:szCs w:val="21"/>
        </w:rPr>
        <w:t>对于重大故障，如乙方能力有限不能在承诺时间内修复故障时，甲方有权请其它专业服务公司进行维修，该费用由乙方承担，由此造成的损失，甲方保留继续索赔的权利。</w:t>
      </w:r>
    </w:p>
    <w:p>
      <w:pPr>
        <w:tabs>
          <w:tab w:val="left" w:pos="3675"/>
        </w:tabs>
        <w:spacing w:line="360" w:lineRule="auto"/>
        <w:ind w:firstLine="422" w:firstLineChars="200"/>
        <w:jc w:val="both"/>
        <w:outlineLvl w:val="2"/>
        <w:rPr>
          <w:rFonts w:ascii="宋体" w:hAnsi="宋体"/>
          <w:b/>
          <w:bCs/>
          <w:sz w:val="21"/>
          <w:szCs w:val="21"/>
        </w:rPr>
      </w:pPr>
      <w:r>
        <w:rPr>
          <w:rFonts w:hint="eastAsia" w:ascii="宋体" w:hAnsi="宋体"/>
          <w:b/>
          <w:bCs/>
          <w:sz w:val="21"/>
          <w:szCs w:val="21"/>
        </w:rPr>
        <w:t>2.日常维护要求</w:t>
      </w:r>
      <w:r>
        <w:rPr>
          <w:rFonts w:hint="eastAsia" w:ascii="宋体" w:hAnsi="宋体"/>
          <w:b/>
          <w:bCs/>
          <w:sz w:val="21"/>
          <w:szCs w:val="21"/>
        </w:rPr>
        <w:tab/>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对机房设备进行定期巡检和预防性维护，主要包括以下内容：</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提供7×24小时现场驻场服务，及时处理运维事件并反馈处理情况。</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日巡检：每天不少于3次机房巡检，对设备运行状态、系统运行情况进行检查，及时发现故障。</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周检查：每周进行设备运行参数检查。</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月总结：每月进行巡检情况汇总报告。</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季分析：每季度提供设备运行状态、性能的分析、评估报告，提供调整方案，以提高系统的可靠性、可用性和整体性能。</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定期提供详细的可用性、安全性、运行情况分析等预防性维护策略、方案和总结报告。</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视频会议系统运维：保证可随时组织召开全区烟草行业电视电话会议。</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建立驻场运维服务档案，记录日常维护、系统监控和故障处理等情况。</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建立运维服务目录，明确服务级别，对工作时间和响应时间做出明确要求，制订应急处理运维服务规范。</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按照规定的运维服务流程开展运维工作，未经批准，不得实施系统配置变更等工作。</w:t>
      </w:r>
    </w:p>
    <w:p>
      <w:pPr>
        <w:spacing w:line="360" w:lineRule="auto"/>
        <w:ind w:firstLine="422" w:firstLineChars="200"/>
        <w:jc w:val="both"/>
        <w:outlineLvl w:val="2"/>
        <w:rPr>
          <w:rFonts w:ascii="宋体" w:hAnsi="宋体"/>
          <w:b/>
          <w:bCs/>
          <w:sz w:val="21"/>
          <w:szCs w:val="21"/>
        </w:rPr>
      </w:pPr>
      <w:r>
        <w:rPr>
          <w:rFonts w:hint="eastAsia" w:ascii="宋体" w:hAnsi="宋体"/>
          <w:b/>
          <w:bCs/>
          <w:sz w:val="21"/>
          <w:szCs w:val="21"/>
        </w:rPr>
        <w:t>3.服务队伍要求</w:t>
      </w:r>
    </w:p>
    <w:p>
      <w:pPr>
        <w:widowControl w:val="0"/>
        <w:spacing w:line="360" w:lineRule="auto"/>
        <w:ind w:firstLine="420" w:firstLineChars="200"/>
        <w:jc w:val="both"/>
        <w:rPr>
          <w:rFonts w:ascii="宋体" w:hAnsi="宋体"/>
          <w:spacing w:val="-2"/>
          <w:kern w:val="2"/>
          <w:sz w:val="21"/>
          <w:szCs w:val="21"/>
        </w:rPr>
      </w:pPr>
      <w:r>
        <w:rPr>
          <w:rFonts w:hint="eastAsia" w:ascii="宋体" w:hAnsi="宋体"/>
          <w:kern w:val="2"/>
          <w:sz w:val="21"/>
          <w:szCs w:val="21"/>
        </w:rPr>
        <w:t>乙方应派出投标文件中指定资历和经验的专业服务人员到现场提供服务工作。如因为乙方的原因，指定资历和经验的服务人员不能到现场服务，或在未得到甲方认可的情况下临时更换不符合规定条件的服务人员，甲方可</w:t>
      </w:r>
      <w:r>
        <w:rPr>
          <w:rFonts w:hint="eastAsia" w:ascii="宋体" w:hAnsi="宋体"/>
          <w:spacing w:val="-2"/>
          <w:kern w:val="2"/>
          <w:sz w:val="21"/>
          <w:szCs w:val="21"/>
        </w:rPr>
        <w:t>单方面解除服务合同，另行安排服务提供商，并保留追究中标方经济赔偿的权利。</w:t>
      </w:r>
    </w:p>
    <w:p>
      <w:pPr>
        <w:widowControl w:val="0"/>
        <w:spacing w:line="360" w:lineRule="auto"/>
        <w:ind w:firstLine="422" w:firstLineChars="200"/>
        <w:jc w:val="both"/>
        <w:rPr>
          <w:rFonts w:ascii="宋体" w:hAnsi="宋体"/>
          <w:b/>
          <w:kern w:val="2"/>
          <w:sz w:val="21"/>
          <w:szCs w:val="21"/>
        </w:rPr>
      </w:pPr>
      <w:r>
        <w:rPr>
          <w:rFonts w:hint="eastAsia" w:ascii="宋体" w:hAnsi="宋体"/>
          <w:b/>
          <w:kern w:val="2"/>
          <w:sz w:val="21"/>
          <w:szCs w:val="21"/>
        </w:rPr>
        <w:t>月度巡检人员须长期从事信息化运维工作，具有资深专业技术水平，拥有较强的系统优化能力，能处理重大故障，具有良好的沟通协调能力和项目管理经验。</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乙方要根据运维服务要求，组织安排后台技术专家团队提供二线技术支持，并与驻场运维人员形成运维服务团队和整体运维能力，确保运维服务质量。驻场运维服务人员要相对稳定，具备及时、有效处理日常运维事件的能力，负责每日巡检并编写每月巡检报告。</w:t>
      </w:r>
    </w:p>
    <w:p>
      <w:pPr>
        <w:spacing w:line="360" w:lineRule="auto"/>
        <w:ind w:firstLine="422" w:firstLineChars="200"/>
        <w:jc w:val="both"/>
        <w:outlineLvl w:val="2"/>
        <w:rPr>
          <w:rFonts w:ascii="宋体" w:hAnsi="宋体"/>
          <w:b/>
          <w:bCs/>
          <w:sz w:val="21"/>
          <w:szCs w:val="21"/>
        </w:rPr>
      </w:pPr>
      <w:r>
        <w:rPr>
          <w:rFonts w:hint="eastAsia" w:ascii="宋体" w:hAnsi="宋体"/>
          <w:b/>
          <w:bCs/>
          <w:sz w:val="21"/>
          <w:szCs w:val="21"/>
        </w:rPr>
        <w:t>4.服务报告要求</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乙方应主动与服务管理部门及时沟通服务情况，每月定期提供本月的服务月报，每季度提供当季运行维护工作汇总报告，每半年提供系统运行状况分析报告，每年底提供服务年报，并对每一次重大故障和问题的原因、解决方法、完成情况等形成专门报告，及时报送服务管理部门。</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根据甲方网络及设备、主机和系统运行情况，乙方应定期向甲方提出因产品故障或设备老化等问题需要新设备以及已过保修期需要购买保修服务的设备和系统软件的合理建议。</w:t>
      </w:r>
    </w:p>
    <w:p>
      <w:pPr>
        <w:spacing w:line="360" w:lineRule="auto"/>
        <w:ind w:firstLine="422" w:firstLineChars="200"/>
        <w:jc w:val="both"/>
        <w:outlineLvl w:val="2"/>
        <w:rPr>
          <w:rFonts w:ascii="宋体" w:hAnsi="宋体"/>
          <w:b/>
          <w:bCs/>
          <w:sz w:val="21"/>
          <w:szCs w:val="21"/>
        </w:rPr>
      </w:pPr>
      <w:r>
        <w:rPr>
          <w:rFonts w:hint="eastAsia" w:ascii="宋体" w:hAnsi="宋体"/>
          <w:b/>
          <w:bCs/>
          <w:sz w:val="21"/>
          <w:szCs w:val="21"/>
        </w:rPr>
        <w:t>5.项目管理要求</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乙方应派遣一名具有专业知识的资深管理人员担任项目经理，负责本项目的项目管理、统筹相关工作，项目监督与情况汇报，控制工作质量和预算，执行变更和应急情况管理，以保证此项目的正常高效运作。</w:t>
      </w:r>
    </w:p>
    <w:p>
      <w:pPr>
        <w:spacing w:line="360" w:lineRule="auto"/>
        <w:ind w:firstLine="422" w:firstLineChars="200"/>
        <w:jc w:val="both"/>
        <w:outlineLvl w:val="2"/>
        <w:rPr>
          <w:rFonts w:ascii="宋体" w:hAnsi="宋体"/>
          <w:b/>
          <w:bCs/>
          <w:sz w:val="21"/>
          <w:szCs w:val="21"/>
        </w:rPr>
      </w:pPr>
      <w:r>
        <w:rPr>
          <w:rFonts w:hint="eastAsia" w:ascii="宋体" w:hAnsi="宋体"/>
          <w:b/>
          <w:bCs/>
          <w:sz w:val="21"/>
          <w:szCs w:val="21"/>
        </w:rPr>
        <w:t>6.质量管理要求</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乙方应根据本项目要求提出服务质量管理及监控具体措施，并对所提供的服务质量和标准做出明确可量化的承诺，对不能达到服务承诺和标准的情况制定相应的赔偿条款。</w:t>
      </w:r>
    </w:p>
    <w:p>
      <w:pPr>
        <w:spacing w:line="360" w:lineRule="auto"/>
        <w:ind w:firstLine="422" w:firstLineChars="200"/>
        <w:jc w:val="both"/>
        <w:outlineLvl w:val="2"/>
        <w:rPr>
          <w:rFonts w:ascii="宋体" w:hAnsi="宋体"/>
          <w:b/>
          <w:bCs/>
          <w:sz w:val="21"/>
          <w:szCs w:val="21"/>
        </w:rPr>
      </w:pPr>
      <w:r>
        <w:rPr>
          <w:rFonts w:hint="eastAsia" w:ascii="宋体" w:hAnsi="宋体"/>
          <w:b/>
          <w:bCs/>
          <w:sz w:val="21"/>
          <w:szCs w:val="21"/>
        </w:rPr>
        <w:t>7.技术交流及培训要求</w:t>
      </w:r>
    </w:p>
    <w:p>
      <w:pPr>
        <w:widowControl w:val="0"/>
        <w:tabs>
          <w:tab w:val="left" w:pos="720"/>
        </w:tabs>
        <w:spacing w:line="360" w:lineRule="auto"/>
        <w:ind w:firstLine="420" w:firstLineChars="200"/>
        <w:jc w:val="both"/>
        <w:rPr>
          <w:rFonts w:ascii="宋体" w:hAnsi="宋体"/>
          <w:kern w:val="2"/>
          <w:sz w:val="21"/>
          <w:szCs w:val="21"/>
        </w:rPr>
      </w:pPr>
      <w:r>
        <w:rPr>
          <w:rFonts w:hint="eastAsia" w:ascii="宋体" w:hAnsi="宋体"/>
          <w:kern w:val="2"/>
          <w:sz w:val="21"/>
          <w:szCs w:val="21"/>
        </w:rPr>
        <w:t>乙方应向甲方的运维服务管理人员免费提供必须的服务技能培训，并对相关技术问题进行充分交流，以提高维护人员的业务水平，保障系统的稳定健康运行。</w:t>
      </w:r>
      <w:r>
        <w:rPr>
          <w:rFonts w:hint="eastAsia" w:ascii="宋体" w:hAnsi="宋体"/>
          <w:b/>
          <w:kern w:val="2"/>
          <w:sz w:val="21"/>
          <w:szCs w:val="21"/>
        </w:rPr>
        <w:t>为甲方的技术人员提供数据库、中间件和存储管理方面以及网络信息安全方面的原厂专业技术培训，保证一年至少4人次的培训。</w:t>
      </w:r>
    </w:p>
    <w:p>
      <w:pPr>
        <w:widowControl w:val="0"/>
        <w:tabs>
          <w:tab w:val="left" w:pos="720"/>
        </w:tabs>
        <w:spacing w:line="360" w:lineRule="auto"/>
        <w:ind w:firstLine="420" w:firstLineChars="200"/>
        <w:jc w:val="both"/>
        <w:rPr>
          <w:rFonts w:ascii="宋体" w:hAnsi="宋体"/>
          <w:kern w:val="2"/>
          <w:sz w:val="21"/>
          <w:szCs w:val="21"/>
        </w:rPr>
      </w:pPr>
      <w:r>
        <w:rPr>
          <w:rFonts w:hint="eastAsia" w:ascii="宋体" w:hAnsi="宋体"/>
          <w:kern w:val="2"/>
          <w:sz w:val="21"/>
          <w:szCs w:val="21"/>
        </w:rPr>
        <w:t>乙方提供至少每年一次网络、信息安全、服务器硬件、系统和软件的咨询、设计、实施、优化等方面的技术培训和交流。乙方要不断根据业务需求和市场的成长变化以及先进的信息技术发展方向提供定制的培训交流和个性化服务解决方案。</w:t>
      </w:r>
    </w:p>
    <w:p>
      <w:pPr>
        <w:spacing w:line="360" w:lineRule="auto"/>
        <w:ind w:firstLine="422" w:firstLineChars="200"/>
        <w:jc w:val="both"/>
        <w:outlineLvl w:val="2"/>
        <w:rPr>
          <w:rFonts w:ascii="宋体" w:hAnsi="宋体"/>
          <w:b/>
          <w:bCs/>
          <w:sz w:val="21"/>
          <w:szCs w:val="21"/>
        </w:rPr>
      </w:pPr>
      <w:r>
        <w:rPr>
          <w:rFonts w:hint="eastAsia" w:ascii="宋体" w:hAnsi="宋体"/>
          <w:b/>
          <w:bCs/>
          <w:sz w:val="21"/>
          <w:szCs w:val="21"/>
        </w:rPr>
        <w:t>8.其他要求</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（1）服务期限内，如遇重大项目实施、升级或改造，乙方应派相关二线技术专家提供驻场保障服务。</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（2）服务期限内，乙方须免费提供机房内运维设备的搬迁服务。</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（3）服务期限内，设备故障维修及备件更换、人工费等维修维护费用均由乙方承担。</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（4）乙方应认真履行规定的各项服务。若未按期提供维护或到达现场处理故障，招标人可以拒付或降低支付服务费用。</w:t>
      </w:r>
    </w:p>
    <w:p>
      <w:pPr>
        <w:widowControl w:val="0"/>
        <w:spacing w:line="360" w:lineRule="auto"/>
        <w:ind w:firstLine="420" w:firstLineChars="200"/>
        <w:jc w:val="both"/>
        <w:rPr>
          <w:rFonts w:ascii="宋体" w:hAnsi="宋体"/>
          <w:kern w:val="2"/>
          <w:sz w:val="21"/>
          <w:szCs w:val="21"/>
        </w:rPr>
      </w:pPr>
      <w:r>
        <w:rPr>
          <w:rFonts w:hint="eastAsia" w:ascii="宋体" w:hAnsi="宋体"/>
          <w:kern w:val="2"/>
          <w:sz w:val="21"/>
          <w:szCs w:val="21"/>
        </w:rPr>
        <w:t>（5）因乙方技术问题或服务管理问题造成甲方设备损坏或故障未能按期排除或未能完全排除的，乙方应赔偿甲方损失。</w:t>
      </w:r>
    </w:p>
    <w:p>
      <w:pPr>
        <w:spacing w:line="360" w:lineRule="auto"/>
        <w:ind w:firstLine="420" w:firstLineChars="200"/>
        <w:jc w:val="both"/>
        <w:rPr>
          <w:rFonts w:ascii="宋体" w:hAnsi="宋体"/>
          <w:sz w:val="21"/>
          <w:szCs w:val="21"/>
        </w:rPr>
      </w:pPr>
      <w:r>
        <w:rPr>
          <w:rFonts w:hint="eastAsia" w:ascii="宋体" w:hAnsi="宋体"/>
          <w:kern w:val="2"/>
          <w:sz w:val="21"/>
          <w:szCs w:val="21"/>
        </w:rPr>
        <w:t>（6）服务范围的详细清单见后附的“设备清单”。</w:t>
      </w:r>
      <w:r>
        <w:rPr>
          <w:rFonts w:hint="eastAsia" w:ascii="宋体" w:hAnsi="宋体"/>
          <w:b/>
          <w:kern w:val="2"/>
          <w:sz w:val="21"/>
          <w:szCs w:val="21"/>
          <w:u w:val="single"/>
        </w:rPr>
        <w:t>如服务期内发生设备及基础软件的增减，服务期内新增的设备和基础软件随时加入维护服务清单。</w:t>
      </w:r>
    </w:p>
    <w:p>
      <w:pPr>
        <w:spacing w:line="360" w:lineRule="auto"/>
        <w:ind w:firstLine="420" w:firstLineChars="200"/>
        <w:jc w:val="both"/>
        <w:rPr>
          <w:rFonts w:ascii="宋体" w:hAnsi="宋体"/>
          <w:kern w:val="2"/>
          <w:sz w:val="21"/>
          <w:szCs w:val="21"/>
        </w:rPr>
      </w:pPr>
      <w:r>
        <w:rPr>
          <w:rFonts w:hint="eastAsia" w:ascii="宋体" w:hAnsi="宋体"/>
          <w:kern w:val="2"/>
          <w:sz w:val="21"/>
          <w:szCs w:val="21"/>
        </w:rPr>
        <w:t>（7）在服务期结束后1个月时间内，乙方要按照甲方的要求做好服务期后的工作衔接和各项服务保障工作，乙方不得为此要求招标人增加费用。</w:t>
      </w:r>
    </w:p>
    <w:p>
      <w:pPr>
        <w:spacing w:line="360" w:lineRule="auto"/>
        <w:ind w:firstLine="420" w:firstLineChars="200"/>
        <w:jc w:val="both"/>
        <w:rPr>
          <w:rFonts w:ascii="宋体" w:hAnsi="宋体"/>
          <w:kern w:val="2"/>
          <w:sz w:val="21"/>
          <w:szCs w:val="21"/>
        </w:rPr>
      </w:pPr>
      <w:r>
        <w:rPr>
          <w:rFonts w:hint="eastAsia" w:ascii="宋体" w:hAnsi="宋体"/>
          <w:kern w:val="2"/>
          <w:sz w:val="21"/>
          <w:szCs w:val="21"/>
        </w:rPr>
        <w:t>（8）乙方应负责完成从项目计划到进驻服务和日常管理有关的文件、资料、记录、报告等文档，汇集成册并定期交付甲方。</w:t>
      </w:r>
    </w:p>
    <w:p>
      <w:pPr>
        <w:spacing w:line="360" w:lineRule="auto"/>
        <w:ind w:firstLine="420" w:firstLineChars="200"/>
        <w:jc w:val="both"/>
        <w:rPr>
          <w:rFonts w:ascii="宋体" w:hAnsi="宋体"/>
          <w:b/>
          <w:bCs/>
          <w:sz w:val="21"/>
          <w:szCs w:val="21"/>
        </w:rPr>
      </w:pPr>
      <w:r>
        <w:rPr>
          <w:rFonts w:hint="eastAsia" w:ascii="宋体" w:hAnsi="宋体"/>
          <w:kern w:val="2"/>
          <w:sz w:val="21"/>
          <w:szCs w:val="21"/>
        </w:rPr>
        <w:t>（9）乙方在合同签订时，需签订针对本项目的保密协议。</w:t>
      </w:r>
    </w:p>
    <w:bookmarkEnd w:id="2"/>
    <w:bookmarkEnd w:id="3"/>
    <w:bookmarkEnd w:id="4"/>
    <w:bookmarkEnd w:id="5"/>
    <w:bookmarkEnd w:id="6"/>
    <w:bookmarkEnd w:id="7"/>
    <w:p>
      <w:pPr>
        <w:widowControl w:val="0"/>
        <w:autoSpaceDE w:val="0"/>
        <w:autoSpaceDN w:val="0"/>
        <w:adjustRightInd w:val="0"/>
        <w:spacing w:line="500" w:lineRule="exact"/>
        <w:ind w:left="357" w:firstLine="200"/>
        <w:jc w:val="center"/>
        <w:outlineLvl w:val="0"/>
        <w:rPr>
          <w:rFonts w:ascii="宋体" w:hAnsi="宋体"/>
          <w:b/>
          <w:bCs/>
          <w:kern w:val="2"/>
          <w:sz w:val="21"/>
          <w:szCs w:val="21"/>
        </w:rPr>
      </w:pPr>
      <w:r>
        <w:rPr>
          <w:rFonts w:hint="eastAsia" w:ascii="宋体" w:hAnsi="宋体"/>
          <w:b/>
          <w:bCs/>
          <w:kern w:val="2"/>
          <w:sz w:val="21"/>
          <w:szCs w:val="21"/>
        </w:rPr>
        <w:t>第四章 合同价格及期限</w:t>
      </w:r>
    </w:p>
    <w:p>
      <w:pPr>
        <w:widowControl w:val="0"/>
        <w:spacing w:line="500" w:lineRule="exact"/>
        <w:ind w:firstLine="424" w:firstLineChars="202"/>
        <w:jc w:val="both"/>
        <w:rPr>
          <w:rFonts w:ascii="宋体" w:hAnsi="宋体"/>
          <w:color w:val="000000"/>
          <w:kern w:val="2"/>
          <w:sz w:val="21"/>
          <w:szCs w:val="21"/>
        </w:rPr>
      </w:pPr>
      <w:r>
        <w:rPr>
          <w:rFonts w:hint="eastAsia" w:ascii="宋体" w:hAnsi="宋体"/>
          <w:color w:val="000000"/>
          <w:kern w:val="2"/>
          <w:sz w:val="21"/>
          <w:szCs w:val="21"/>
        </w:rPr>
        <w:t>一、</w:t>
      </w:r>
      <w:r>
        <w:rPr>
          <w:rFonts w:hint="eastAsia" w:ascii="宋体" w:hAnsi="宋体"/>
          <w:color w:val="000000"/>
          <w:kern w:val="2"/>
          <w:sz w:val="21"/>
          <w:szCs w:val="21"/>
          <w:lang w:val="en-US" w:eastAsia="zh-CN"/>
        </w:rPr>
        <w:t>四</w:t>
      </w:r>
      <w:r>
        <w:rPr>
          <w:rFonts w:hint="eastAsia" w:ascii="宋体" w:hAnsi="宋体"/>
          <w:b/>
          <w:color w:val="000000"/>
          <w:kern w:val="2"/>
          <w:sz w:val="21"/>
          <w:szCs w:val="21"/>
          <w:u w:val="single"/>
          <w:lang w:val="en-US" w:eastAsia="zh-CN"/>
        </w:rPr>
        <w:t>个月</w:t>
      </w:r>
      <w:r>
        <w:rPr>
          <w:rFonts w:hint="eastAsia" w:ascii="宋体" w:hAnsi="宋体"/>
          <w:b/>
          <w:color w:val="000000"/>
          <w:kern w:val="2"/>
          <w:sz w:val="21"/>
          <w:szCs w:val="21"/>
          <w:u w:val="single"/>
        </w:rPr>
        <w:t>，</w:t>
      </w:r>
      <w:r>
        <w:rPr>
          <w:rFonts w:hint="eastAsia" w:ascii="宋体" w:hAnsi="宋体"/>
          <w:color w:val="000000"/>
          <w:kern w:val="2"/>
          <w:sz w:val="21"/>
          <w:szCs w:val="21"/>
        </w:rPr>
        <w:t>合同期</w:t>
      </w:r>
      <w:r>
        <w:rPr>
          <w:rFonts w:hint="eastAsia" w:ascii="宋体" w:hAnsi="宋体"/>
          <w:b/>
          <w:color w:val="000000"/>
          <w:kern w:val="2"/>
          <w:sz w:val="21"/>
          <w:szCs w:val="21"/>
          <w:u w:val="single"/>
        </w:rPr>
        <w:t>自20</w:t>
      </w:r>
      <w:r>
        <w:rPr>
          <w:rFonts w:hint="eastAsia" w:ascii="宋体" w:hAnsi="宋体"/>
          <w:b/>
          <w:color w:val="000000"/>
          <w:kern w:val="2"/>
          <w:sz w:val="21"/>
          <w:szCs w:val="21"/>
          <w:u w:val="single"/>
          <w:lang w:val="en-US" w:eastAsia="zh-CN"/>
        </w:rPr>
        <w:t>19</w:t>
      </w:r>
      <w:r>
        <w:rPr>
          <w:rFonts w:hint="eastAsia" w:ascii="宋体" w:hAnsi="宋体"/>
          <w:b/>
          <w:color w:val="000000"/>
          <w:kern w:val="2"/>
          <w:sz w:val="21"/>
          <w:szCs w:val="21"/>
          <w:u w:val="single"/>
        </w:rPr>
        <w:t>年</w:t>
      </w:r>
      <w:r>
        <w:rPr>
          <w:rFonts w:hint="eastAsia" w:ascii="宋体" w:hAnsi="宋体"/>
          <w:b/>
          <w:color w:val="000000"/>
          <w:kern w:val="2"/>
          <w:sz w:val="21"/>
          <w:szCs w:val="21"/>
          <w:u w:val="single"/>
          <w:lang w:val="en-US" w:eastAsia="zh-CN"/>
        </w:rPr>
        <w:t>11</w:t>
      </w:r>
      <w:r>
        <w:rPr>
          <w:rFonts w:hint="eastAsia" w:ascii="宋体" w:hAnsi="宋体"/>
          <w:b/>
          <w:color w:val="000000"/>
          <w:kern w:val="2"/>
          <w:sz w:val="21"/>
          <w:szCs w:val="21"/>
          <w:u w:val="single"/>
        </w:rPr>
        <w:t>月1日起至2019年</w:t>
      </w:r>
      <w:r>
        <w:rPr>
          <w:rFonts w:hint="eastAsia" w:ascii="宋体" w:hAnsi="宋体"/>
          <w:b/>
          <w:color w:val="000000"/>
          <w:kern w:val="2"/>
          <w:sz w:val="21"/>
          <w:szCs w:val="21"/>
          <w:u w:val="single"/>
          <w:lang w:val="en-US" w:eastAsia="zh-CN"/>
        </w:rPr>
        <w:t>3</w:t>
      </w:r>
      <w:r>
        <w:rPr>
          <w:rFonts w:hint="eastAsia" w:ascii="宋体" w:hAnsi="宋体"/>
          <w:b/>
          <w:color w:val="000000"/>
          <w:kern w:val="2"/>
          <w:sz w:val="21"/>
          <w:szCs w:val="21"/>
          <w:u w:val="single"/>
        </w:rPr>
        <w:t xml:space="preserve"> 月</w:t>
      </w:r>
      <w:r>
        <w:rPr>
          <w:rFonts w:hint="eastAsia" w:ascii="宋体" w:hAnsi="宋体"/>
          <w:b/>
          <w:color w:val="000000"/>
          <w:kern w:val="2"/>
          <w:sz w:val="21"/>
          <w:szCs w:val="21"/>
          <w:u w:val="single"/>
          <w:lang w:val="en-US" w:eastAsia="zh-CN"/>
        </w:rPr>
        <w:t>1</w:t>
      </w:r>
      <w:r>
        <w:rPr>
          <w:rFonts w:hint="eastAsia" w:ascii="宋体" w:hAnsi="宋体"/>
          <w:b/>
          <w:color w:val="000000"/>
          <w:kern w:val="2"/>
          <w:sz w:val="21"/>
          <w:szCs w:val="21"/>
          <w:u w:val="single"/>
        </w:rPr>
        <w:t>日止</w:t>
      </w:r>
      <w:r>
        <w:rPr>
          <w:rFonts w:hint="eastAsia" w:ascii="宋体" w:hAnsi="宋体"/>
          <w:color w:val="000000"/>
          <w:kern w:val="2"/>
          <w:sz w:val="21"/>
          <w:szCs w:val="21"/>
        </w:rPr>
        <w:t>。</w:t>
      </w:r>
    </w:p>
    <w:p>
      <w:pPr>
        <w:widowControl w:val="0"/>
        <w:spacing w:line="500" w:lineRule="exact"/>
        <w:ind w:firstLine="426" w:firstLineChars="202"/>
        <w:jc w:val="both"/>
        <w:rPr>
          <w:rFonts w:ascii="宋体" w:hAnsi="宋体"/>
          <w:color w:val="000000"/>
          <w:kern w:val="2"/>
          <w:sz w:val="21"/>
          <w:szCs w:val="21"/>
        </w:rPr>
      </w:pPr>
      <w:r>
        <w:rPr>
          <w:rFonts w:hint="eastAsia" w:ascii="宋体" w:hAnsi="宋体"/>
          <w:b/>
          <w:color w:val="000000"/>
          <w:kern w:val="2"/>
          <w:sz w:val="21"/>
          <w:szCs w:val="21"/>
        </w:rPr>
        <w:t>二、</w:t>
      </w:r>
      <w:r>
        <w:rPr>
          <w:rFonts w:hint="eastAsia" w:ascii="宋体" w:hAnsi="宋体"/>
          <w:b/>
          <w:color w:val="000000"/>
          <w:kern w:val="2"/>
          <w:sz w:val="21"/>
          <w:szCs w:val="21"/>
          <w:u w:val="single"/>
        </w:rPr>
        <w:t>技术服务费总金额为：</w:t>
      </w:r>
      <w:r>
        <w:rPr>
          <w:rFonts w:hint="eastAsia" w:ascii="宋体" w:hAnsi="宋体"/>
          <w:b/>
          <w:color w:val="000000"/>
          <w:kern w:val="2"/>
          <w:sz w:val="21"/>
          <w:szCs w:val="21"/>
          <w:u w:val="single"/>
          <w:lang w:val="en-US" w:eastAsia="zh-CN"/>
        </w:rPr>
        <w:t>贰</w:t>
      </w:r>
      <w:r>
        <w:rPr>
          <w:rFonts w:hint="eastAsia" w:ascii="宋体" w:hAnsi="宋体"/>
          <w:b/>
          <w:color w:val="000000"/>
          <w:kern w:val="2"/>
          <w:sz w:val="21"/>
          <w:szCs w:val="21"/>
          <w:u w:val="single"/>
        </w:rPr>
        <w:t>拾万元整（¥</w:t>
      </w:r>
      <w:r>
        <w:rPr>
          <w:rFonts w:hint="eastAsia" w:ascii="宋体" w:hAnsi="宋体"/>
          <w:b/>
          <w:color w:val="000000"/>
          <w:kern w:val="2"/>
          <w:sz w:val="21"/>
          <w:szCs w:val="21"/>
          <w:u w:val="single"/>
          <w:lang w:val="en-US" w:eastAsia="zh-CN"/>
        </w:rPr>
        <w:t>2</w:t>
      </w:r>
      <w:r>
        <w:rPr>
          <w:rFonts w:hint="eastAsia" w:ascii="宋体" w:hAnsi="宋体"/>
          <w:b/>
          <w:color w:val="000000"/>
          <w:kern w:val="2"/>
          <w:sz w:val="21"/>
          <w:szCs w:val="21"/>
          <w:u w:val="single"/>
        </w:rPr>
        <w:t>00,000元整）。</w:t>
      </w:r>
    </w:p>
    <w:p>
      <w:pPr>
        <w:widowControl w:val="0"/>
        <w:autoSpaceDE w:val="0"/>
        <w:autoSpaceDN w:val="0"/>
        <w:adjustRightInd w:val="0"/>
        <w:spacing w:line="500" w:lineRule="exact"/>
        <w:ind w:firstLine="200"/>
        <w:jc w:val="center"/>
        <w:outlineLvl w:val="0"/>
        <w:rPr>
          <w:rFonts w:ascii="宋体" w:hAnsi="宋体"/>
          <w:b/>
          <w:bCs/>
          <w:kern w:val="2"/>
          <w:sz w:val="21"/>
          <w:szCs w:val="21"/>
        </w:rPr>
      </w:pPr>
      <w:r>
        <w:rPr>
          <w:rFonts w:hint="eastAsia" w:ascii="宋体" w:hAnsi="宋体"/>
          <w:b/>
          <w:bCs/>
          <w:kern w:val="2"/>
          <w:sz w:val="21"/>
          <w:szCs w:val="21"/>
        </w:rPr>
        <w:t>第五章 结算及支付方式</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一、本合同中甲乙双方之间发生的一切费用均以人民币结算及支付，乙方须提供符合国家相关规定的发票，若由于发票不符合要求造成的一切后果由乙方承担。</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二、结算方式</w:t>
      </w:r>
    </w:p>
    <w:p>
      <w:pPr>
        <w:widowControl w:val="0"/>
        <w:spacing w:line="500" w:lineRule="exact"/>
        <w:ind w:firstLine="420" w:firstLineChars="200"/>
        <w:jc w:val="both"/>
        <w:rPr>
          <w:rFonts w:ascii="宋体" w:hAnsi="宋体"/>
          <w:b/>
          <w:bCs/>
          <w:kern w:val="2"/>
          <w:sz w:val="21"/>
          <w:szCs w:val="21"/>
          <w:u w:val="single"/>
        </w:rPr>
      </w:pPr>
      <w:r>
        <w:rPr>
          <w:rFonts w:hint="eastAsia" w:ascii="宋体" w:hAnsi="宋体"/>
          <w:bCs/>
          <w:kern w:val="2"/>
          <w:sz w:val="21"/>
          <w:szCs w:val="21"/>
        </w:rPr>
        <w:t>服务结束后，在收到</w:t>
      </w:r>
      <w:r>
        <w:rPr>
          <w:rFonts w:hint="eastAsia" w:ascii="宋体" w:hAnsi="宋体"/>
          <w:bCs/>
          <w:kern w:val="2"/>
          <w:sz w:val="21"/>
          <w:szCs w:val="21"/>
          <w:lang w:val="en-US" w:eastAsia="zh-CN"/>
        </w:rPr>
        <w:t>乙方发票后</w:t>
      </w:r>
      <w:r>
        <w:rPr>
          <w:rFonts w:hint="eastAsia" w:ascii="宋体" w:hAnsi="宋体"/>
          <w:b/>
          <w:bCs/>
          <w:kern w:val="2"/>
          <w:sz w:val="21"/>
          <w:szCs w:val="21"/>
        </w:rPr>
        <w:t>1</w:t>
      </w:r>
      <w:r>
        <w:rPr>
          <w:rFonts w:hint="eastAsia" w:ascii="宋体" w:hAnsi="宋体"/>
          <w:b/>
          <w:bCs/>
          <w:kern w:val="2"/>
          <w:sz w:val="21"/>
          <w:szCs w:val="21"/>
          <w:u w:val="single"/>
        </w:rPr>
        <w:t>0个工作日</w:t>
      </w:r>
      <w:r>
        <w:rPr>
          <w:rFonts w:hint="eastAsia" w:ascii="宋体" w:hAnsi="宋体"/>
          <w:bCs/>
          <w:kern w:val="2"/>
          <w:sz w:val="21"/>
          <w:szCs w:val="21"/>
        </w:rPr>
        <w:t>内向乙方支付。</w:t>
      </w:r>
      <w:r>
        <w:rPr>
          <w:rFonts w:hint="eastAsia" w:ascii="宋体" w:hAnsi="宋体"/>
          <w:b/>
          <w:bCs/>
          <w:kern w:val="2"/>
          <w:sz w:val="21"/>
          <w:szCs w:val="21"/>
          <w:u w:val="single"/>
        </w:rPr>
        <w:t>人民币</w:t>
      </w:r>
      <w:r>
        <w:rPr>
          <w:rFonts w:hint="eastAsia" w:ascii="宋体" w:hAnsi="宋体"/>
          <w:b/>
          <w:bCs/>
          <w:kern w:val="2"/>
          <w:sz w:val="21"/>
          <w:szCs w:val="21"/>
          <w:u w:val="single"/>
          <w:lang w:val="en-US" w:eastAsia="zh-CN"/>
        </w:rPr>
        <w:t>贰</w:t>
      </w:r>
      <w:r>
        <w:rPr>
          <w:rFonts w:hint="eastAsia" w:ascii="宋体" w:hAnsi="宋体"/>
          <w:b/>
          <w:bCs/>
          <w:kern w:val="2"/>
          <w:sz w:val="21"/>
          <w:szCs w:val="21"/>
          <w:u w:val="single"/>
        </w:rPr>
        <w:t>拾万元整（</w:t>
      </w:r>
      <w:r>
        <w:rPr>
          <w:rFonts w:hint="eastAsia" w:ascii="宋体" w:hAnsi="宋体"/>
          <w:b/>
          <w:color w:val="000000"/>
          <w:kern w:val="2"/>
          <w:sz w:val="21"/>
          <w:szCs w:val="21"/>
          <w:u w:val="single"/>
        </w:rPr>
        <w:t>￥</w:t>
      </w:r>
      <w:r>
        <w:rPr>
          <w:rFonts w:hint="eastAsia" w:ascii="宋体" w:hAnsi="宋体"/>
          <w:b/>
          <w:color w:val="000000"/>
          <w:kern w:val="2"/>
          <w:sz w:val="21"/>
          <w:szCs w:val="21"/>
          <w:u w:val="single"/>
          <w:lang w:val="en-US" w:eastAsia="zh-CN"/>
        </w:rPr>
        <w:t>2</w:t>
      </w:r>
      <w:r>
        <w:rPr>
          <w:rFonts w:hint="eastAsia" w:ascii="宋体" w:hAnsi="宋体"/>
          <w:b/>
          <w:color w:val="000000"/>
          <w:kern w:val="2"/>
          <w:sz w:val="21"/>
          <w:szCs w:val="21"/>
          <w:u w:val="single"/>
        </w:rPr>
        <w:t>00,000</w:t>
      </w:r>
      <w:r>
        <w:rPr>
          <w:rFonts w:hint="eastAsia" w:ascii="宋体" w:hAnsi="宋体"/>
          <w:b/>
          <w:bCs/>
          <w:kern w:val="2"/>
          <w:sz w:val="21"/>
          <w:szCs w:val="21"/>
          <w:u w:val="single"/>
        </w:rPr>
        <w:t>元）；</w:t>
      </w:r>
    </w:p>
    <w:p>
      <w:pPr>
        <w:widowControl w:val="0"/>
        <w:autoSpaceDE w:val="0"/>
        <w:autoSpaceDN w:val="0"/>
        <w:adjustRightInd w:val="0"/>
        <w:spacing w:line="500" w:lineRule="exact"/>
        <w:ind w:left="360" w:firstLine="200"/>
        <w:jc w:val="center"/>
        <w:rPr>
          <w:rFonts w:ascii="宋体" w:hAnsi="宋体"/>
          <w:b/>
          <w:bCs/>
          <w:kern w:val="2"/>
          <w:sz w:val="21"/>
          <w:szCs w:val="21"/>
        </w:rPr>
      </w:pPr>
      <w:r>
        <w:rPr>
          <w:rFonts w:hint="eastAsia" w:ascii="宋体" w:hAnsi="宋体"/>
          <w:b/>
          <w:bCs/>
          <w:kern w:val="2"/>
          <w:sz w:val="21"/>
          <w:szCs w:val="21"/>
        </w:rPr>
        <w:t>第六章 双方权利与职责</w:t>
      </w:r>
    </w:p>
    <w:p>
      <w:pPr>
        <w:widowControl w:val="0"/>
        <w:autoSpaceDE w:val="0"/>
        <w:autoSpaceDN w:val="0"/>
        <w:adjustRightInd w:val="0"/>
        <w:spacing w:line="500" w:lineRule="exact"/>
        <w:ind w:left="360" w:firstLine="200"/>
        <w:rPr>
          <w:rFonts w:ascii="宋体" w:hAnsi="宋体"/>
          <w:b/>
          <w:bCs/>
          <w:kern w:val="2"/>
          <w:sz w:val="21"/>
          <w:szCs w:val="21"/>
        </w:rPr>
      </w:pPr>
      <w:r>
        <w:rPr>
          <w:rFonts w:hint="eastAsia" w:ascii="宋体" w:hAnsi="宋体"/>
          <w:b/>
          <w:bCs/>
          <w:kern w:val="2"/>
          <w:sz w:val="21"/>
          <w:szCs w:val="21"/>
        </w:rPr>
        <w:t>(一)</w:t>
      </w:r>
      <w:r>
        <w:rPr>
          <w:rFonts w:hint="eastAsia" w:ascii="宋体" w:hAnsi="宋体"/>
          <w:b/>
          <w:bCs/>
          <w:kern w:val="2"/>
          <w:sz w:val="21"/>
          <w:szCs w:val="21"/>
        </w:rPr>
        <w:tab/>
      </w:r>
      <w:r>
        <w:rPr>
          <w:rFonts w:hint="eastAsia" w:ascii="宋体" w:hAnsi="宋体"/>
          <w:b/>
          <w:bCs/>
          <w:kern w:val="2"/>
          <w:sz w:val="21"/>
          <w:szCs w:val="21"/>
        </w:rPr>
        <w:t>甲方</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1.</w:t>
      </w:r>
      <w:r>
        <w:rPr>
          <w:rFonts w:hint="eastAsia" w:ascii="宋体" w:hAnsi="宋体"/>
          <w:bCs/>
          <w:kern w:val="2"/>
          <w:sz w:val="21"/>
          <w:szCs w:val="21"/>
        </w:rPr>
        <w:tab/>
      </w:r>
      <w:r>
        <w:rPr>
          <w:rFonts w:hint="eastAsia" w:ascii="宋体" w:hAnsi="宋体"/>
          <w:bCs/>
          <w:kern w:val="2"/>
          <w:sz w:val="21"/>
          <w:szCs w:val="21"/>
        </w:rPr>
        <w:t>当设备发生故障时，乙方驻场工程师应及时报告故障现象、错误信息等有关信息，及时分析故障，有准备地到现场及时修复设备。</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2.</w:t>
      </w:r>
      <w:r>
        <w:rPr>
          <w:rFonts w:hint="eastAsia" w:ascii="宋体" w:hAnsi="宋体"/>
          <w:bCs/>
          <w:kern w:val="2"/>
          <w:sz w:val="21"/>
          <w:szCs w:val="21"/>
        </w:rPr>
        <w:tab/>
      </w:r>
      <w:r>
        <w:rPr>
          <w:rFonts w:hint="eastAsia" w:ascii="宋体" w:hAnsi="宋体"/>
          <w:bCs/>
          <w:kern w:val="2"/>
          <w:sz w:val="21"/>
          <w:szCs w:val="21"/>
        </w:rPr>
        <w:t>对偶发性及间断性故障，乙方须做好故障跟踪工作，根据甲方提出的要求及方法进行记录。</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3.</w:t>
      </w:r>
      <w:r>
        <w:rPr>
          <w:rFonts w:hint="eastAsia" w:ascii="宋体" w:hAnsi="宋体"/>
          <w:bCs/>
          <w:kern w:val="2"/>
          <w:sz w:val="21"/>
          <w:szCs w:val="21"/>
        </w:rPr>
        <w:tab/>
      </w:r>
      <w:r>
        <w:rPr>
          <w:rFonts w:hint="eastAsia" w:ascii="宋体" w:hAnsi="宋体"/>
          <w:bCs/>
          <w:kern w:val="2"/>
          <w:sz w:val="21"/>
          <w:szCs w:val="21"/>
        </w:rPr>
        <w:t>乙方工程师在不影响甲方正常业务开展的情况下，甲方尽量安排维修工作时间，并安排人员协助现场工程师工作。</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4.</w:t>
      </w:r>
      <w:r>
        <w:rPr>
          <w:rFonts w:hint="eastAsia" w:ascii="宋体" w:hAnsi="宋体"/>
          <w:bCs/>
          <w:kern w:val="2"/>
          <w:sz w:val="21"/>
          <w:szCs w:val="21"/>
        </w:rPr>
        <w:tab/>
      </w:r>
      <w:r>
        <w:rPr>
          <w:rFonts w:hint="eastAsia" w:ascii="宋体" w:hAnsi="宋体"/>
          <w:bCs/>
          <w:kern w:val="2"/>
          <w:sz w:val="21"/>
          <w:szCs w:val="21"/>
        </w:rPr>
        <w:t>对乙方工作的工作态度、技术水平进行监督和评判以提高乙方的服务质量。</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5.甲方在签订合同后应按期将费用付给乙方，如甲方未按时付款，乙方有权停止服务。</w:t>
      </w:r>
    </w:p>
    <w:p>
      <w:pPr>
        <w:widowControl w:val="0"/>
        <w:autoSpaceDE w:val="0"/>
        <w:autoSpaceDN w:val="0"/>
        <w:adjustRightInd w:val="0"/>
        <w:spacing w:line="500" w:lineRule="exact"/>
        <w:ind w:left="360" w:firstLine="200"/>
        <w:rPr>
          <w:rFonts w:ascii="宋体" w:hAnsi="宋体"/>
          <w:b/>
          <w:bCs/>
          <w:kern w:val="2"/>
          <w:sz w:val="21"/>
          <w:szCs w:val="21"/>
        </w:rPr>
      </w:pPr>
      <w:r>
        <w:rPr>
          <w:rFonts w:hint="eastAsia" w:ascii="宋体" w:hAnsi="宋体"/>
          <w:b/>
          <w:bCs/>
          <w:kern w:val="2"/>
          <w:sz w:val="21"/>
          <w:szCs w:val="21"/>
        </w:rPr>
        <w:t>(二)</w:t>
      </w:r>
      <w:r>
        <w:rPr>
          <w:rFonts w:hint="eastAsia" w:ascii="宋体" w:hAnsi="宋体"/>
          <w:b/>
          <w:bCs/>
          <w:kern w:val="2"/>
          <w:sz w:val="21"/>
          <w:szCs w:val="21"/>
        </w:rPr>
        <w:tab/>
      </w:r>
      <w:r>
        <w:rPr>
          <w:rFonts w:hint="eastAsia" w:ascii="宋体" w:hAnsi="宋体"/>
          <w:b/>
          <w:bCs/>
          <w:kern w:val="2"/>
          <w:sz w:val="21"/>
          <w:szCs w:val="21"/>
        </w:rPr>
        <w:t>乙方</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1.</w:t>
      </w:r>
      <w:r>
        <w:rPr>
          <w:rFonts w:hint="eastAsia" w:ascii="宋体" w:hAnsi="宋体"/>
          <w:bCs/>
          <w:kern w:val="2"/>
          <w:sz w:val="21"/>
          <w:szCs w:val="21"/>
        </w:rPr>
        <w:tab/>
      </w:r>
      <w:r>
        <w:rPr>
          <w:rFonts w:hint="eastAsia" w:ascii="宋体" w:hAnsi="宋体"/>
          <w:bCs/>
          <w:kern w:val="2"/>
          <w:sz w:val="21"/>
          <w:szCs w:val="21"/>
        </w:rPr>
        <w:t>乙方应根据甲方设备的具体配置，要在现场储备常用件、易损件和备机。</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2.</w:t>
      </w:r>
      <w:r>
        <w:rPr>
          <w:rFonts w:hint="eastAsia" w:ascii="宋体" w:hAnsi="宋体"/>
          <w:bCs/>
          <w:kern w:val="2"/>
          <w:sz w:val="21"/>
          <w:szCs w:val="21"/>
        </w:rPr>
        <w:tab/>
      </w:r>
      <w:r>
        <w:rPr>
          <w:rFonts w:hint="eastAsia" w:ascii="宋体" w:hAnsi="宋体"/>
          <w:bCs/>
          <w:kern w:val="2"/>
          <w:sz w:val="21"/>
          <w:szCs w:val="21"/>
        </w:rPr>
        <w:t>乙方要按照本合同约定的响应时间、服务质量提供维护服务。</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3.</w:t>
      </w:r>
      <w:r>
        <w:rPr>
          <w:rFonts w:hint="eastAsia" w:ascii="宋体" w:hAnsi="宋体"/>
          <w:bCs/>
          <w:kern w:val="2"/>
          <w:sz w:val="21"/>
          <w:szCs w:val="21"/>
        </w:rPr>
        <w:tab/>
      </w:r>
      <w:r>
        <w:rPr>
          <w:rFonts w:hint="eastAsia" w:ascii="宋体" w:hAnsi="宋体"/>
          <w:bCs/>
          <w:kern w:val="2"/>
          <w:sz w:val="21"/>
          <w:szCs w:val="21"/>
        </w:rPr>
        <w:t>乙方要做好为甲方提供维护服务的人力、物力和财力的保障。</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4.</w:t>
      </w:r>
      <w:r>
        <w:rPr>
          <w:rFonts w:hint="eastAsia" w:ascii="宋体" w:hAnsi="宋体"/>
          <w:bCs/>
          <w:kern w:val="2"/>
          <w:sz w:val="21"/>
          <w:szCs w:val="21"/>
        </w:rPr>
        <w:tab/>
      </w:r>
      <w:r>
        <w:rPr>
          <w:rFonts w:hint="eastAsia" w:ascii="宋体" w:hAnsi="宋体"/>
          <w:bCs/>
          <w:kern w:val="2"/>
          <w:sz w:val="21"/>
          <w:szCs w:val="21"/>
        </w:rPr>
        <w:t>维护保养及维修工作结束后，乙方工程师应填写设备管理档案，并写出维修报告，经甲方签字确认。</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5.</w:t>
      </w:r>
      <w:r>
        <w:rPr>
          <w:rFonts w:hint="eastAsia" w:ascii="宋体" w:hAnsi="宋体"/>
          <w:bCs/>
          <w:kern w:val="2"/>
          <w:sz w:val="21"/>
          <w:szCs w:val="21"/>
        </w:rPr>
        <w:tab/>
      </w:r>
      <w:r>
        <w:rPr>
          <w:rFonts w:hint="eastAsia" w:ascii="宋体" w:hAnsi="宋体"/>
          <w:bCs/>
          <w:kern w:val="2"/>
          <w:sz w:val="21"/>
          <w:szCs w:val="21"/>
        </w:rPr>
        <w:t>因乙方技术问题或维护问题造成事故，使甲方设备遭受损失的，乙方应赔偿甲方设备的全部损失。如乙方不能及时将故障设备修复甲方有权请第三方进行修理，所发生的一切费用由乙方承担。</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6.</w:t>
      </w:r>
      <w:r>
        <w:rPr>
          <w:rFonts w:hint="eastAsia" w:ascii="宋体" w:hAnsi="宋体"/>
          <w:bCs/>
          <w:kern w:val="2"/>
          <w:sz w:val="21"/>
          <w:szCs w:val="21"/>
        </w:rPr>
        <w:tab/>
      </w:r>
      <w:r>
        <w:rPr>
          <w:rFonts w:hint="eastAsia" w:ascii="宋体" w:hAnsi="宋体"/>
          <w:bCs/>
          <w:kern w:val="2"/>
          <w:sz w:val="21"/>
          <w:szCs w:val="21"/>
        </w:rPr>
        <w:t>在合同有效期内，维修安装的替换配件归甲方所有，免费更换下来的原机故障部件归乙方所有（硬盘除外）。</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7.</w:t>
      </w:r>
      <w:r>
        <w:rPr>
          <w:rFonts w:hint="eastAsia" w:ascii="宋体" w:hAnsi="宋体"/>
          <w:bCs/>
          <w:kern w:val="2"/>
          <w:sz w:val="21"/>
          <w:szCs w:val="21"/>
        </w:rPr>
        <w:tab/>
      </w:r>
      <w:r>
        <w:rPr>
          <w:rFonts w:hint="eastAsia" w:ascii="宋体" w:hAnsi="宋体"/>
          <w:bCs/>
          <w:kern w:val="2"/>
          <w:sz w:val="21"/>
          <w:szCs w:val="21"/>
        </w:rPr>
        <w:t>乙方保证为甲方设备所更换备件是设备原厂商正品备件。</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8.</w:t>
      </w:r>
      <w:r>
        <w:rPr>
          <w:rFonts w:hint="eastAsia" w:ascii="宋体" w:hAnsi="宋体"/>
          <w:bCs/>
          <w:kern w:val="2"/>
          <w:sz w:val="21"/>
          <w:szCs w:val="21"/>
        </w:rPr>
        <w:tab/>
      </w:r>
      <w:r>
        <w:rPr>
          <w:rFonts w:hint="eastAsia" w:ascii="宋体" w:hAnsi="宋体"/>
          <w:bCs/>
          <w:kern w:val="2"/>
          <w:sz w:val="21"/>
          <w:szCs w:val="21"/>
        </w:rPr>
        <w:t>在乙方技术人员到甲方现场对设备进行维护时，乙方有义务对甲方技术人员进行技术培训和技术咨询。</w:t>
      </w:r>
    </w:p>
    <w:p>
      <w:pPr>
        <w:widowControl w:val="0"/>
        <w:spacing w:line="500" w:lineRule="exact"/>
        <w:ind w:firstLine="420" w:firstLineChars="200"/>
        <w:jc w:val="both"/>
        <w:rPr>
          <w:rFonts w:ascii="宋体" w:hAnsi="宋体"/>
          <w:kern w:val="2"/>
          <w:sz w:val="21"/>
          <w:szCs w:val="21"/>
        </w:rPr>
      </w:pPr>
      <w:r>
        <w:rPr>
          <w:rFonts w:hint="eastAsia" w:ascii="宋体" w:hAnsi="宋体"/>
          <w:bCs/>
          <w:kern w:val="2"/>
          <w:sz w:val="21"/>
          <w:szCs w:val="21"/>
        </w:rPr>
        <w:t>9.</w:t>
      </w:r>
      <w:r>
        <w:rPr>
          <w:rFonts w:hint="eastAsia" w:ascii="宋体" w:hAnsi="宋体"/>
          <w:kern w:val="2"/>
          <w:sz w:val="21"/>
          <w:szCs w:val="21"/>
        </w:rPr>
        <w:t>乙方必须具备维护设备和系统软件的技术力量，在合同生效后，应认真履行合同规定的各项内容。</w:t>
      </w:r>
    </w:p>
    <w:p>
      <w:pPr>
        <w:widowControl w:val="0"/>
        <w:spacing w:line="500" w:lineRule="exact"/>
        <w:ind w:firstLine="420" w:firstLineChars="200"/>
        <w:jc w:val="both"/>
        <w:rPr>
          <w:rFonts w:ascii="宋体" w:hAnsi="宋体"/>
          <w:kern w:val="2"/>
          <w:sz w:val="21"/>
          <w:szCs w:val="21"/>
        </w:rPr>
      </w:pPr>
    </w:p>
    <w:p>
      <w:pPr>
        <w:widowControl w:val="0"/>
        <w:spacing w:line="500" w:lineRule="exact"/>
        <w:ind w:firstLine="200"/>
        <w:jc w:val="center"/>
        <w:outlineLvl w:val="0"/>
        <w:rPr>
          <w:rFonts w:ascii="宋体" w:hAnsi="宋体"/>
          <w:bCs/>
          <w:kern w:val="2"/>
          <w:sz w:val="21"/>
          <w:szCs w:val="21"/>
        </w:rPr>
      </w:pPr>
      <w:r>
        <w:rPr>
          <w:rFonts w:hint="eastAsia" w:ascii="宋体" w:hAnsi="宋体"/>
          <w:b/>
          <w:kern w:val="2"/>
          <w:sz w:val="21"/>
          <w:szCs w:val="21"/>
        </w:rPr>
        <w:t>第七章 合同生效</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一、本合同由合同双方法定代表人或法定代表人委托人签字并盖章之日起生效。本合同的附件为本合同不可分割的组成部分，与合同正本具有同等效力。</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二、本合同一式陆份，甲乙双方各执叁份，有同等法律效力。合同未尽事宜，双方本着真诚合作的原则友好协商解决。</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三、合同签订地点：</w:t>
      </w:r>
      <w:r>
        <w:rPr>
          <w:rFonts w:hint="eastAsia" w:ascii="宋体" w:hAnsi="宋体"/>
          <w:b/>
          <w:kern w:val="2"/>
          <w:sz w:val="21"/>
          <w:szCs w:val="21"/>
          <w:u w:val="single"/>
        </w:rPr>
        <w:t>北京市</w:t>
      </w:r>
      <w:r>
        <w:rPr>
          <w:rFonts w:hint="eastAsia" w:ascii="宋体" w:hAnsi="宋体"/>
          <w:kern w:val="2"/>
          <w:sz w:val="21"/>
          <w:szCs w:val="21"/>
        </w:rPr>
        <w:t>。</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四、对本合同条款的任何修改或补充，均应由甲乙双方以书面形式予以确认。</w:t>
      </w:r>
    </w:p>
    <w:p>
      <w:pPr>
        <w:widowControl w:val="0"/>
        <w:spacing w:line="500" w:lineRule="exact"/>
        <w:ind w:firstLine="420" w:firstLineChars="200"/>
        <w:jc w:val="both"/>
        <w:rPr>
          <w:rFonts w:ascii="宋体" w:hAnsi="宋体"/>
          <w:kern w:val="2"/>
          <w:sz w:val="21"/>
          <w:szCs w:val="21"/>
        </w:rPr>
      </w:pPr>
    </w:p>
    <w:p>
      <w:pPr>
        <w:widowControl w:val="0"/>
        <w:spacing w:line="500" w:lineRule="exact"/>
        <w:ind w:firstLine="200"/>
        <w:jc w:val="center"/>
        <w:outlineLvl w:val="0"/>
        <w:rPr>
          <w:rFonts w:ascii="宋体" w:hAnsi="宋体"/>
          <w:b/>
          <w:kern w:val="2"/>
          <w:sz w:val="21"/>
          <w:szCs w:val="21"/>
        </w:rPr>
      </w:pPr>
      <w:r>
        <w:rPr>
          <w:rFonts w:hint="eastAsia" w:ascii="宋体" w:hAnsi="宋体"/>
          <w:b/>
          <w:kern w:val="2"/>
          <w:sz w:val="21"/>
          <w:szCs w:val="21"/>
        </w:rPr>
        <w:t>第八章 违约责任</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本合同生效后，甲乙双方均应当全面履行合同义务。任何一方违约，均应当按照约定承担违约责任，并赔偿对方由此受到的损失。其中：</w:t>
      </w:r>
    </w:p>
    <w:p>
      <w:pPr>
        <w:widowControl w:val="0"/>
        <w:spacing w:line="500" w:lineRule="exact"/>
        <w:ind w:firstLine="420" w:firstLineChars="200"/>
        <w:jc w:val="both"/>
        <w:rPr>
          <w:rFonts w:ascii="宋体" w:hAnsi="宋体"/>
          <w:bCs/>
          <w:kern w:val="2"/>
          <w:sz w:val="21"/>
          <w:szCs w:val="21"/>
        </w:rPr>
      </w:pPr>
      <w:bookmarkStart w:id="8" w:name="_Toc235530042"/>
      <w:bookmarkStart w:id="9" w:name="_Toc239492913"/>
      <w:bookmarkStart w:id="10" w:name="_Toc232781473"/>
      <w:r>
        <w:rPr>
          <w:rFonts w:hint="eastAsia" w:ascii="宋体" w:hAnsi="宋体"/>
          <w:bCs/>
          <w:kern w:val="2"/>
          <w:sz w:val="21"/>
          <w:szCs w:val="21"/>
        </w:rPr>
        <w:t>8.1乙方逾期履约或不履约责任</w:t>
      </w:r>
      <w:bookmarkEnd w:id="8"/>
      <w:bookmarkEnd w:id="9"/>
      <w:bookmarkEnd w:id="10"/>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（1）现有网络和系统故障，对最终用户的业务运作产生严重影响的需在4小时解决，因乙方原因4小时内未能解决的一次扣除合同款10万元，同时甲方视损失情况保留继续索赔的权利。</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2）乙方对系统或设备故障未能按合同要求及服务考核办法（详见附件3《信息系统基础设施运维服务项目服务评价指标》）中规定要求执行，月度考核低于80分，一次扣除合同款5万元，同时甲方有权继续向乙方索偿违约金。</w:t>
      </w:r>
    </w:p>
    <w:p>
      <w:pPr>
        <w:widowControl w:val="0"/>
        <w:spacing w:line="500" w:lineRule="exact"/>
        <w:ind w:firstLine="420" w:firstLineChars="200"/>
        <w:jc w:val="both"/>
        <w:rPr>
          <w:rFonts w:ascii="宋体" w:hAnsi="宋体"/>
          <w:bCs/>
          <w:kern w:val="2"/>
          <w:sz w:val="21"/>
          <w:szCs w:val="21"/>
        </w:rPr>
      </w:pPr>
      <w:r>
        <w:rPr>
          <w:rFonts w:hint="eastAsia" w:ascii="宋体" w:hAnsi="宋体"/>
          <w:bCs/>
          <w:kern w:val="2"/>
          <w:sz w:val="21"/>
          <w:szCs w:val="21"/>
        </w:rPr>
        <w:t>（3）因乙方原因造成系统事故或故障，造成甲方财产损失，乙方应承担全部责任，同时甲方有权向乙方索偿违约金。</w:t>
      </w:r>
    </w:p>
    <w:p>
      <w:pPr>
        <w:shd w:val="clear" w:color="auto" w:fill="FFFFFF"/>
        <w:spacing w:line="500" w:lineRule="exact"/>
        <w:ind w:firstLine="420" w:firstLineChars="200"/>
        <w:jc w:val="both"/>
        <w:rPr>
          <w:rFonts w:ascii="宋体" w:hAnsi="宋体"/>
          <w:kern w:val="2"/>
          <w:sz w:val="21"/>
          <w:szCs w:val="21"/>
        </w:rPr>
      </w:pPr>
      <w:bookmarkStart w:id="11" w:name="_Toc239492914"/>
      <w:bookmarkStart w:id="12" w:name="_Toc232781474"/>
      <w:bookmarkStart w:id="13" w:name="_Toc235530043"/>
      <w:r>
        <w:rPr>
          <w:rFonts w:hint="eastAsia" w:ascii="宋体" w:hAnsi="宋体"/>
          <w:kern w:val="2"/>
          <w:sz w:val="21"/>
          <w:szCs w:val="21"/>
        </w:rPr>
        <w:t>8.2甲方逾期付款责任</w:t>
      </w:r>
      <w:bookmarkEnd w:id="11"/>
      <w:bookmarkEnd w:id="12"/>
      <w:bookmarkEnd w:id="13"/>
    </w:p>
    <w:p>
      <w:pPr>
        <w:shd w:val="clear" w:color="auto" w:fill="FFFFFF"/>
        <w:spacing w:line="500" w:lineRule="exact"/>
        <w:ind w:firstLine="420" w:firstLineChars="200"/>
        <w:jc w:val="both"/>
        <w:rPr>
          <w:rFonts w:ascii="宋体" w:hAnsi="宋体"/>
          <w:kern w:val="2"/>
          <w:sz w:val="21"/>
          <w:szCs w:val="21"/>
        </w:rPr>
      </w:pPr>
      <w:r>
        <w:rPr>
          <w:rFonts w:hint="eastAsia" w:ascii="宋体" w:hAnsi="宋体"/>
          <w:kern w:val="2"/>
          <w:sz w:val="21"/>
          <w:szCs w:val="21"/>
        </w:rPr>
        <w:t>甲方如遇特殊原因不能按时支付合同款项，应提前与乙方进行协商解决。若甲方无正当理由拖欠合同款，乙方有权向甲方索偿违约金。</w:t>
      </w:r>
    </w:p>
    <w:p>
      <w:pPr>
        <w:shd w:val="clear" w:color="auto" w:fill="FFFFFF"/>
        <w:spacing w:line="500" w:lineRule="exact"/>
        <w:ind w:firstLine="420" w:firstLineChars="200"/>
        <w:jc w:val="both"/>
        <w:rPr>
          <w:rFonts w:ascii="宋体" w:hAnsi="宋体"/>
          <w:kern w:val="2"/>
          <w:sz w:val="21"/>
          <w:szCs w:val="21"/>
        </w:rPr>
      </w:pPr>
      <w:bookmarkStart w:id="14" w:name="_Toc232781476"/>
      <w:bookmarkStart w:id="15" w:name="_Toc235530045"/>
      <w:bookmarkStart w:id="16" w:name="_Toc239492916"/>
      <w:r>
        <w:rPr>
          <w:rFonts w:hint="eastAsia" w:ascii="宋体" w:hAnsi="宋体"/>
          <w:kern w:val="2"/>
          <w:sz w:val="21"/>
          <w:szCs w:val="21"/>
        </w:rPr>
        <w:t>8.3罚则</w:t>
      </w:r>
    </w:p>
    <w:p>
      <w:pPr>
        <w:shd w:val="clear" w:color="auto" w:fill="FFFFFF"/>
        <w:spacing w:line="500" w:lineRule="exact"/>
        <w:ind w:firstLine="420" w:firstLineChars="200"/>
        <w:jc w:val="both"/>
        <w:rPr>
          <w:rFonts w:ascii="宋体" w:hAnsi="宋体"/>
          <w:kern w:val="2"/>
          <w:sz w:val="21"/>
          <w:szCs w:val="21"/>
        </w:rPr>
      </w:pPr>
      <w:r>
        <w:rPr>
          <w:rFonts w:hint="eastAsia" w:ascii="宋体" w:hAnsi="宋体"/>
          <w:kern w:val="2"/>
          <w:sz w:val="21"/>
          <w:szCs w:val="21"/>
        </w:rPr>
        <w:t>（1）乙方向甲方提供的服务未能满足本合同约定的要求和标准的，甲方有权单方解除本合同，乙方应向甲方支付合同总价款即二年技术服务费总金额的10%作为违约金，违约金不足以弥补甲方损失的（包括但不限于直接损失、间接损失、律师费、诉讼费），乙方应当继续承担赔偿责任。</w:t>
      </w:r>
    </w:p>
    <w:p>
      <w:pPr>
        <w:shd w:val="clear" w:color="auto" w:fill="FFFFFF"/>
        <w:spacing w:line="500" w:lineRule="exact"/>
        <w:ind w:firstLine="420" w:firstLineChars="200"/>
        <w:jc w:val="both"/>
        <w:rPr>
          <w:rFonts w:ascii="宋体" w:hAnsi="宋体"/>
          <w:kern w:val="2"/>
          <w:sz w:val="21"/>
          <w:szCs w:val="21"/>
        </w:rPr>
      </w:pPr>
      <w:r>
        <w:rPr>
          <w:rFonts w:hint="eastAsia" w:ascii="宋体" w:hAnsi="宋体"/>
          <w:kern w:val="2"/>
          <w:sz w:val="21"/>
          <w:szCs w:val="21"/>
        </w:rPr>
        <w:t>（2）乙方因操作不当造成甲方硬件设备损坏或网络系统运行故障的，乙方应负责将相关硬件设备恢复原状态，并承担由此产生的一切费用。</w:t>
      </w:r>
    </w:p>
    <w:p>
      <w:pPr>
        <w:shd w:val="clear" w:color="auto" w:fill="FFFFFF"/>
        <w:spacing w:line="500" w:lineRule="exact"/>
        <w:ind w:firstLine="420" w:firstLineChars="200"/>
        <w:jc w:val="both"/>
        <w:rPr>
          <w:rFonts w:ascii="宋体" w:hAnsi="宋体"/>
          <w:kern w:val="2"/>
          <w:sz w:val="21"/>
          <w:szCs w:val="21"/>
        </w:rPr>
      </w:pPr>
      <w:r>
        <w:rPr>
          <w:rFonts w:hint="eastAsia" w:ascii="宋体" w:hAnsi="宋体"/>
          <w:kern w:val="2"/>
          <w:sz w:val="21"/>
          <w:szCs w:val="21"/>
        </w:rPr>
        <w:t>（3）乙方因操作不当造成甲方业务数据丢失并不能正常恢复的，乙方承担由此给甲方带来的一切损失，并支付合同年度技术服务费的1%作为违约金给甲方。违约金不足以弥补甲方损失的（包括但不限于直接损失、间接损失、律师费、诉讼费），乙方应当继续承担赔偿责任。</w:t>
      </w:r>
    </w:p>
    <w:p>
      <w:pPr>
        <w:shd w:val="clear" w:color="auto" w:fill="FFFFFF"/>
        <w:spacing w:line="500" w:lineRule="exact"/>
        <w:ind w:firstLine="420" w:firstLineChars="200"/>
        <w:jc w:val="both"/>
        <w:rPr>
          <w:rFonts w:ascii="宋体" w:hAnsi="宋体"/>
          <w:kern w:val="2"/>
          <w:sz w:val="21"/>
          <w:szCs w:val="21"/>
        </w:rPr>
      </w:pPr>
      <w:r>
        <w:rPr>
          <w:rFonts w:hint="eastAsia" w:ascii="宋体" w:hAnsi="宋体"/>
          <w:kern w:val="2"/>
          <w:sz w:val="21"/>
          <w:szCs w:val="21"/>
        </w:rPr>
        <w:t>（4）因乙方操作不当或处理故障不及时，致使甲方关键业务系统（连续中断时间超过4小时的，乙方承担由此给甲方带来的一切损失（包括但不限于直接损失、间接损失、律师费、诉讼费），并支付合同年度技术服务费的1%作为违约金给甲方。违约金不足以弥补甲方损失的（包括但不限于直接损失、间接损失、律师费、诉讼费），乙方应当继续承担赔偿责任。</w:t>
      </w:r>
    </w:p>
    <w:p>
      <w:pPr>
        <w:shd w:val="clear" w:color="auto" w:fill="FFFFFF"/>
        <w:spacing w:line="500" w:lineRule="exact"/>
        <w:ind w:firstLine="420" w:firstLineChars="200"/>
        <w:jc w:val="both"/>
        <w:rPr>
          <w:rFonts w:ascii="宋体" w:hAnsi="宋体"/>
          <w:kern w:val="2"/>
          <w:sz w:val="21"/>
          <w:szCs w:val="21"/>
        </w:rPr>
      </w:pPr>
      <w:r>
        <w:rPr>
          <w:rFonts w:hint="eastAsia" w:ascii="宋体" w:hAnsi="宋体"/>
          <w:kern w:val="2"/>
          <w:sz w:val="21"/>
          <w:szCs w:val="21"/>
        </w:rPr>
        <w:t>（5）乙方在未经甲方同意的情况下擅自更换项目人员（项目人员生病、离职等非乙方可控原因除外），则乙方应向甲方支付合同总价款即二年技术服务费总金额的1％作为违约金。甲方有实质证明说明乙方擅自更换的接替人员职位、资质低于调换人员且严重影响项目履行、工作成果质量的，乙方应当向甲方支付合同总价款即二年技术服务费总金额的2%作为违约金，若违约金不足以弥补损失的，乙方应当继续承担赔偿责任。</w:t>
      </w:r>
    </w:p>
    <w:p>
      <w:pPr>
        <w:shd w:val="clear" w:color="auto" w:fill="FFFFFF"/>
        <w:spacing w:line="500" w:lineRule="exact"/>
        <w:ind w:firstLine="420" w:firstLineChars="200"/>
        <w:jc w:val="both"/>
        <w:rPr>
          <w:rFonts w:ascii="宋体" w:hAnsi="宋体"/>
          <w:kern w:val="2"/>
          <w:sz w:val="21"/>
          <w:szCs w:val="21"/>
        </w:rPr>
      </w:pPr>
      <w:r>
        <w:rPr>
          <w:rFonts w:hint="eastAsia" w:ascii="宋体" w:hAnsi="宋体"/>
          <w:kern w:val="2"/>
          <w:sz w:val="21"/>
          <w:szCs w:val="21"/>
        </w:rPr>
        <w:t>（6）甲方、乙方不按本合同第四条约定承担保密责任的，违约方需向另外一方承担由此给另外一方造成的实际损失，并承担法律责任。</w:t>
      </w:r>
    </w:p>
    <w:p>
      <w:pPr>
        <w:shd w:val="clear" w:color="auto" w:fill="FFFFFF"/>
        <w:spacing w:line="500" w:lineRule="exact"/>
        <w:ind w:firstLine="420" w:firstLineChars="200"/>
        <w:jc w:val="both"/>
        <w:rPr>
          <w:rFonts w:ascii="宋体" w:hAnsi="宋体"/>
          <w:kern w:val="2"/>
          <w:sz w:val="21"/>
          <w:szCs w:val="21"/>
        </w:rPr>
      </w:pPr>
      <w:r>
        <w:rPr>
          <w:rFonts w:hint="eastAsia" w:ascii="宋体" w:hAnsi="宋体"/>
          <w:kern w:val="2"/>
          <w:sz w:val="21"/>
          <w:szCs w:val="21"/>
        </w:rPr>
        <w:t>（7）合同签订后甲方无正当理由逾期不能支付合同款项，每逾期七天，甲方须将合同总价款即二年技术服务费总金额的 1 ‰作为滞纳金支付乙方。</w:t>
      </w:r>
    </w:p>
    <w:p>
      <w:pPr>
        <w:shd w:val="clear" w:color="auto" w:fill="FFFFFF"/>
        <w:spacing w:line="500" w:lineRule="exact"/>
        <w:ind w:firstLine="420" w:firstLineChars="200"/>
        <w:jc w:val="both"/>
        <w:rPr>
          <w:rFonts w:ascii="宋体" w:hAnsi="宋体"/>
          <w:kern w:val="2"/>
          <w:sz w:val="21"/>
          <w:szCs w:val="21"/>
        </w:rPr>
      </w:pPr>
    </w:p>
    <w:bookmarkEnd w:id="14"/>
    <w:bookmarkEnd w:id="15"/>
    <w:bookmarkEnd w:id="16"/>
    <w:p>
      <w:pPr>
        <w:widowControl w:val="0"/>
        <w:spacing w:line="500" w:lineRule="exact"/>
        <w:ind w:firstLine="200"/>
        <w:jc w:val="center"/>
        <w:outlineLvl w:val="0"/>
        <w:rPr>
          <w:rFonts w:ascii="宋体" w:hAnsi="宋体"/>
          <w:bCs/>
          <w:kern w:val="2"/>
          <w:sz w:val="21"/>
          <w:szCs w:val="21"/>
        </w:rPr>
      </w:pPr>
      <w:r>
        <w:rPr>
          <w:rFonts w:hint="eastAsia" w:ascii="宋体" w:hAnsi="宋体"/>
          <w:b/>
          <w:kern w:val="2"/>
          <w:sz w:val="21"/>
          <w:szCs w:val="21"/>
        </w:rPr>
        <w:t>第九章 争议处理</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一、对于执行本合同所发生的与本合同有关的争议及合同未尽事宜，甲乙双方应通过友好协商解决。</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二、如果甲乙双方通过友好协商不能达成协议，任何一方应向甲方所在地法院提起诉讼。</w:t>
      </w:r>
    </w:p>
    <w:p>
      <w:pPr>
        <w:widowControl w:val="0"/>
        <w:spacing w:line="500" w:lineRule="exact"/>
        <w:ind w:firstLine="420" w:firstLineChars="200"/>
        <w:jc w:val="both"/>
        <w:rPr>
          <w:rFonts w:ascii="宋体" w:hAnsi="宋体"/>
          <w:kern w:val="2"/>
          <w:sz w:val="21"/>
          <w:szCs w:val="21"/>
        </w:rPr>
      </w:pPr>
      <w:r>
        <w:rPr>
          <w:rFonts w:hint="eastAsia" w:ascii="宋体" w:hAnsi="宋体"/>
          <w:kern w:val="2"/>
          <w:sz w:val="21"/>
          <w:szCs w:val="21"/>
        </w:rPr>
        <w:t>三、在争议处理过程中，除正在协商或仲裁的部分外，合同的其它部分继续执行。</w:t>
      </w:r>
    </w:p>
    <w:p>
      <w:pPr>
        <w:widowControl w:val="0"/>
        <w:spacing w:line="500" w:lineRule="exact"/>
        <w:ind w:firstLine="420" w:firstLineChars="200"/>
        <w:jc w:val="both"/>
        <w:rPr>
          <w:rFonts w:ascii="宋体" w:hAnsi="宋体"/>
          <w:kern w:val="2"/>
          <w:sz w:val="21"/>
          <w:szCs w:val="21"/>
        </w:rPr>
      </w:pPr>
    </w:p>
    <w:p>
      <w:pPr>
        <w:widowControl w:val="0"/>
        <w:spacing w:line="500" w:lineRule="exact"/>
        <w:ind w:firstLine="420" w:firstLineChars="200"/>
        <w:jc w:val="both"/>
        <w:rPr>
          <w:rFonts w:ascii="宋体" w:hAnsi="宋体"/>
          <w:kern w:val="2"/>
          <w:sz w:val="21"/>
          <w:szCs w:val="21"/>
        </w:rPr>
      </w:pPr>
    </w:p>
    <w:p>
      <w:pPr>
        <w:widowControl w:val="0"/>
        <w:spacing w:line="500" w:lineRule="exact"/>
        <w:ind w:firstLine="420" w:firstLineChars="200"/>
        <w:jc w:val="both"/>
        <w:rPr>
          <w:rFonts w:ascii="宋体" w:hAnsi="宋体"/>
          <w:kern w:val="2"/>
          <w:sz w:val="21"/>
          <w:szCs w:val="21"/>
        </w:rPr>
      </w:pPr>
    </w:p>
    <w:p>
      <w:pPr>
        <w:widowControl w:val="0"/>
        <w:spacing w:line="500" w:lineRule="exact"/>
        <w:ind w:firstLine="420" w:firstLineChars="200"/>
        <w:jc w:val="both"/>
        <w:rPr>
          <w:rFonts w:ascii="宋体" w:hAnsi="宋体"/>
          <w:kern w:val="2"/>
          <w:sz w:val="21"/>
          <w:szCs w:val="21"/>
        </w:rPr>
      </w:pPr>
    </w:p>
    <w:p>
      <w:pPr>
        <w:widowControl w:val="0"/>
        <w:spacing w:line="500" w:lineRule="exact"/>
        <w:ind w:firstLine="200"/>
        <w:jc w:val="both"/>
        <w:rPr>
          <w:rFonts w:ascii="宋体" w:hAnsi="宋体"/>
          <w:b/>
          <w:kern w:val="2"/>
          <w:sz w:val="21"/>
          <w:szCs w:val="21"/>
          <w:u w:val="single"/>
        </w:rPr>
      </w:pPr>
      <w:r>
        <w:rPr>
          <w:rFonts w:hint="eastAsia" w:ascii="宋体" w:hAnsi="宋体"/>
          <w:b/>
          <w:kern w:val="2"/>
          <w:sz w:val="21"/>
          <w:szCs w:val="21"/>
        </w:rPr>
        <w:t xml:space="preserve">甲方: </w:t>
      </w:r>
      <w:r>
        <w:rPr>
          <w:rFonts w:hint="eastAsia" w:ascii="宋体" w:hAnsi="宋体"/>
          <w:b/>
          <w:kern w:val="2"/>
          <w:sz w:val="21"/>
          <w:szCs w:val="21"/>
          <w:u w:val="single"/>
        </w:rPr>
        <w:t>北京创联致信</w:t>
      </w:r>
      <w:r>
        <w:rPr>
          <w:rFonts w:ascii="宋体" w:hAnsi="宋体"/>
          <w:b/>
          <w:kern w:val="2"/>
          <w:sz w:val="21"/>
          <w:szCs w:val="21"/>
          <w:u w:val="single"/>
        </w:rPr>
        <w:t>科技有限公司</w:t>
      </w:r>
      <w:r>
        <w:rPr>
          <w:rFonts w:hint="eastAsia" w:ascii="宋体" w:hAnsi="宋体"/>
          <w:b/>
          <w:kern w:val="2"/>
          <w:sz w:val="21"/>
          <w:szCs w:val="21"/>
          <w:u w:val="single"/>
        </w:rPr>
        <w:t xml:space="preserve">             </w:t>
      </w:r>
      <w:r>
        <w:rPr>
          <w:rFonts w:hint="eastAsia" w:ascii="宋体" w:hAnsi="宋体"/>
          <w:b/>
          <w:kern w:val="2"/>
          <w:sz w:val="21"/>
          <w:szCs w:val="21"/>
        </w:rPr>
        <w:t xml:space="preserve">乙方: </w:t>
      </w:r>
      <w:r>
        <w:rPr>
          <w:rFonts w:hint="eastAsia" w:ascii="宋体" w:hAnsi="宋体"/>
          <w:b/>
          <w:kern w:val="2"/>
          <w:sz w:val="21"/>
          <w:szCs w:val="21"/>
          <w:u w:val="single"/>
        </w:rPr>
        <w:t xml:space="preserve">北京垚鑫同创科技有限公司    </w:t>
      </w:r>
    </w:p>
    <w:p>
      <w:pPr>
        <w:widowControl w:val="0"/>
        <w:spacing w:line="500" w:lineRule="exact"/>
        <w:ind w:firstLine="200"/>
        <w:jc w:val="both"/>
        <w:rPr>
          <w:rFonts w:ascii="宋体" w:hAnsi="宋体"/>
          <w:b/>
          <w:kern w:val="2"/>
          <w:sz w:val="21"/>
          <w:szCs w:val="21"/>
        </w:rPr>
      </w:pPr>
    </w:p>
    <w:p>
      <w:pPr>
        <w:widowControl w:val="0"/>
        <w:spacing w:line="500" w:lineRule="exact"/>
        <w:ind w:firstLine="200"/>
        <w:jc w:val="both"/>
        <w:rPr>
          <w:rFonts w:ascii="宋体" w:hAnsi="宋体"/>
          <w:b/>
          <w:kern w:val="2"/>
          <w:sz w:val="21"/>
          <w:szCs w:val="21"/>
          <w:u w:val="single"/>
        </w:rPr>
      </w:pPr>
      <w:r>
        <w:rPr>
          <w:rFonts w:hint="eastAsia" w:ascii="宋体" w:hAnsi="宋体"/>
          <w:b/>
          <w:kern w:val="2"/>
          <w:sz w:val="21"/>
          <w:szCs w:val="21"/>
        </w:rPr>
        <w:t xml:space="preserve">盖章: </w:t>
      </w:r>
      <w:r>
        <w:rPr>
          <w:rFonts w:hint="eastAsia" w:ascii="宋体" w:hAnsi="宋体"/>
          <w:b/>
          <w:kern w:val="2"/>
          <w:sz w:val="21"/>
          <w:szCs w:val="21"/>
          <w:u w:val="single"/>
        </w:rPr>
        <w:t xml:space="preserve">                              </w:t>
      </w:r>
      <w:r>
        <w:rPr>
          <w:rFonts w:hint="eastAsia" w:ascii="宋体" w:hAnsi="宋体"/>
          <w:b/>
          <w:kern w:val="2"/>
          <w:sz w:val="21"/>
          <w:szCs w:val="21"/>
        </w:rPr>
        <w:t xml:space="preserve">       盖章: </w:t>
      </w:r>
      <w:r>
        <w:rPr>
          <w:rFonts w:hint="eastAsia" w:ascii="宋体" w:hAnsi="宋体"/>
          <w:b/>
          <w:kern w:val="2"/>
          <w:sz w:val="21"/>
          <w:szCs w:val="21"/>
          <w:u w:val="single"/>
        </w:rPr>
        <w:t xml:space="preserve">                             </w:t>
      </w:r>
    </w:p>
    <w:p>
      <w:pPr>
        <w:widowControl w:val="0"/>
        <w:spacing w:line="500" w:lineRule="exact"/>
        <w:ind w:firstLine="200"/>
        <w:jc w:val="both"/>
        <w:rPr>
          <w:rFonts w:ascii="宋体" w:hAnsi="宋体"/>
          <w:b/>
          <w:kern w:val="2"/>
          <w:sz w:val="21"/>
          <w:szCs w:val="21"/>
        </w:rPr>
      </w:pPr>
    </w:p>
    <w:p>
      <w:pPr>
        <w:widowControl w:val="0"/>
        <w:spacing w:line="500" w:lineRule="exact"/>
        <w:ind w:firstLine="200"/>
        <w:jc w:val="both"/>
        <w:rPr>
          <w:rFonts w:ascii="宋体" w:hAnsi="宋体"/>
          <w:b/>
          <w:kern w:val="2"/>
          <w:sz w:val="21"/>
          <w:szCs w:val="21"/>
          <w:u w:val="single"/>
        </w:rPr>
      </w:pPr>
      <w:r>
        <w:rPr>
          <w:rFonts w:hint="eastAsia" w:ascii="宋体" w:hAnsi="宋体"/>
          <w:b/>
          <w:kern w:val="2"/>
          <w:sz w:val="21"/>
          <w:szCs w:val="21"/>
        </w:rPr>
        <w:t>甲方代表:</w:t>
      </w:r>
      <w:r>
        <w:rPr>
          <w:rFonts w:hint="eastAsia" w:ascii="宋体" w:hAnsi="宋体"/>
          <w:b/>
          <w:kern w:val="2"/>
          <w:sz w:val="21"/>
          <w:szCs w:val="21"/>
          <w:u w:val="single"/>
        </w:rPr>
        <w:t xml:space="preserve">                           </w:t>
      </w:r>
      <w:r>
        <w:rPr>
          <w:rFonts w:hint="eastAsia" w:ascii="宋体" w:hAnsi="宋体"/>
          <w:b/>
          <w:kern w:val="2"/>
          <w:sz w:val="21"/>
          <w:szCs w:val="21"/>
        </w:rPr>
        <w:t xml:space="preserve">      乙方代表:</w:t>
      </w:r>
      <w:r>
        <w:rPr>
          <w:rFonts w:hint="eastAsia" w:ascii="宋体" w:hAnsi="宋体"/>
          <w:b/>
          <w:kern w:val="2"/>
          <w:sz w:val="21"/>
          <w:szCs w:val="21"/>
          <w:u w:val="single"/>
        </w:rPr>
        <w:t xml:space="preserve">                            </w:t>
      </w:r>
    </w:p>
    <w:p>
      <w:pPr>
        <w:widowControl w:val="0"/>
        <w:spacing w:line="500" w:lineRule="exact"/>
        <w:ind w:firstLine="200"/>
        <w:jc w:val="both"/>
        <w:rPr>
          <w:rFonts w:ascii="宋体" w:hAnsi="宋体"/>
          <w:b/>
          <w:kern w:val="2"/>
          <w:sz w:val="21"/>
          <w:szCs w:val="21"/>
          <w:u w:val="single"/>
        </w:rPr>
      </w:pPr>
    </w:p>
    <w:p>
      <w:pPr>
        <w:widowControl w:val="0"/>
        <w:spacing w:line="500" w:lineRule="exact"/>
        <w:ind w:firstLine="200"/>
        <w:jc w:val="both"/>
        <w:rPr>
          <w:rFonts w:ascii="宋体" w:hAnsi="宋体"/>
          <w:b/>
          <w:kern w:val="2"/>
          <w:sz w:val="21"/>
          <w:szCs w:val="21"/>
          <w:u w:val="single"/>
        </w:rPr>
      </w:pPr>
      <w:r>
        <w:rPr>
          <w:rFonts w:hint="eastAsia" w:ascii="宋体" w:hAnsi="宋体"/>
          <w:b/>
          <w:kern w:val="2"/>
          <w:sz w:val="21"/>
          <w:szCs w:val="21"/>
        </w:rPr>
        <w:t>日期:</w:t>
      </w:r>
      <w:r>
        <w:rPr>
          <w:rFonts w:hint="eastAsia" w:ascii="宋体" w:hAnsi="宋体"/>
          <w:b/>
          <w:kern w:val="2"/>
          <w:sz w:val="21"/>
          <w:szCs w:val="21"/>
          <w:u w:val="single"/>
        </w:rPr>
        <w:t xml:space="preserve">                               </w:t>
      </w:r>
      <w:r>
        <w:rPr>
          <w:rFonts w:hint="eastAsia" w:ascii="宋体" w:hAnsi="宋体"/>
          <w:b/>
          <w:kern w:val="2"/>
          <w:sz w:val="21"/>
          <w:szCs w:val="21"/>
        </w:rPr>
        <w:t xml:space="preserve">       日期: </w:t>
      </w:r>
      <w:r>
        <w:rPr>
          <w:rFonts w:hint="eastAsia" w:ascii="宋体" w:hAnsi="宋体"/>
          <w:b/>
          <w:kern w:val="2"/>
          <w:sz w:val="21"/>
          <w:szCs w:val="21"/>
          <w:u w:val="single"/>
        </w:rPr>
        <w:t xml:space="preserve">                              </w:t>
      </w:r>
      <w:r>
        <w:rPr>
          <w:rFonts w:hint="eastAsia" w:ascii="宋体" w:hAnsi="宋体"/>
          <w:b/>
          <w:kern w:val="2"/>
          <w:sz w:val="21"/>
          <w:szCs w:val="21"/>
        </w:rPr>
        <w:t xml:space="preserve">     </w:t>
      </w:r>
    </w:p>
    <w:p>
      <w:pPr>
        <w:widowControl w:val="0"/>
        <w:spacing w:line="500" w:lineRule="exact"/>
        <w:ind w:firstLine="200"/>
        <w:jc w:val="both"/>
        <w:outlineLvl w:val="0"/>
        <w:rPr>
          <w:rFonts w:ascii="宋体" w:hAnsi="宋体"/>
          <w:b/>
          <w:kern w:val="2"/>
          <w:sz w:val="32"/>
          <w:szCs w:val="32"/>
        </w:rPr>
      </w:pPr>
      <w:r>
        <w:rPr>
          <w:rFonts w:hint="eastAsia" w:ascii="宋体" w:hAnsi="宋体"/>
          <w:bCs/>
          <w:kern w:val="2"/>
          <w:sz w:val="21"/>
          <w:szCs w:val="21"/>
        </w:rPr>
        <w:br w:type="page"/>
      </w:r>
      <w:r>
        <w:rPr>
          <w:rFonts w:hint="eastAsia" w:ascii="宋体" w:hAnsi="宋体"/>
          <w:b/>
          <w:kern w:val="2"/>
          <w:sz w:val="32"/>
          <w:szCs w:val="32"/>
        </w:rPr>
        <w:t>附件1：设备清单</w:t>
      </w:r>
    </w:p>
    <w:p>
      <w:pPr>
        <w:widowControl w:val="0"/>
        <w:spacing w:line="500" w:lineRule="exact"/>
        <w:jc w:val="center"/>
        <w:rPr>
          <w:rFonts w:ascii="黑体" w:hAnsi="黑体" w:eastAsia="黑体"/>
          <w:kern w:val="2"/>
          <w:sz w:val="36"/>
          <w:szCs w:val="36"/>
        </w:rPr>
      </w:pPr>
      <w:r>
        <w:rPr>
          <w:rFonts w:hint="eastAsia" w:ascii="黑体" w:hAnsi="黑体" w:eastAsia="黑体"/>
          <w:kern w:val="2"/>
          <w:sz w:val="36"/>
          <w:szCs w:val="36"/>
        </w:rPr>
        <w:t>设备清单</w:t>
      </w:r>
    </w:p>
    <w:p>
      <w:pPr>
        <w:widowControl w:val="0"/>
        <w:spacing w:line="240" w:lineRule="exact"/>
        <w:jc w:val="both"/>
        <w:rPr>
          <w:rFonts w:ascii="仿宋_GB2312" w:eastAsia="仿宋_GB2312"/>
          <w:kern w:val="2"/>
          <w:sz w:val="28"/>
        </w:rPr>
      </w:pPr>
    </w:p>
    <w:p>
      <w:pPr>
        <w:widowControl w:val="0"/>
        <w:spacing w:line="240" w:lineRule="exact"/>
        <w:jc w:val="both"/>
        <w:rPr>
          <w:rFonts w:ascii="仿宋_GB2312" w:eastAsia="仿宋_GB2312"/>
          <w:kern w:val="2"/>
          <w:sz w:val="28"/>
        </w:rPr>
      </w:pPr>
    </w:p>
    <w:p>
      <w:pPr>
        <w:widowControl w:val="0"/>
        <w:jc w:val="both"/>
        <w:rPr>
          <w:rFonts w:ascii="仿宋_GB2312" w:eastAsia="仿宋_GB2312"/>
          <w:kern w:val="2"/>
          <w:sz w:val="28"/>
        </w:rPr>
      </w:pPr>
      <w:r>
        <w:rPr>
          <w:rFonts w:hint="eastAsia" w:ascii="仿宋_GB2312" w:eastAsia="仿宋_GB2312"/>
          <w:kern w:val="2"/>
          <w:sz w:val="28"/>
          <w:szCs w:val="28"/>
        </w:rPr>
        <w:t>需要购买运维服务的设备和基础软件清单如下：</w:t>
      </w:r>
    </w:p>
    <w:tbl>
      <w:tblPr>
        <w:tblStyle w:val="9"/>
        <w:tblW w:w="9855" w:type="dxa"/>
        <w:jc w:val="center"/>
        <w:tblLayout w:type="fixed"/>
        <w:tblCellMar>
          <w:top w:w="0" w:type="dxa"/>
          <w:left w:w="108" w:type="dxa"/>
          <w:bottom w:w="0" w:type="dxa"/>
          <w:right w:w="108" w:type="dxa"/>
        </w:tblCellMar>
      </w:tblPr>
      <w:tblGrid>
        <w:gridCol w:w="649"/>
        <w:gridCol w:w="693"/>
        <w:gridCol w:w="789"/>
        <w:gridCol w:w="788"/>
        <w:gridCol w:w="2015"/>
        <w:gridCol w:w="1405"/>
        <w:gridCol w:w="2118"/>
        <w:gridCol w:w="1398"/>
      </w:tblGrid>
      <w:tr>
        <w:tblPrEx>
          <w:tblCellMar>
            <w:top w:w="0" w:type="dxa"/>
            <w:left w:w="108" w:type="dxa"/>
            <w:bottom w:w="0" w:type="dxa"/>
            <w:right w:w="108" w:type="dxa"/>
          </w:tblCellMar>
        </w:tblPrEx>
        <w:trPr>
          <w:trHeight w:val="615" w:hRule="atLeast"/>
          <w:tblHeader/>
          <w:jc w:val="center"/>
        </w:trPr>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ind w:left="-120" w:leftChars="-50"/>
              <w:jc w:val="center"/>
              <w:rPr>
                <w:rFonts w:ascii="黑体" w:hAnsi="黑体" w:eastAsia="黑体" w:cs="宋体"/>
                <w:color w:val="000000"/>
                <w:sz w:val="28"/>
                <w:szCs w:val="28"/>
              </w:rPr>
            </w:pPr>
            <w:r>
              <w:rPr>
                <w:rFonts w:hint="eastAsia" w:ascii="黑体" w:hAnsi="黑体" w:eastAsia="黑体" w:cs="宋体"/>
                <w:color w:val="000000"/>
                <w:sz w:val="28"/>
                <w:szCs w:val="28"/>
              </w:rPr>
              <w:t>机房</w:t>
            </w:r>
          </w:p>
        </w:tc>
        <w:tc>
          <w:tcPr>
            <w:tcW w:w="693" w:type="dxa"/>
            <w:tcBorders>
              <w:top w:val="single" w:color="auto" w:sz="4" w:space="0"/>
              <w:left w:val="nil"/>
              <w:bottom w:val="single" w:color="auto" w:sz="4" w:space="0"/>
              <w:right w:val="single" w:color="auto" w:sz="4" w:space="0"/>
            </w:tcBorders>
            <w:vAlign w:val="center"/>
          </w:tcPr>
          <w:p>
            <w:pPr>
              <w:spacing w:line="500" w:lineRule="exact"/>
              <w:ind w:left="-120" w:leftChars="-50"/>
              <w:jc w:val="center"/>
              <w:rPr>
                <w:rFonts w:ascii="黑体" w:hAnsi="黑体" w:eastAsia="黑体" w:cs="宋体"/>
                <w:color w:val="000000"/>
                <w:sz w:val="28"/>
                <w:szCs w:val="28"/>
              </w:rPr>
            </w:pPr>
            <w:r>
              <w:rPr>
                <w:rFonts w:hint="eastAsia" w:ascii="黑体" w:hAnsi="黑体" w:eastAsia="黑体" w:cs="宋体"/>
                <w:color w:val="000000"/>
                <w:sz w:val="28"/>
                <w:szCs w:val="28"/>
              </w:rPr>
              <w:t>机柜</w:t>
            </w:r>
          </w:p>
        </w:tc>
        <w:tc>
          <w:tcPr>
            <w:tcW w:w="789" w:type="dxa"/>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宋体"/>
                <w:color w:val="000000"/>
                <w:sz w:val="28"/>
                <w:szCs w:val="28"/>
              </w:rPr>
            </w:pPr>
            <w:r>
              <w:rPr>
                <w:rFonts w:hint="eastAsia" w:ascii="黑体" w:hAnsi="黑体" w:eastAsia="黑体" w:cs="宋体"/>
                <w:color w:val="000000"/>
                <w:sz w:val="28"/>
                <w:szCs w:val="28"/>
              </w:rPr>
              <w:t>序号</w:t>
            </w:r>
          </w:p>
        </w:tc>
        <w:tc>
          <w:tcPr>
            <w:tcW w:w="788" w:type="dxa"/>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宋体"/>
                <w:color w:val="000000"/>
                <w:sz w:val="28"/>
                <w:szCs w:val="28"/>
              </w:rPr>
            </w:pPr>
            <w:r>
              <w:rPr>
                <w:rFonts w:hint="eastAsia" w:ascii="黑体" w:hAnsi="黑体" w:eastAsia="黑体" w:cs="宋体"/>
                <w:color w:val="000000"/>
                <w:sz w:val="28"/>
                <w:szCs w:val="28"/>
              </w:rPr>
              <w:t>类型</w:t>
            </w:r>
          </w:p>
        </w:tc>
        <w:tc>
          <w:tcPr>
            <w:tcW w:w="2015" w:type="dxa"/>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宋体"/>
                <w:color w:val="000000"/>
                <w:sz w:val="28"/>
                <w:szCs w:val="28"/>
              </w:rPr>
            </w:pPr>
            <w:r>
              <w:rPr>
                <w:rFonts w:hint="eastAsia" w:ascii="黑体" w:hAnsi="黑体" w:eastAsia="黑体" w:cs="宋体"/>
                <w:color w:val="000000"/>
                <w:sz w:val="28"/>
                <w:szCs w:val="28"/>
              </w:rPr>
              <w:t>设备名称</w:t>
            </w:r>
          </w:p>
        </w:tc>
        <w:tc>
          <w:tcPr>
            <w:tcW w:w="1405" w:type="dxa"/>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宋体"/>
                <w:color w:val="000000"/>
                <w:sz w:val="28"/>
                <w:szCs w:val="28"/>
              </w:rPr>
            </w:pPr>
            <w:r>
              <w:rPr>
                <w:rFonts w:hint="eastAsia" w:ascii="黑体" w:hAnsi="黑体" w:eastAsia="黑体" w:cs="宋体"/>
                <w:color w:val="000000"/>
                <w:sz w:val="28"/>
                <w:szCs w:val="28"/>
              </w:rPr>
              <w:t>厂家</w:t>
            </w:r>
          </w:p>
        </w:tc>
        <w:tc>
          <w:tcPr>
            <w:tcW w:w="2118" w:type="dxa"/>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宋体"/>
                <w:color w:val="000000"/>
                <w:sz w:val="28"/>
                <w:szCs w:val="28"/>
              </w:rPr>
            </w:pPr>
            <w:r>
              <w:rPr>
                <w:rFonts w:hint="eastAsia" w:ascii="黑体" w:hAnsi="黑体" w:eastAsia="黑体" w:cs="宋体"/>
                <w:color w:val="000000"/>
                <w:sz w:val="28"/>
                <w:szCs w:val="28"/>
              </w:rPr>
              <w:t>型号</w:t>
            </w:r>
          </w:p>
        </w:tc>
        <w:tc>
          <w:tcPr>
            <w:tcW w:w="1398" w:type="dxa"/>
            <w:tcBorders>
              <w:top w:val="single" w:color="auto" w:sz="4" w:space="0"/>
              <w:left w:val="nil"/>
              <w:bottom w:val="single" w:color="auto" w:sz="4" w:space="0"/>
              <w:right w:val="single" w:color="auto" w:sz="4" w:space="0"/>
            </w:tcBorders>
            <w:vAlign w:val="center"/>
          </w:tcPr>
          <w:p>
            <w:pPr>
              <w:spacing w:line="500" w:lineRule="exact"/>
              <w:jc w:val="center"/>
              <w:rPr>
                <w:rFonts w:ascii="黑体" w:hAnsi="黑体" w:eastAsia="黑体" w:cs="宋体"/>
                <w:color w:val="000000"/>
                <w:sz w:val="28"/>
                <w:szCs w:val="28"/>
              </w:rPr>
            </w:pPr>
            <w:r>
              <w:rPr>
                <w:rFonts w:hint="eastAsia" w:ascii="黑体" w:hAnsi="黑体" w:eastAsia="黑体" w:cs="宋体"/>
                <w:color w:val="000000"/>
                <w:sz w:val="28"/>
                <w:szCs w:val="28"/>
              </w:rPr>
              <w:t>保质期</w:t>
            </w:r>
          </w:p>
        </w:tc>
      </w:tr>
      <w:tr>
        <w:tblPrEx>
          <w:tblCellMar>
            <w:top w:w="0" w:type="dxa"/>
            <w:left w:w="108" w:type="dxa"/>
            <w:bottom w:w="0" w:type="dxa"/>
            <w:right w:w="108" w:type="dxa"/>
          </w:tblCellMar>
        </w:tblPrEx>
        <w:trPr>
          <w:trHeight w:val="330" w:hRule="atLeast"/>
          <w:jc w:val="center"/>
        </w:trPr>
        <w:tc>
          <w:tcPr>
            <w:tcW w:w="649"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一楼</w:t>
            </w:r>
            <w:r>
              <w:rPr>
                <w:rFonts w:hint="eastAsia" w:ascii="仿宋_GB2312" w:hAnsi="宋体" w:eastAsia="仿宋_GB2312" w:cs="宋体"/>
                <w:b/>
                <w:bCs/>
                <w:color w:val="000000"/>
                <w:spacing w:val="-20"/>
                <w:sz w:val="28"/>
                <w:szCs w:val="28"/>
              </w:rPr>
              <w:br w:type="textWrapping"/>
            </w:r>
            <w:r>
              <w:rPr>
                <w:rFonts w:hint="eastAsia" w:ascii="仿宋_GB2312" w:hAnsi="宋体" w:eastAsia="仿宋_GB2312" w:cs="宋体"/>
                <w:b/>
                <w:bCs/>
                <w:color w:val="000000"/>
                <w:spacing w:val="-20"/>
                <w:sz w:val="28"/>
                <w:szCs w:val="28"/>
              </w:rPr>
              <w:t>机房</w:t>
            </w:r>
            <w:r>
              <w:rPr>
                <w:rFonts w:hint="eastAsia" w:ascii="仿宋_GB2312" w:hAnsi="宋体" w:eastAsia="仿宋_GB2312" w:cs="宋体"/>
                <w:b/>
                <w:bCs/>
                <w:color w:val="000000"/>
                <w:spacing w:val="-20"/>
                <w:sz w:val="28"/>
                <w:szCs w:val="28"/>
              </w:rPr>
              <w:br w:type="textWrapping"/>
            </w:r>
            <w:r>
              <w:rPr>
                <w:rFonts w:hint="eastAsia" w:ascii="仿宋_GB2312" w:hAnsi="宋体" w:eastAsia="仿宋_GB2312" w:cs="宋体"/>
                <w:b/>
                <w:bCs/>
                <w:color w:val="000000"/>
                <w:spacing w:val="-20"/>
                <w:sz w:val="28"/>
                <w:szCs w:val="28"/>
              </w:rPr>
              <w:t>设备</w:t>
            </w:r>
          </w:p>
        </w:tc>
        <w:tc>
          <w:tcPr>
            <w:tcW w:w="693" w:type="dxa"/>
            <w:vMerge w:val="restart"/>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w:t>
            </w:r>
          </w:p>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号机柜</w:t>
            </w:r>
          </w:p>
        </w:tc>
        <w:tc>
          <w:tcPr>
            <w:tcW w:w="789"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001</w:t>
            </w:r>
          </w:p>
        </w:tc>
        <w:tc>
          <w:tcPr>
            <w:tcW w:w="788"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S5500</w:t>
            </w:r>
          </w:p>
        </w:tc>
        <w:tc>
          <w:tcPr>
            <w:tcW w:w="1398"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315"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single" w:color="auto" w:sz="4" w:space="0"/>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002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S5500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single" w:color="auto" w:sz="4" w:space="0"/>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003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S5700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2017年5月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single" w:color="auto" w:sz="4" w:space="0"/>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004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S5700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2017年5月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single" w:color="auto" w:sz="4" w:space="0"/>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005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S5700</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single" w:color="auto" w:sz="4" w:space="0"/>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006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S5700</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single" w:color="auto" w:sz="4" w:space="0"/>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007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KVM</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avocent</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力登2032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地上</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009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震有科技</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NC5200C</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010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VP9660</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011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VP9660</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047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S5300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048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S5300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049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带机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IBM7214</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P770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服务器展柜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FC5802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服务器展柜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FC5802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服务器展柜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FC5802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8</w:t>
            </w:r>
          </w:p>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震有科技</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震有科技</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RH2285</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RH2285</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RH2285</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059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RH2285</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060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RH2285</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061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Oceanstor S2600T</w:t>
            </w:r>
          </w:p>
        </w:tc>
        <w:tc>
          <w:tcPr>
            <w:tcW w:w="139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nil"/>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062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光纤交换机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S5500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机房基础设施</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069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艾默生空调</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七氟丙烷灭火器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陕西金安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七氟丙烷灭火器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陕西金安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艾默生ups机头</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艾默生ups机头</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艾默生ups机头</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电池组柜1</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电池组柜2</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TB-TB-TC 3000 火警报警器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LD-TC 3021气体灭火控制器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079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KVM</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avocent</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080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总配电柜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081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延时配电柜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082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电池控制柜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12个</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083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电池 （LC-P12100ST）</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松下</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282块</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084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软件</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环境监控系统</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中联通</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1套</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085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净水设备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1套</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过原厂保</w:t>
            </w:r>
          </w:p>
        </w:tc>
      </w:tr>
      <w:tr>
        <w:tblPrEx>
          <w:tblCellMar>
            <w:top w:w="0" w:type="dxa"/>
            <w:left w:w="108" w:type="dxa"/>
            <w:bottom w:w="0" w:type="dxa"/>
            <w:right w:w="108" w:type="dxa"/>
          </w:tblCellMar>
        </w:tblPrEx>
        <w:trPr>
          <w:trHeight w:val="270" w:hRule="atLeast"/>
          <w:jc w:val="center"/>
        </w:trPr>
        <w:tc>
          <w:tcPr>
            <w:tcW w:w="649"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六楼</w:t>
            </w:r>
            <w:r>
              <w:rPr>
                <w:rFonts w:hint="eastAsia" w:ascii="仿宋_GB2312" w:hAnsi="宋体" w:eastAsia="仿宋_GB2312" w:cs="宋体"/>
                <w:b/>
                <w:bCs/>
                <w:color w:val="000000"/>
                <w:spacing w:val="-20"/>
                <w:sz w:val="28"/>
                <w:szCs w:val="28"/>
              </w:rPr>
              <w:br w:type="textWrapping"/>
            </w:r>
            <w:r>
              <w:rPr>
                <w:rFonts w:hint="eastAsia" w:ascii="仿宋_GB2312" w:hAnsi="宋体" w:eastAsia="仿宋_GB2312" w:cs="宋体"/>
                <w:b/>
                <w:bCs/>
                <w:color w:val="000000"/>
                <w:spacing w:val="-20"/>
                <w:sz w:val="28"/>
                <w:szCs w:val="28"/>
              </w:rPr>
              <w:t>机房设备</w:t>
            </w: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w:t>
            </w:r>
          </w:p>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MSR 3640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网神科技</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网神</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锐捷</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RG-WALL-1600-CC</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迈普</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MSR20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锐捷</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RG-RSR 20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锐捷</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RG-WALL-160M</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锐捷</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S2126G</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AR-13</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009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迈普</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MP2632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龙马卫士</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NMB-MAT</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neusoft</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FW4016</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5000B</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网神科技</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网神</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网神科技</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网神</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MSR 5040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2号机柜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互联网认证</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MA5200F-2000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2950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S8505</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3号机柜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019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迈普</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MP4120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020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2600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021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专线防火墙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天融信</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NGFW4000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022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NE40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023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S3100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4号机柜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024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前置机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戴尔</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PE2950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025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惠普</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DL380G7</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7号机柜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043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S5120-36C-PWR-EI</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044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S6700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045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核心IPS</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IPS4255</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046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核心交换机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catalyst 4507R/E</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047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核心防火墙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ASA5585-XSSP-20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048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核心路由器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CISCO7609S</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8号机柜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049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视频设备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华为</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S6700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未验收</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核心IPS</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IPS4255</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核心交换机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catalyst 4507R/E</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核心防火墙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ASA5585-XSSP-20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核心路由器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思科</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CISCO7609S</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9号机柜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安全网关</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NSAE2100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安全网关</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NSAE2100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安全网关</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NSAE1100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安全网关</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NSAE1100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链路负载均衡器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NSAE2100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059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链路负载均衡器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NSAE2100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服务器负载均衡器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NSAE1100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S5500A</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接入层交换机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H3C</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S5500B</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互联网安全网关</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启明星辰</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USG-810A</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内网防火墙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天融信</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NGFW4000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IPS</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东软</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NISG6000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外网防火墙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东软</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FW5200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外网防火墙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东软</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FW5200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外网防火墙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天融信</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NGFW4000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069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外网防火墙</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天融信</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NGFW4000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107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带机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 7212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108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P570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109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X3550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交换机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IPLINK</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TL-SF1024S</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带机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 7212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P570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存储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DS4800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存储扩展柜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EXP810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存储扩展柜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EXP810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netsign3000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netsign3000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三未信安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SJJ1012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119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三未信安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SJJ1012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德安科技</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RA密码机</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CA签名</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世纪信安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CA签名</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X3650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X3650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认证服务器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X346</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前置机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X3610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前置机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HP</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DL380G5</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前置机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X3650M3</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15号机柜</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129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X3650M3</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曙光</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天阔620R</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BloadCH</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139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BloadC H</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149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BloadC H</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159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应用服务器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IBM</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HS 22</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机房基础设施</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艾默生p2070</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p2070</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海洛斯Q14</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海洛斯</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Q14</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海洛斯P07</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海洛斯</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P07</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新风机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加湿机</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169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七氟丙烷灭火器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七氟丙烷灭火器</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消防电源箱</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气体灭火控制盘</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KVM</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raritan</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动力柜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XL-21</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175</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配电柜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GGD NLS</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176</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动力配电柜</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XL-21</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177</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门禁</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178</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门禁</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179</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净水设备</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1套</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180</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软件</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环境监控系统</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艾默生</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1套</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标清视频会议</w:t>
            </w: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181</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视频设备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VSX8000</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宝利通</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终端</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182</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视频设备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VSX8000</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宝利通</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终端</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183</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视频设备</w:t>
            </w:r>
          </w:p>
        </w:tc>
        <w:tc>
          <w:tcPr>
            <w:tcW w:w="201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V16016</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宏控</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矩阵</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r>
        <w:tblPrEx>
          <w:tblCellMar>
            <w:top w:w="0" w:type="dxa"/>
            <w:left w:w="108" w:type="dxa"/>
            <w:bottom w:w="0" w:type="dxa"/>
            <w:right w:w="108" w:type="dxa"/>
          </w:tblCellMar>
        </w:tblPrEx>
        <w:trPr>
          <w:trHeight w:val="270" w:hRule="atLeast"/>
          <w:jc w:val="center"/>
        </w:trPr>
        <w:tc>
          <w:tcPr>
            <w:tcW w:w="649"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693" w:type="dxa"/>
            <w:vMerge w:val="continue"/>
            <w:tcBorders>
              <w:top w:val="nil"/>
              <w:left w:val="single" w:color="auto" w:sz="4" w:space="0"/>
              <w:bottom w:val="single" w:color="auto" w:sz="4" w:space="0"/>
              <w:right w:val="single" w:color="auto" w:sz="4" w:space="0"/>
            </w:tcBorders>
            <w:vAlign w:val="center"/>
          </w:tcPr>
          <w:p>
            <w:pPr>
              <w:rPr>
                <w:rFonts w:ascii="仿宋_GB2312" w:hAnsi="宋体" w:eastAsia="仿宋_GB2312" w:cs="宋体"/>
                <w:b/>
                <w:bCs/>
                <w:color w:val="000000"/>
                <w:spacing w:val="-20"/>
                <w:sz w:val="28"/>
                <w:szCs w:val="28"/>
              </w:rPr>
            </w:pPr>
          </w:p>
        </w:tc>
        <w:tc>
          <w:tcPr>
            <w:tcW w:w="789"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184</w:t>
            </w:r>
          </w:p>
        </w:tc>
        <w:tc>
          <w:tcPr>
            <w:tcW w:w="78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b/>
                <w:bCs/>
                <w:color w:val="000000"/>
                <w:spacing w:val="-20"/>
                <w:sz w:val="28"/>
                <w:szCs w:val="28"/>
              </w:rPr>
            </w:pPr>
            <w:r>
              <w:rPr>
                <w:rFonts w:hint="eastAsia" w:ascii="仿宋_GB2312" w:hAnsi="宋体" w:eastAsia="仿宋_GB2312" w:cs="宋体"/>
                <w:b/>
                <w:bCs/>
                <w:color w:val="000000"/>
                <w:spacing w:val="-20"/>
                <w:sz w:val="28"/>
                <w:szCs w:val="28"/>
              </w:rPr>
              <w:t>视频设备</w:t>
            </w:r>
          </w:p>
        </w:tc>
        <w:tc>
          <w:tcPr>
            <w:tcW w:w="2015" w:type="dxa"/>
            <w:tcBorders>
              <w:top w:val="nil"/>
              <w:left w:val="nil"/>
              <w:bottom w:val="single" w:color="auto" w:sz="4" w:space="0"/>
              <w:right w:val="single" w:color="auto" w:sz="4" w:space="0"/>
            </w:tcBorders>
            <w:vAlign w:val="center"/>
          </w:tcPr>
          <w:p>
            <w:pPr>
              <w:spacing w:line="500" w:lineRule="exact"/>
              <w:ind w:left="-120" w:leftChars="-50"/>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DSS-R多媒体录播</w:t>
            </w:r>
          </w:p>
        </w:tc>
        <w:tc>
          <w:tcPr>
            <w:tcW w:w="1405"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锐取软件</w:t>
            </w:r>
          </w:p>
        </w:tc>
        <w:tc>
          <w:tcPr>
            <w:tcW w:w="211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录播系统</w:t>
            </w:r>
          </w:p>
        </w:tc>
        <w:tc>
          <w:tcPr>
            <w:tcW w:w="1398" w:type="dxa"/>
            <w:tcBorders>
              <w:top w:val="nil"/>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pacing w:val="-20"/>
                <w:sz w:val="28"/>
                <w:szCs w:val="28"/>
              </w:rPr>
            </w:pPr>
            <w:r>
              <w:rPr>
                <w:rFonts w:hint="eastAsia" w:ascii="仿宋_GB2312" w:hAnsi="宋体" w:eastAsia="仿宋_GB2312" w:cs="宋体"/>
                <w:color w:val="000000"/>
                <w:spacing w:val="-20"/>
                <w:sz w:val="28"/>
                <w:szCs w:val="28"/>
              </w:rPr>
              <w:t>2015年6月</w:t>
            </w:r>
          </w:p>
        </w:tc>
      </w:tr>
    </w:tbl>
    <w:p>
      <w:pPr>
        <w:widowControl w:val="0"/>
        <w:tabs>
          <w:tab w:val="left" w:pos="720"/>
        </w:tabs>
        <w:spacing w:line="360" w:lineRule="auto"/>
        <w:ind w:left="-1133" w:leftChars="-472"/>
        <w:jc w:val="both"/>
        <w:rPr>
          <w:rFonts w:ascii="宋体" w:hAnsi="宋体"/>
          <w:kern w:val="2"/>
          <w:szCs w:val="20"/>
        </w:rPr>
      </w:pPr>
    </w:p>
    <w:p>
      <w:pPr>
        <w:widowControl w:val="0"/>
        <w:tabs>
          <w:tab w:val="left" w:pos="720"/>
        </w:tabs>
        <w:spacing w:line="360" w:lineRule="exact"/>
        <w:jc w:val="center"/>
        <w:rPr>
          <w:rFonts w:ascii="宋体" w:hAnsi="宋体"/>
          <w:kern w:val="2"/>
          <w:sz w:val="21"/>
          <w:szCs w:val="21"/>
        </w:rPr>
      </w:pPr>
      <w:r>
        <w:rPr>
          <w:rFonts w:hint="eastAsia" w:ascii="宋体" w:hAnsi="宋体"/>
          <w:kern w:val="2"/>
          <w:sz w:val="21"/>
          <w:szCs w:val="21"/>
        </w:rPr>
        <w:t>其他设备清单</w:t>
      </w:r>
    </w:p>
    <w:p>
      <w:pPr>
        <w:widowControl w:val="0"/>
        <w:tabs>
          <w:tab w:val="left" w:pos="720"/>
        </w:tabs>
        <w:spacing w:line="360" w:lineRule="exact"/>
        <w:jc w:val="center"/>
        <w:rPr>
          <w:rFonts w:ascii="宋体" w:hAnsi="宋体"/>
          <w:kern w:val="2"/>
          <w:sz w:val="21"/>
          <w:szCs w:val="21"/>
        </w:rPr>
      </w:pPr>
    </w:p>
    <w:tbl>
      <w:tblPr>
        <w:tblStyle w:val="9"/>
        <w:tblW w:w="9481" w:type="dxa"/>
        <w:jc w:val="center"/>
        <w:tblLayout w:type="fixed"/>
        <w:tblCellMar>
          <w:top w:w="0" w:type="dxa"/>
          <w:left w:w="108" w:type="dxa"/>
          <w:bottom w:w="0" w:type="dxa"/>
          <w:right w:w="108" w:type="dxa"/>
        </w:tblCellMar>
      </w:tblPr>
      <w:tblGrid>
        <w:gridCol w:w="1844"/>
        <w:gridCol w:w="2331"/>
        <w:gridCol w:w="2551"/>
        <w:gridCol w:w="1675"/>
        <w:gridCol w:w="1080"/>
      </w:tblGrid>
      <w:tr>
        <w:tblPrEx>
          <w:tblCellMar>
            <w:top w:w="0" w:type="dxa"/>
            <w:left w:w="108" w:type="dxa"/>
            <w:bottom w:w="0" w:type="dxa"/>
            <w:right w:w="108" w:type="dxa"/>
          </w:tblCellMar>
        </w:tblPrEx>
        <w:trPr>
          <w:trHeight w:val="405" w:hRule="atLeast"/>
          <w:tblHeader/>
          <w:jc w:val="center"/>
        </w:trPr>
        <w:tc>
          <w:tcPr>
            <w:tcW w:w="18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Cs/>
                <w:color w:val="000000"/>
                <w:sz w:val="21"/>
                <w:szCs w:val="21"/>
              </w:rPr>
            </w:pPr>
            <w:r>
              <w:rPr>
                <w:rFonts w:hint="eastAsia" w:ascii="宋体" w:hAnsi="宋体" w:cs="宋体"/>
                <w:bCs/>
                <w:color w:val="000000"/>
                <w:sz w:val="21"/>
                <w:szCs w:val="21"/>
              </w:rPr>
              <w:t>厂商</w:t>
            </w:r>
          </w:p>
        </w:tc>
        <w:tc>
          <w:tcPr>
            <w:tcW w:w="233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Cs/>
                <w:color w:val="000000"/>
                <w:sz w:val="21"/>
                <w:szCs w:val="21"/>
              </w:rPr>
            </w:pPr>
            <w:r>
              <w:rPr>
                <w:rFonts w:hint="eastAsia" w:ascii="宋体" w:hAnsi="宋体" w:cs="宋体"/>
                <w:bCs/>
                <w:color w:val="000000"/>
                <w:sz w:val="21"/>
                <w:szCs w:val="21"/>
              </w:rPr>
              <w:t>设备</w:t>
            </w:r>
          </w:p>
        </w:tc>
        <w:tc>
          <w:tcPr>
            <w:tcW w:w="2551"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Cs/>
                <w:color w:val="000000"/>
                <w:sz w:val="21"/>
                <w:szCs w:val="21"/>
              </w:rPr>
            </w:pPr>
            <w:r>
              <w:rPr>
                <w:rFonts w:hint="eastAsia" w:ascii="宋体" w:hAnsi="宋体" w:cs="宋体"/>
                <w:bCs/>
                <w:color w:val="000000"/>
                <w:sz w:val="21"/>
                <w:szCs w:val="21"/>
              </w:rPr>
              <w:t>设备名</w:t>
            </w:r>
          </w:p>
        </w:tc>
        <w:tc>
          <w:tcPr>
            <w:tcW w:w="1675"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Cs/>
                <w:color w:val="000000"/>
                <w:sz w:val="21"/>
                <w:szCs w:val="21"/>
              </w:rPr>
            </w:pPr>
            <w:r>
              <w:rPr>
                <w:rFonts w:hint="eastAsia" w:ascii="宋体" w:hAnsi="宋体" w:cs="宋体"/>
                <w:bCs/>
                <w:color w:val="000000"/>
                <w:sz w:val="21"/>
                <w:szCs w:val="21"/>
              </w:rPr>
              <w:t>应用</w:t>
            </w:r>
          </w:p>
        </w:tc>
        <w:tc>
          <w:tcPr>
            <w:tcW w:w="108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cs="宋体"/>
                <w:bCs/>
                <w:color w:val="000000"/>
                <w:sz w:val="21"/>
                <w:szCs w:val="21"/>
              </w:rPr>
            </w:pPr>
            <w:r>
              <w:rPr>
                <w:rFonts w:hint="eastAsia" w:ascii="宋体" w:hAnsi="宋体" w:cs="宋体"/>
                <w:bCs/>
                <w:color w:val="000000"/>
                <w:sz w:val="21"/>
                <w:szCs w:val="21"/>
              </w:rPr>
              <w:t>状态</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3com</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交换机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switch 4400SE</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交换机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S5000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天融信</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防火墙</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天融信</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防火墙</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NGFW4000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tenda</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交换机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TEA1600S</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趋势科技</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防毒墙</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1200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趋势科技</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防毒墙</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1200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龙马卫士</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防火墙</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交换机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S5000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交换机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S5000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交换机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S5000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路由器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secpath 1800F</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趋势科技</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防毒墙</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2500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路由器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netengine 20-4</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防火墙</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eudemon 200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天元龙马</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网络安全扫描系统</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入侵检测</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secengine D500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入侵检测</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secengine D500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华为</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入侵检测</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secengine D500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cisco</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路由器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3600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cisco</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路由器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3700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博科</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光纤交换机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3250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博科</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光纤交换机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3250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IBM</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盘柜</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exp400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IBM</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pc服务器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x346</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IBM</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pc服务器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x346</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IBM</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pc服务器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x346</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IBM</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小型机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p630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xyratex</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存储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RS-1600-FC</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AB</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功放</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IP</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PH-PC1-8</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KVM</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ibm</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kvm</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junao</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功放</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f1</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雅马哈</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录音机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dvd播放器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p2020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jav</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录像机</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万利达</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dvd播放器</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dvd-n980</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快捷</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矩阵</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乐富豪</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调音台</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28-02 mixer</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史云威格</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音响</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E-708</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史云威格</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音响</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E-708</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史云威格</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音响</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HT-S6</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tr>
        <w:tblPrEx>
          <w:tblCellMar>
            <w:top w:w="0" w:type="dxa"/>
            <w:left w:w="108" w:type="dxa"/>
            <w:bottom w:w="0" w:type="dxa"/>
            <w:right w:w="108" w:type="dxa"/>
          </w:tblCellMar>
        </w:tblPrEx>
        <w:trPr>
          <w:trHeight w:val="270" w:hRule="atLeast"/>
          <w:jc w:val="center"/>
        </w:trPr>
        <w:tc>
          <w:tcPr>
            <w:tcW w:w="1844"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史云威格</w:t>
            </w:r>
          </w:p>
        </w:tc>
        <w:tc>
          <w:tcPr>
            <w:tcW w:w="233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音响</w:t>
            </w:r>
          </w:p>
        </w:tc>
        <w:tc>
          <w:tcPr>
            <w:tcW w:w="2551"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HT-S6</w:t>
            </w:r>
          </w:p>
        </w:tc>
        <w:tc>
          <w:tcPr>
            <w:tcW w:w="1675"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p>
        </w:tc>
        <w:tc>
          <w:tcPr>
            <w:tcW w:w="1080" w:type="dxa"/>
            <w:tcBorders>
              <w:top w:val="nil"/>
              <w:left w:val="nil"/>
              <w:bottom w:val="single" w:color="auto" w:sz="4" w:space="0"/>
              <w:right w:val="single" w:color="auto" w:sz="4" w:space="0"/>
            </w:tcBorders>
            <w:vAlign w:val="center"/>
          </w:tcPr>
          <w:p>
            <w:pPr>
              <w:spacing w:line="360" w:lineRule="exact"/>
              <w:jc w:val="center"/>
              <w:rPr>
                <w:rFonts w:ascii="宋体" w:hAnsi="宋体" w:cs="宋体"/>
                <w:color w:val="000000"/>
                <w:spacing w:val="-20"/>
                <w:sz w:val="21"/>
                <w:szCs w:val="21"/>
              </w:rPr>
            </w:pPr>
            <w:r>
              <w:rPr>
                <w:rFonts w:hint="eastAsia" w:ascii="宋体" w:hAnsi="宋体" w:cs="宋体"/>
                <w:color w:val="000000"/>
                <w:spacing w:val="-20"/>
                <w:sz w:val="21"/>
                <w:szCs w:val="21"/>
              </w:rPr>
              <w:t>已过保</w:t>
            </w:r>
          </w:p>
        </w:tc>
      </w:tr>
      <w:bookmarkEnd w:id="0"/>
    </w:tbl>
    <w:p>
      <w:pPr>
        <w:widowControl w:val="0"/>
        <w:tabs>
          <w:tab w:val="left" w:pos="720"/>
        </w:tabs>
        <w:spacing w:line="360" w:lineRule="auto"/>
        <w:jc w:val="both"/>
        <w:rPr>
          <w:rFonts w:ascii="宋体" w:eastAsia="仿宋_GB2312"/>
          <w:kern w:val="2"/>
          <w:sz w:val="28"/>
          <w:szCs w:val="28"/>
        </w:rPr>
      </w:pPr>
    </w:p>
    <w:sectPr>
      <w:pgSz w:w="11906" w:h="16838"/>
      <w:pgMar w:top="1418" w:right="1701" w:bottom="1418" w:left="1418" w:header="851" w:footer="851" w:gutter="0"/>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2"/>
      <w:numFmt w:val="decimal"/>
      <w:suff w:val="nothing"/>
      <w:lvlText w:val="%1."/>
      <w:lvlJc w:val="left"/>
      <w:pPr>
        <w:ind w:left="0" w:firstLine="0"/>
      </w:pPr>
    </w:lvl>
  </w:abstractNum>
  <w:abstractNum w:abstractNumId="1">
    <w:nsid w:val="170841AC"/>
    <w:multiLevelType w:val="multilevel"/>
    <w:tmpl w:val="170841AC"/>
    <w:lvl w:ilvl="0" w:tentative="0">
      <w:start w:val="1"/>
      <w:numFmt w:val="chineseCountingThousand"/>
      <w:lvlText w:val="%1、"/>
      <w:lvlJc w:val="left"/>
      <w:pPr>
        <w:ind w:left="420" w:hanging="420"/>
      </w:pPr>
      <w:rPr>
        <w:rFonts w:hint="eastAsia"/>
        <w:lang w:val="en-US"/>
      </w:rPr>
    </w:lvl>
    <w:lvl w:ilvl="1" w:tentative="0">
      <w:start w:val="1"/>
      <w:numFmt w:val="decimal"/>
      <w:isLgl/>
      <w:suff w:val="space"/>
      <w:lvlText w:val="%1.%2."/>
      <w:lvlJc w:val="left"/>
      <w:pPr>
        <w:ind w:left="576" w:hanging="576"/>
      </w:pPr>
      <w:rPr>
        <w:rFonts w:hint="eastAsia"/>
      </w:rPr>
    </w:lvl>
    <w:lvl w:ilvl="2" w:tentative="0">
      <w:start w:val="1"/>
      <w:numFmt w:val="decimal"/>
      <w:pStyle w:val="2"/>
      <w:isLgl/>
      <w:suff w:val="space"/>
      <w:lvlText w:val="%1.%2.%3."/>
      <w:lvlJc w:val="left"/>
      <w:pPr>
        <w:ind w:left="720" w:hanging="720"/>
      </w:pPr>
      <w:rPr>
        <w:rFonts w:hint="eastAsia"/>
      </w:rPr>
    </w:lvl>
    <w:lvl w:ilvl="3" w:tentative="0">
      <w:start w:val="1"/>
      <w:numFmt w:val="decimal"/>
      <w:isLgl/>
      <w:suff w:val="space"/>
      <w:lvlText w:val="%1.%2.%3.%4."/>
      <w:lvlJc w:val="left"/>
      <w:pPr>
        <w:ind w:left="864" w:hanging="864"/>
      </w:pPr>
      <w:rPr>
        <w:rFonts w:hint="eastAsia"/>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594FB8F6"/>
    <w:multiLevelType w:val="singleLevel"/>
    <w:tmpl w:val="594FB8F6"/>
    <w:lvl w:ilvl="0" w:tentative="0">
      <w:start w:val="1"/>
      <w:numFmt w:val="bullet"/>
      <w:pStyle w:val="3"/>
      <w:lvlText w:val=""/>
      <w:lvlJc w:val="left"/>
      <w:pPr>
        <w:tabs>
          <w:tab w:val="left" w:pos="360"/>
        </w:tabs>
        <w:ind w:left="360" w:hanging="360"/>
      </w:pPr>
      <w:rPr>
        <w:rFonts w:hint="default" w:ascii="Wingdings" w:hAnsi="Wingdings"/>
      </w:rPr>
    </w:lvl>
  </w:abstractNum>
  <w:abstractNum w:abstractNumId="3">
    <w:nsid w:val="594FB901"/>
    <w:multiLevelType w:val="singleLevel"/>
    <w:tmpl w:val="594FB901"/>
    <w:lvl w:ilvl="0" w:tentative="0">
      <w:start w:val="1"/>
      <w:numFmt w:val="bullet"/>
      <w:pStyle w:val="4"/>
      <w:lvlText w:val=""/>
      <w:lvlJc w:val="left"/>
      <w:pPr>
        <w:tabs>
          <w:tab w:val="left" w:pos="1200"/>
        </w:tabs>
        <w:ind w:left="1200" w:hanging="360"/>
      </w:pPr>
      <w:rPr>
        <w:rFonts w:hint="default" w:ascii="Wingdings" w:hAnsi="Wingdings"/>
      </w:rPr>
    </w:lvl>
  </w:abstractNum>
  <w:abstractNum w:abstractNumId="4">
    <w:nsid w:val="594FB917"/>
    <w:multiLevelType w:val="singleLevel"/>
    <w:tmpl w:val="594FB917"/>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1"/>
  </w:num>
  <w:num w:numId="2">
    <w:abstractNumId w:val="2"/>
  </w:num>
  <w:num w:numId="3">
    <w:abstractNumId w:val="3"/>
  </w:num>
  <w:num w:numId="4">
    <w:abstractNumId w:val="4"/>
  </w:num>
  <w:num w:numId="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HorizontalSpacing w:val="12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35316"/>
    <w:rsid w:val="00091F7C"/>
    <w:rsid w:val="000E2469"/>
    <w:rsid w:val="0011345F"/>
    <w:rsid w:val="00165A18"/>
    <w:rsid w:val="00243BE6"/>
    <w:rsid w:val="0027779F"/>
    <w:rsid w:val="002C6CAD"/>
    <w:rsid w:val="003D6AEB"/>
    <w:rsid w:val="00402291"/>
    <w:rsid w:val="005025D1"/>
    <w:rsid w:val="00503ABB"/>
    <w:rsid w:val="005D2843"/>
    <w:rsid w:val="00643D7A"/>
    <w:rsid w:val="0066095D"/>
    <w:rsid w:val="006D1EEC"/>
    <w:rsid w:val="006E6E71"/>
    <w:rsid w:val="007505CD"/>
    <w:rsid w:val="007507B9"/>
    <w:rsid w:val="00777A82"/>
    <w:rsid w:val="00820E60"/>
    <w:rsid w:val="00865FA5"/>
    <w:rsid w:val="008A25C7"/>
    <w:rsid w:val="008C0B82"/>
    <w:rsid w:val="008F2E09"/>
    <w:rsid w:val="009000BF"/>
    <w:rsid w:val="0091606B"/>
    <w:rsid w:val="00917627"/>
    <w:rsid w:val="009506AB"/>
    <w:rsid w:val="00A63F7D"/>
    <w:rsid w:val="00A964A6"/>
    <w:rsid w:val="00BC1BBC"/>
    <w:rsid w:val="00C110A8"/>
    <w:rsid w:val="00C94AEF"/>
    <w:rsid w:val="00CC4B4F"/>
    <w:rsid w:val="00D82152"/>
    <w:rsid w:val="00D85792"/>
    <w:rsid w:val="00D9348E"/>
    <w:rsid w:val="00E06D76"/>
    <w:rsid w:val="00E16047"/>
    <w:rsid w:val="00EF4798"/>
    <w:rsid w:val="00EF780A"/>
    <w:rsid w:val="00F27A45"/>
    <w:rsid w:val="00F46A24"/>
    <w:rsid w:val="00F5410F"/>
    <w:rsid w:val="02F80DB8"/>
    <w:rsid w:val="102F02C5"/>
    <w:rsid w:val="15501B7C"/>
    <w:rsid w:val="15C35316"/>
    <w:rsid w:val="38951E3F"/>
    <w:rsid w:val="53FC1D9D"/>
    <w:rsid w:val="64B94141"/>
    <w:rsid w:val="71E0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3"/>
    <w:next w:val="1"/>
    <w:unhideWhenUsed/>
    <w:qFormat/>
    <w:uiPriority w:val="0"/>
    <w:pPr>
      <w:keepNext/>
      <w:keepLines/>
      <w:numPr>
        <w:ilvl w:val="2"/>
        <w:numId w:val="1"/>
      </w:numPr>
      <w:spacing w:before="60" w:after="60" w:line="360" w:lineRule="auto"/>
      <w:outlineLvl w:val="2"/>
    </w:pPr>
    <w:rPr>
      <w:rFonts w:asciiTheme="minorHAnsi" w:hAnsiTheme="minorHAnsi" w:eastAsiaTheme="minorEastAsia" w:cstheme="minorBidi"/>
      <w:b/>
      <w:bCs/>
      <w:kern w:val="2"/>
      <w:sz w:val="30"/>
      <w:szCs w:val="3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List Bullet"/>
    <w:basedOn w:val="1"/>
    <w:uiPriority w:val="0"/>
    <w:pPr>
      <w:numPr>
        <w:ilvl w:val="0"/>
        <w:numId w:val="2"/>
      </w:numPr>
    </w:pPr>
  </w:style>
  <w:style w:type="paragraph" w:styleId="4">
    <w:name w:val="List Bullet 3"/>
    <w:basedOn w:val="1"/>
    <w:qFormat/>
    <w:uiPriority w:val="0"/>
    <w:pPr>
      <w:numPr>
        <w:ilvl w:val="0"/>
        <w:numId w:val="3"/>
      </w:numPr>
    </w:pPr>
  </w:style>
  <w:style w:type="paragraph" w:styleId="5">
    <w:name w:val="List Bullet 2"/>
    <w:basedOn w:val="1"/>
    <w:qFormat/>
    <w:uiPriority w:val="0"/>
    <w:pPr>
      <w:numPr>
        <w:ilvl w:val="0"/>
        <w:numId w:val="4"/>
      </w:numPr>
    </w:pPr>
  </w:style>
  <w:style w:type="paragraph" w:styleId="6">
    <w:name w:val="Balloon Text"/>
    <w:basedOn w:val="1"/>
    <w:link w:val="14"/>
    <w:qFormat/>
    <w:uiPriority w:val="0"/>
    <w:rPr>
      <w:sz w:val="18"/>
      <w:szCs w:val="18"/>
    </w:rPr>
  </w:style>
  <w:style w:type="paragraph" w:styleId="7">
    <w:name w:val="footer"/>
    <w:basedOn w:val="1"/>
    <w:qFormat/>
    <w:uiPriority w:val="0"/>
    <w:pPr>
      <w:widowControl w:val="0"/>
      <w:tabs>
        <w:tab w:val="center" w:pos="4153"/>
        <w:tab w:val="right" w:pos="8306"/>
      </w:tabs>
      <w:snapToGrid w:val="0"/>
    </w:pPr>
    <w:rPr>
      <w:rFonts w:ascii="Calibri" w:hAnsi="Calibri"/>
      <w:kern w:val="2"/>
      <w:sz w:val="18"/>
      <w:szCs w:val="20"/>
    </w:rPr>
  </w:style>
  <w:style w:type="paragraph" w:styleId="8">
    <w:name w:val="header"/>
    <w:basedOn w:val="1"/>
    <w:qFormat/>
    <w:uiPriority w:val="0"/>
    <w:pPr>
      <w:widowControl w:val="0"/>
      <w:pBdr>
        <w:bottom w:val="single" w:color="auto" w:sz="6" w:space="1"/>
      </w:pBdr>
      <w:tabs>
        <w:tab w:val="center" w:pos="4153"/>
        <w:tab w:val="right" w:pos="8306"/>
      </w:tabs>
      <w:snapToGrid w:val="0"/>
      <w:jc w:val="center"/>
    </w:pPr>
    <w:rPr>
      <w:kern w:val="2"/>
      <w:sz w:val="18"/>
      <w:szCs w:val="20"/>
    </w:rPr>
  </w:style>
  <w:style w:type="character" w:styleId="11">
    <w:name w:val="page number"/>
    <w:qFormat/>
    <w:uiPriority w:val="0"/>
    <w:rPr>
      <w:rFonts w:cs="Times New Roman"/>
    </w:rPr>
  </w:style>
  <w:style w:type="paragraph" w:customStyle="1" w:styleId="12">
    <w:name w:val="样式 首行缩进:  2 字符3"/>
    <w:basedOn w:val="1"/>
    <w:qFormat/>
    <w:uiPriority w:val="0"/>
    <w:rPr>
      <w:rFonts w:cs="宋体"/>
      <w:szCs w:val="20"/>
    </w:rPr>
  </w:style>
  <w:style w:type="paragraph" w:customStyle="1" w:styleId="13">
    <w:name w:val="表格文字"/>
    <w:basedOn w:val="1"/>
    <w:qFormat/>
    <w:uiPriority w:val="0"/>
    <w:pPr>
      <w:widowControl w:val="0"/>
    </w:pPr>
  </w:style>
  <w:style w:type="character" w:customStyle="1" w:styleId="14">
    <w:name w:val="批注框文本 Char"/>
    <w:basedOn w:val="10"/>
    <w:link w:val="6"/>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2860</Words>
  <Characters>16305</Characters>
  <Lines>135</Lines>
  <Paragraphs>38</Paragraphs>
  <TotalTime>42</TotalTime>
  <ScaleCrop>false</ScaleCrop>
  <LinksUpToDate>false</LinksUpToDate>
  <CharactersWithSpaces>19127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2018-11-28T09:32:00Z</dcterms:created>
  <dc:creator>HaiLong</dc:creator>
  <cp:lastModifiedBy>wei_yd</cp:lastModifiedBy>
  <cp:lastPrinted>2017-06-26T01:39:00Z</cp:lastPrinted>
  <dcterms:modified xsi:type="dcterms:W3CDTF">2020-03-16T10:30:36Z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