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服务与管理平台跟进问题汇总表</w:t>
      </w:r>
    </w:p>
    <w:tbl>
      <w:tblPr>
        <w:tblStyle w:val="10"/>
        <w:tblW w:w="8290" w:type="dxa"/>
        <w:tblInd w:w="0" w:type="dxa"/>
        <w:tblBorders>
          <w:top w:val="single" w:color="000080" w:sz="6" w:space="0"/>
          <w:left w:val="single" w:color="000080" w:sz="6" w:space="0"/>
          <w:bottom w:val="single" w:color="000080" w:sz="6" w:space="0"/>
          <w:right w:val="single" w:color="000080" w:sz="6" w:space="0"/>
          <w:insideH w:val="single" w:color="000080" w:sz="6" w:space="0"/>
          <w:insideV w:val="single" w:color="00008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3995"/>
        <w:gridCol w:w="2694"/>
        <w:gridCol w:w="10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l2br w:val="nil"/>
              <w:tr2bl w:val="nil"/>
            </w:tcBorders>
            <w:shd w:val="solid" w:color="000080" w:fill="FFFFFF"/>
          </w:tcPr>
          <w:p>
            <w:pPr>
              <w:rPr>
                <w:rFonts w:hint="eastAsia" w:ascii="Calibri" w:hAnsi="Calibri"/>
                <w:b/>
                <w:bCs/>
                <w:color w:val="FFFFFF"/>
                <w:sz w:val="18"/>
              </w:rPr>
            </w:pPr>
            <w:r>
              <w:rPr>
                <w:rFonts w:hint="eastAsia" w:ascii="Calibri" w:hAnsi="Calibri"/>
                <w:b/>
                <w:bCs/>
                <w:color w:val="FFFFFF"/>
                <w:sz w:val="18"/>
              </w:rPr>
              <w:t>N</w:t>
            </w:r>
            <w:r>
              <w:rPr>
                <w:rFonts w:ascii="Calibri" w:hAnsi="Calibri"/>
                <w:b/>
                <w:bCs/>
                <w:color w:val="FFFFFF"/>
                <w:sz w:val="18"/>
              </w:rPr>
              <w:t>o</w:t>
            </w:r>
            <w:r>
              <w:rPr>
                <w:rFonts w:hint="eastAsia" w:ascii="Calibri" w:hAnsi="Calibri"/>
                <w:b/>
                <w:bCs/>
                <w:color w:val="FFFFFF"/>
                <w:sz w:val="18"/>
              </w:rPr>
              <w:t>.</w:t>
            </w:r>
          </w:p>
        </w:tc>
        <w:tc>
          <w:tcPr>
            <w:tcW w:w="3995" w:type="dxa"/>
            <w:tcBorders>
              <w:tl2br w:val="nil"/>
              <w:tr2bl w:val="nil"/>
            </w:tcBorders>
            <w:shd w:val="solid" w:color="000080" w:fill="FFFFFF"/>
          </w:tcPr>
          <w:p>
            <w:pPr>
              <w:rPr>
                <w:rFonts w:hint="eastAsia" w:ascii="Calibri" w:hAnsi="Calibri"/>
                <w:b/>
                <w:bCs/>
                <w:color w:val="FFFFFF"/>
                <w:sz w:val="18"/>
              </w:rPr>
            </w:pPr>
            <w:r>
              <w:rPr>
                <w:rFonts w:hint="eastAsia" w:ascii="Calibri" w:hAnsi="Calibri"/>
                <w:b/>
                <w:bCs/>
                <w:color w:val="FFFFFF"/>
                <w:sz w:val="18"/>
              </w:rPr>
              <w:t>问题简述</w:t>
            </w:r>
          </w:p>
        </w:tc>
        <w:tc>
          <w:tcPr>
            <w:tcW w:w="2694" w:type="dxa"/>
            <w:tcBorders>
              <w:tl2br w:val="nil"/>
              <w:tr2bl w:val="nil"/>
            </w:tcBorders>
            <w:shd w:val="solid" w:color="000080" w:fill="FFFFFF"/>
          </w:tcPr>
          <w:p>
            <w:pPr>
              <w:rPr>
                <w:rFonts w:hint="eastAsia" w:ascii="Calibri" w:hAnsi="Calibri"/>
                <w:b/>
                <w:bCs/>
                <w:color w:val="FFFFFF"/>
                <w:sz w:val="18"/>
              </w:rPr>
            </w:pPr>
            <w:r>
              <w:rPr>
                <w:rFonts w:hint="eastAsia" w:ascii="Calibri" w:hAnsi="Calibri"/>
                <w:b/>
                <w:bCs/>
                <w:color w:val="FFFFFF"/>
                <w:sz w:val="18"/>
              </w:rPr>
              <w:t>内部评估意见</w:t>
            </w:r>
          </w:p>
        </w:tc>
        <w:tc>
          <w:tcPr>
            <w:tcW w:w="1068" w:type="dxa"/>
            <w:tcBorders>
              <w:tl2br w:val="nil"/>
              <w:tr2bl w:val="nil"/>
            </w:tcBorders>
            <w:shd w:val="solid" w:color="000080" w:fill="FFFFFF"/>
          </w:tcPr>
          <w:p>
            <w:pPr>
              <w:rPr>
                <w:rFonts w:hint="eastAsia" w:ascii="Calibri" w:hAnsi="Calibri"/>
                <w:b/>
                <w:bCs/>
                <w:color w:val="FFFFFF"/>
                <w:sz w:val="18"/>
              </w:rPr>
            </w:pPr>
            <w:r>
              <w:rPr>
                <w:rFonts w:hint="eastAsia" w:ascii="Calibri" w:hAnsi="Calibri"/>
                <w:b/>
                <w:bCs/>
                <w:color w:val="FFFFFF"/>
                <w:sz w:val="18"/>
              </w:rPr>
              <w:t>甲方反馈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需求在所有工单确认关闭这一环节增加确认清单。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需求变更，待开发</w:t>
            </w:r>
            <w:bookmarkStart w:id="0" w:name="_GoBack"/>
            <w:bookmarkEnd w:id="0"/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2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工单审批记录支持导出打印，导出模板按目前坪山区里各业务电子表单格式。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已开发完成，并部署生产环境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3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</w:rPr>
              <w:t>服务目录流程需支持临时增加审核人，临时审核人可由一级审核人指定。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涉及重大需求变更</w:t>
            </w:r>
            <w:r>
              <w:rPr>
                <w:rFonts w:hint="default" w:ascii="Calibri" w:hAnsi="Calibri"/>
                <w:sz w:val="18"/>
                <w:lang w:val="en-US" w:eastAsia="zh-CN"/>
              </w:rPr>
              <w:t>(</w:t>
            </w:r>
            <w:r>
              <w:rPr>
                <w:rFonts w:hint="eastAsia" w:ascii="Calibri" w:hAnsi="Calibri"/>
                <w:sz w:val="18"/>
                <w:lang w:val="en-US" w:eastAsia="zh-CN"/>
              </w:rPr>
              <w:t>不支持</w:t>
            </w:r>
            <w:r>
              <w:rPr>
                <w:rFonts w:hint="default" w:ascii="Calibri" w:hAnsi="Calibri"/>
                <w:sz w:val="18"/>
                <w:lang w:val="en-US" w:eastAsia="zh-CN"/>
              </w:rPr>
              <w:t>)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4</w:t>
            </w:r>
          </w:p>
        </w:tc>
        <w:tc>
          <w:tcPr>
            <w:tcW w:w="3995" w:type="dxa"/>
            <w:shd w:val="clear" w:color="auto" w:fill="auto"/>
          </w:tcPr>
          <w:p>
            <w:pPr>
              <w:pStyle w:val="6"/>
              <w:widowControl/>
              <w:shd w:val="clear" w:color="auto" w:fill="FFFFFF"/>
              <w:spacing w:beforeAutospacing="0" w:afterAutospacing="0" w:line="300" w:lineRule="atLeast"/>
              <w:outlineLvl w:val="1"/>
              <w:rPr>
                <w:rFonts w:hint="eastAsia" w:ascii="Calibri" w:hAnsi="Calibri"/>
                <w:sz w:val="18"/>
              </w:rPr>
            </w:pPr>
            <w:r>
              <w:rPr>
                <w:rFonts w:hint="eastAsia" w:ascii="Arial" w:hAnsi="Arial" w:cs="Arial"/>
                <w:color w:val="000000"/>
                <w:sz w:val="21"/>
                <w:szCs w:val="21"/>
                <w:shd w:val="clear" w:color="auto" w:fill="FFFFFF"/>
              </w:rPr>
              <w:t>目前事件工单可以流转到问题工单作为问题提交审批，现在用户需要从事件工单直接转到知识库作为知识经验总结积累。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系统满足此功能！在事件处理环节右侧“相关流程”里的知识归纳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5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Cs w:val="21"/>
                <w:shd w:val="clear" w:color="auto" w:fill="FFFFFF"/>
              </w:rPr>
              <w:t>（刘局提出）知识库要选择相关项后才知道有没有单，需要在对应的目录后面备注上知识库数量。选择知识类别需要显示所有知识库内容。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 xml:space="preserve"> 需求变更，待开发</w:t>
            </w:r>
          </w:p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补充疑问：在新增知识时，选择相关项也要展示数量吗？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6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（刘局提出）知识库功能使用异常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涉及重大需求变更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7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（印华提出）知识库提单流程需要优化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需求变更，待开发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8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kern w:val="0"/>
                <w:szCs w:val="21"/>
                <w:shd w:val="clear" w:color="auto" w:fill="FFFFFF"/>
              </w:rPr>
              <w:t>运维看板更新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系统满足此功能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9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（卓部提出）审批工单点击查看进去后，可以直接在里面点击处理，而不用再退出来点击处理。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需求涉及对流程的统一管理和权限问题，重大需求变更（不支持）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10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（卓部提出）资产对应目录后面需要有统计数量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需求变更，待开发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11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（林工提出）现在点服务管理，就跳出这个界面，而这个界面只能显示事件工单，逻辑有问题，改成显示所有类型的工单。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2020年前已开发完成，并部署生产环境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12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kern w:val="0"/>
                <w:szCs w:val="21"/>
                <w:shd w:val="clear" w:color="auto" w:fill="FFFFFF"/>
              </w:rPr>
              <w:t>个人工作台面板，显示都是0；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加载速度问题，待优化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13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个人工作台，鼠标指向系统主页，变成可点击连接状态，实际无效。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可调整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14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（林工提出）运维类统计模块导出都是PDF格式，导出后的PDF格式排版极不美观，导致此报表无法利用或让领导查阅。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可调整，建议pdf导出数据较多的可展示部分数据。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15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这两个统计功能数据对应不上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系统功能已修复，并部署生产环境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16</w:t>
            </w:r>
          </w:p>
        </w:tc>
        <w:tc>
          <w:tcPr>
            <w:tcW w:w="3995" w:type="dxa"/>
            <w:shd w:val="clear" w:color="auto" w:fill="auto"/>
          </w:tcPr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  <w:t>（事件、变更、问题等）所有类型的工单操作需要前移到编号左侧。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已调整完成，并部署生产环境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  <w:r>
              <w:rPr>
                <w:rFonts w:hint="eastAsia" w:ascii="Calibri" w:hAnsi="Calibri"/>
                <w:sz w:val="18"/>
              </w:rPr>
              <w:t>17</w:t>
            </w:r>
          </w:p>
        </w:tc>
        <w:tc>
          <w:tcPr>
            <w:tcW w:w="3995" w:type="dxa"/>
            <w:shd w:val="clear" w:color="auto" w:fill="auto"/>
          </w:tcPr>
          <w:p>
            <w:pPr>
              <w:pStyle w:val="6"/>
              <w:widowControl/>
              <w:shd w:val="clear" w:color="auto" w:fill="FFFFFF"/>
              <w:spacing w:beforeAutospacing="0" w:afterAutospacing="0" w:line="300" w:lineRule="atLeast"/>
              <w:outlineLvl w:val="1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00000"/>
                <w:sz w:val="21"/>
                <w:szCs w:val="21"/>
                <w:shd w:val="clear" w:color="auto" w:fill="FFFFFF"/>
              </w:rPr>
              <w:t>事件来源分布数量不成比例，请更换其他效果图展示！</w:t>
            </w:r>
          </w:p>
          <w:p>
            <w:pPr>
              <w:rPr>
                <w:rFonts w:hint="eastAsia" w:ascii="Arial" w:hAnsi="Arial" w:cs="Arial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Calibri" w:hAnsi="Calibri"/>
              </w:rPr>
              <w:t>运维看板人员活动矩阵改为“运维人员工单处理情况”</w:t>
            </w:r>
          </w:p>
        </w:tc>
        <w:tc>
          <w:tcPr>
            <w:tcW w:w="2694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  <w:lang w:eastAsia="zh-CN"/>
              </w:rPr>
            </w:pPr>
            <w:r>
              <w:rPr>
                <w:rFonts w:hint="eastAsia" w:ascii="Calibri" w:hAnsi="Calibri"/>
                <w:sz w:val="18"/>
                <w:lang w:eastAsia="zh-CN"/>
              </w:rPr>
              <w:t>待调整</w:t>
            </w:r>
          </w:p>
        </w:tc>
        <w:tc>
          <w:tcPr>
            <w:tcW w:w="1068" w:type="dxa"/>
            <w:shd w:val="clear" w:color="auto" w:fill="auto"/>
          </w:tcPr>
          <w:p>
            <w:pPr>
              <w:rPr>
                <w:rFonts w:hint="eastAsia" w:ascii="Calibri" w:hAnsi="Calibri"/>
                <w:sz w:val="18"/>
              </w:rPr>
            </w:pPr>
          </w:p>
        </w:tc>
      </w:tr>
    </w:tbl>
    <w:p>
      <w:pPr/>
    </w:p>
    <w:p>
      <w:pPr>
        <w:pStyle w:val="2"/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/>
        </w:rPr>
        <w:t>问题详细描述</w:t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（刘局提出）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需求在所有工单确认关闭这一环节增加确认清单。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b/>
          <w:sz w:val="21"/>
          <w:szCs w:val="21"/>
          <w:shd w:val="clear" w:color="auto" w:fill="FFFFFF"/>
        </w:rPr>
        <w:t>殷伟：</w:t>
      </w:r>
      <w:r>
        <w:rPr>
          <w:rFonts w:hint="eastAsia" w:ascii="Arial" w:hAnsi="Arial" w:cs="Arial"/>
          <w:b/>
          <w:color w:val="FF0000"/>
          <w:sz w:val="21"/>
          <w:szCs w:val="21"/>
          <w:shd w:val="clear" w:color="auto" w:fill="FFFFFF"/>
        </w:rPr>
        <w:t>【暂不修改】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确认清单内容与运维组沟通如下，</w:t>
      </w:r>
      <w:r>
        <w:rPr>
          <w:rFonts w:ascii="Arial" w:hAnsi="Arial" w:cs="Arial"/>
          <w:color w:val="FF0000"/>
          <w:sz w:val="21"/>
          <w:szCs w:val="21"/>
          <w:shd w:val="clear" w:color="auto" w:fill="FFFFFF"/>
        </w:rPr>
        <w:t>替代掉目前的“确认结果”【符合，驳回】，“完成状态”【全部完成，部分完成】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1.安运平台资产更新              完成口   未完成口   不涉及口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2.3D机柜图更新                    完成口   未完成口   不涉及口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3.监控纳管（或取消）           完成口   未完成口   不涉及口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4.网络拓扑更新                     完成口   未完成口   不涉及口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5.设备、线缆标签规范粘贴    完成口   未完成口   不涉及口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F0"/>
          <w:sz w:val="21"/>
          <w:szCs w:val="21"/>
          <w:shd w:val="clear" w:color="auto" w:fill="FFFFFF"/>
        </w:rPr>
        <w:t>若上述有其中一项勾选未完成，就等同于驳回；请让研发尽快评估修改方案和时间，谢谢！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5213350" cy="4023360"/>
            <wp:effectExtent l="0" t="0" r="6350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Cs w:val="21"/>
          <w:shd w:val="clear" w:color="auto" w:fill="FFFFFF"/>
        </w:rPr>
      </w:pPr>
      <w:r>
        <w:rPr>
          <w:rFonts w:ascii="Arial" w:hAnsi="Arial" w:cs="Arial"/>
          <w:color w:val="000000"/>
          <w:szCs w:val="21"/>
          <w:shd w:val="clear" w:color="auto" w:fill="FFFFFF"/>
        </w:rPr>
        <w:br w:type="page"/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工单审批记录支持导出打印，导出模板按目前坪山区里各业务电子表单格式。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b/>
          <w:color w:val="92D05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b/>
          <w:sz w:val="21"/>
          <w:szCs w:val="21"/>
          <w:shd w:val="clear" w:color="auto" w:fill="FFFFFF"/>
        </w:rPr>
        <w:t>殷伟：</w:t>
      </w:r>
      <w:r>
        <w:rPr>
          <w:rFonts w:hint="eastAsia" w:ascii="Arial" w:hAnsi="Arial" w:cs="Arial"/>
          <w:b/>
          <w:color w:val="92D050"/>
          <w:sz w:val="21"/>
          <w:szCs w:val="21"/>
          <w:shd w:val="clear" w:color="auto" w:fill="FFFFFF"/>
        </w:rPr>
        <w:t>【模板已确认，开发中】</w:t>
      </w:r>
    </w:p>
    <w:p>
      <w:pPr>
        <w:pStyle w:val="6"/>
        <w:widowControl/>
        <w:shd w:val="clear" w:color="auto" w:fill="FFFFFF"/>
        <w:spacing w:beforeAutospacing="0" w:afterAutospacing="0" w:line="300" w:lineRule="atLeast"/>
        <w:rPr>
          <w:rFonts w:ascii="Arial" w:hAnsi="Arial" w:cs="Arial"/>
          <w:b/>
          <w:color w:val="92D050"/>
          <w:sz w:val="21"/>
          <w:szCs w:val="21"/>
          <w:shd w:val="clear" w:color="auto" w:fill="FFFFFF"/>
        </w:rPr>
      </w:pPr>
    </w:p>
    <w:p>
      <w:pPr/>
      <w:r>
        <w:drawing>
          <wp:inline distT="0" distB="0" distL="114300" distR="114300">
            <wp:extent cx="5260975" cy="2920365"/>
            <wp:effectExtent l="0" t="0" r="1587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205" b="2227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服务目录流程需支持临时增加审核人，临时审核人可由一级审核人指定。</w:t>
      </w:r>
    </w:p>
    <w:p>
      <w:pPr>
        <w:rPr>
          <w:b/>
          <w:color w:val="FF0000"/>
        </w:rPr>
      </w:pPr>
      <w:r>
        <w:rPr>
          <w:rFonts w:hint="eastAsia" w:ascii="Arial" w:hAnsi="Arial" w:cs="Arial"/>
          <w:b/>
          <w:szCs w:val="21"/>
          <w:shd w:val="clear" w:color="auto" w:fill="FFFFFF"/>
        </w:rPr>
        <w:t>殷伟：</w:t>
      </w:r>
      <w:r>
        <w:rPr>
          <w:rFonts w:hint="eastAsia"/>
          <w:b/>
          <w:color w:val="FF0000"/>
        </w:rPr>
        <w:t>【不符合ITIL规范，不修改。】</w:t>
      </w:r>
    </w:p>
    <w:p>
      <w:pPr>
        <w:rPr>
          <w:b/>
          <w:color w:val="FF0000"/>
        </w:rPr>
      </w:pPr>
    </w:p>
    <w:p>
      <w:pPr/>
      <w:r>
        <w:rPr>
          <w:rFonts w:hint="eastAsia"/>
        </w:rPr>
        <w:t>问题背景：</w:t>
      </w:r>
    </w:p>
    <w:p>
      <w:pPr/>
      <w:r>
        <w:rPr>
          <w:rFonts w:hint="eastAsia"/>
        </w:rPr>
        <w:t>目前甲方机房作业申请分为涉及资产和不涉及资产两大类，目前流程如下：</w:t>
      </w:r>
    </w:p>
    <w:tbl>
      <w:tblPr>
        <w:tblStyle w:val="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"/>
        <w:gridCol w:w="1199"/>
        <w:gridCol w:w="891"/>
        <w:gridCol w:w="700"/>
        <w:gridCol w:w="739"/>
        <w:gridCol w:w="692"/>
        <w:gridCol w:w="685"/>
        <w:gridCol w:w="675"/>
        <w:gridCol w:w="709"/>
        <w:gridCol w:w="1097"/>
        <w:gridCol w:w="68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385623"/>
                <w:kern w:val="0"/>
                <w:sz w:val="18"/>
                <w:szCs w:val="18"/>
              </w:rPr>
              <w:t>服务子类</w:t>
            </w:r>
          </w:p>
        </w:tc>
        <w:tc>
          <w:tcPr>
            <w:tcW w:w="8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33" w:firstLineChars="18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一级审核</w:t>
            </w:r>
          </w:p>
        </w:tc>
        <w:tc>
          <w:tcPr>
            <w:tcW w:w="7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ind w:firstLine="33" w:firstLineChars="18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二级审核</w:t>
            </w:r>
          </w:p>
        </w:tc>
        <w:tc>
          <w:tcPr>
            <w:tcW w:w="7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三级审核</w:t>
            </w:r>
          </w:p>
        </w:tc>
        <w:tc>
          <w:tcPr>
            <w:tcW w:w="6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四级审核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五级审核</w:t>
            </w:r>
          </w:p>
        </w:tc>
        <w:tc>
          <w:tcPr>
            <w:tcW w:w="6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六级审核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七级审核</w:t>
            </w: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变更实施人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关单人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机房服务</w:t>
            </w:r>
          </w:p>
        </w:tc>
        <w:tc>
          <w:tcPr>
            <w:tcW w:w="11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机房作业（涉及资产）</w:t>
            </w:r>
          </w:p>
        </w:tc>
        <w:tc>
          <w:tcPr>
            <w:tcW w:w="8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杨涛</w:t>
            </w:r>
          </w:p>
        </w:tc>
        <w:tc>
          <w:tcPr>
            <w:tcW w:w="7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  <w:tc>
          <w:tcPr>
            <w:tcW w:w="7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郑育滨/刘效能</w:t>
            </w:r>
          </w:p>
        </w:tc>
        <w:tc>
          <w:tcPr>
            <w:tcW w:w="6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黎文辉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廖宏福</w:t>
            </w:r>
          </w:p>
        </w:tc>
        <w:tc>
          <w:tcPr>
            <w:tcW w:w="6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卓声东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刘洋</w:t>
            </w: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由一级审核人指派实施人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机房作业（不涉及资产）</w:t>
            </w:r>
          </w:p>
        </w:tc>
        <w:tc>
          <w:tcPr>
            <w:tcW w:w="8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杨涛</w:t>
            </w:r>
          </w:p>
        </w:tc>
        <w:tc>
          <w:tcPr>
            <w:tcW w:w="7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  <w:tc>
          <w:tcPr>
            <w:tcW w:w="7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郑育滨/刘效能</w:t>
            </w:r>
          </w:p>
        </w:tc>
        <w:tc>
          <w:tcPr>
            <w:tcW w:w="6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黎文辉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卓声东</w:t>
            </w:r>
          </w:p>
        </w:tc>
        <w:tc>
          <w:tcPr>
            <w:tcW w:w="6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刘洋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由一级审核人指派实施人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highlight w:val="gree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highlight w:val="green"/>
              </w:rPr>
              <w:t>机房作业（不涉及资产，涉及平台）</w:t>
            </w:r>
          </w:p>
        </w:tc>
        <w:tc>
          <w:tcPr>
            <w:tcW w:w="8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杨涛</w:t>
            </w:r>
          </w:p>
        </w:tc>
        <w:tc>
          <w:tcPr>
            <w:tcW w:w="7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  <w:tc>
          <w:tcPr>
            <w:tcW w:w="7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郑育滨/刘效能</w:t>
            </w:r>
          </w:p>
        </w:tc>
        <w:tc>
          <w:tcPr>
            <w:tcW w:w="6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廖宏福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黎文辉</w:t>
            </w:r>
          </w:p>
        </w:tc>
        <w:tc>
          <w:tcPr>
            <w:tcW w:w="6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卓声东</w:t>
            </w:r>
          </w:p>
        </w:tc>
        <w:tc>
          <w:tcPr>
            <w:tcW w:w="7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刘洋</w:t>
            </w: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由一级审核人指派实施人</w:t>
            </w:r>
          </w:p>
        </w:tc>
        <w:tc>
          <w:tcPr>
            <w:tcW w:w="6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印华</w:t>
            </w:r>
          </w:p>
        </w:tc>
      </w:tr>
    </w:tbl>
    <w:p>
      <w:pPr/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若机房作业涉及资产，需要增加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廖宏福审核；若</w:t>
      </w:r>
      <w:r>
        <w:rPr>
          <w:rFonts w:hint="eastAsia" w:ascii="微软雅黑" w:hAnsi="微软雅黑" w:eastAsia="微软雅黑" w:cs="微软雅黑"/>
          <w:sz w:val="18"/>
          <w:szCs w:val="18"/>
        </w:rPr>
        <w:t>机房作业不涉及资源，但涉及平台，也需要增加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廖宏福审核，故对于申请用户来讲，他们申请业务首先判断是否涉及资源，若不涉及资产，还要判断是否涉及平台，这将影响用户对平台的体检感。</w:t>
      </w:r>
    </w:p>
    <w:p>
      <w:pPr>
        <w:widowControl/>
        <w:jc w:val="left"/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  <w:br w:type="page"/>
      </w:r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目前事件工单可以流转到问题工单作为问题提交审批，现在用户需要从事件工单直接转到知识库作为知识经验总结积累。</w:t>
      </w:r>
    </w:p>
    <w:p>
      <w:pPr>
        <w:rPr>
          <w:rFonts w:ascii="微软雅黑" w:hAnsi="微软雅黑" w:eastAsia="微软雅黑" w:cs="微软雅黑"/>
          <w:color w:val="92D050"/>
          <w:kern w:val="0"/>
          <w:sz w:val="18"/>
          <w:szCs w:val="18"/>
        </w:rPr>
      </w:pPr>
      <w:r>
        <w:rPr>
          <w:rFonts w:hint="eastAsia" w:ascii="Arial" w:hAnsi="Arial" w:cs="Arial"/>
          <w:b/>
          <w:szCs w:val="21"/>
          <w:shd w:val="clear" w:color="auto" w:fill="FFFFFF"/>
        </w:rPr>
        <w:t>殷伟：</w:t>
      </w:r>
      <w:r>
        <w:rPr>
          <w:rFonts w:hint="eastAsia" w:ascii="Arial" w:hAnsi="Arial" w:cs="Arial"/>
          <w:b/>
          <w:color w:val="92D050"/>
          <w:szCs w:val="21"/>
          <w:shd w:val="clear" w:color="auto" w:fill="FFFFFF"/>
        </w:rPr>
        <w:t>【事件处理环节可以转知识库。系统功能满足要求。】</w:t>
      </w:r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（刘局提出）知识库要选择相关项后才知道有没有单，需要在对应的目录后面备注上知识库数量。选择知识类别需要显示所有知识库内容。</w:t>
      </w:r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Arial" w:hAnsi="Arial" w:cs="Arial"/>
          <w:b/>
          <w:szCs w:val="21"/>
          <w:shd w:val="clear" w:color="auto" w:fill="FFFFFF"/>
        </w:rPr>
        <w:t>殷伟：</w:t>
      </w:r>
      <w:r>
        <w:rPr>
          <w:rFonts w:hint="eastAsia" w:ascii="Arial" w:hAnsi="Arial" w:cs="Arial"/>
          <w:b/>
          <w:color w:val="FF0000"/>
          <w:szCs w:val="21"/>
          <w:shd w:val="clear" w:color="auto" w:fill="FFFFFF"/>
        </w:rPr>
        <w:t>【暂不修改】</w:t>
      </w:r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</w:p>
    <w:p>
      <w:pPr/>
      <w:r>
        <w:drawing>
          <wp:inline distT="0" distB="0" distL="114300" distR="114300">
            <wp:extent cx="5268595" cy="2221865"/>
            <wp:effectExtent l="0" t="0" r="825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8595" cy="2438400"/>
            <wp:effectExtent l="0" t="0" r="825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（刘局提出）知识库功能使用异常</w:t>
      </w:r>
    </w:p>
    <w:p>
      <w:pPr/>
      <w:r>
        <w:rPr>
          <w:rFonts w:hint="eastAsia"/>
        </w:rPr>
        <w:t>1）要求增加重大事件类，重大事件类内容是从业务类和技术类的知识点提取过来，就是在业务类和技术类评审过程，需要增加是否为重大事件选项，若勾选重大事件，则能在重大事件类下面可见。</w:t>
      </w:r>
    </w:p>
    <w:p>
      <w:pPr>
        <w:jc w:val="left"/>
      </w:pPr>
      <w:r>
        <w:rPr>
          <w:rFonts w:hint="eastAsia"/>
        </w:rPr>
        <w:t>2）查询功能无法针对知识库全局进行搜索，目前只能搜索当前选择目录下内容，不方便用户快速查找知识库相关内容。</w:t>
      </w:r>
      <w:r>
        <w:drawing>
          <wp:inline distT="0" distB="0" distL="114300" distR="114300">
            <wp:extent cx="5267325" cy="1864360"/>
            <wp:effectExtent l="0" t="0" r="952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（印华提出）知识库提单流程需要优化</w:t>
      </w:r>
    </w:p>
    <w:p>
      <w:pPr/>
      <w:r>
        <w:rPr>
          <w:rFonts w:hint="eastAsia"/>
        </w:rPr>
        <w:t>1）知识库申报界面标题修改和增加备注</w:t>
      </w:r>
    </w:p>
    <w:p>
      <w:pPr/>
      <w:r>
        <w:drawing>
          <wp:inline distT="0" distB="0" distL="114300" distR="114300">
            <wp:extent cx="4750435" cy="2875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lightGray"/>
        </w:rPr>
      </w:pPr>
      <w:r>
        <w:rPr>
          <w:rFonts w:hint="eastAsia"/>
          <w:highlight w:val="lightGray"/>
        </w:rPr>
        <w:t>灰色备注字体：显示参照知识标题</w:t>
      </w:r>
    </w:p>
    <w:p>
      <w:pPr/>
      <w:r>
        <w:rPr>
          <w:rFonts w:hint="eastAsia"/>
        </w:rPr>
        <w:t>（1）故障类： 包括事件影响范围、事件处理过程、事件原因、改进措施。（重大事件须附故障报告）</w:t>
      </w:r>
    </w:p>
    <w:p>
      <w:pPr/>
      <w:r>
        <w:rPr>
          <w:rFonts w:hint="eastAsia"/>
        </w:rPr>
        <w:t>（2）割接、扩容类：包括作业范围、作业预期、作业过程、应急措施以及作业效果。 (附详细割接方案)</w:t>
      </w:r>
    </w:p>
    <w:p>
      <w:pPr>
        <w:numPr>
          <w:ilvl w:val="0"/>
          <w:numId w:val="2"/>
        </w:numPr>
      </w:pPr>
      <w:r>
        <w:rPr>
          <w:rFonts w:hint="eastAsia"/>
        </w:rPr>
        <w:t>演练类：包括演练背景、演练发现的问题以及演练总结 。（附演练方案、演练总结报告等相关材料）</w:t>
      </w:r>
    </w:p>
    <w:p>
      <w:pPr>
        <w:numPr>
          <w:ilvl w:val="0"/>
          <w:numId w:val="2"/>
        </w:numPr>
      </w:pPr>
      <w:r>
        <w:rPr>
          <w:rFonts w:hint="eastAsia"/>
        </w:rPr>
        <w:t>其他类：详细说明录入知识库原因、解决的问题以及经验总结。</w:t>
      </w:r>
    </w:p>
    <w:p>
      <w:pPr/>
    </w:p>
    <w:p>
      <w:pPr/>
      <w:r>
        <w:rPr>
          <w:rFonts w:hint="eastAsia"/>
        </w:rPr>
        <w:t>2）知识库审核需要增加审核关键点，</w:t>
      </w:r>
      <w:r>
        <w:rPr>
          <w:rFonts w:hint="eastAsia"/>
          <w:color w:val="FF0000"/>
        </w:rPr>
        <w:t>不能仅简单的通过和驳回选项</w:t>
      </w:r>
    </w:p>
    <w:p>
      <w:pPr>
        <w:numPr>
          <w:ilvl w:val="0"/>
          <w:numId w:val="3"/>
        </w:numPr>
      </w:pPr>
      <w:r>
        <w:rPr>
          <w:rFonts w:hint="eastAsia"/>
        </w:rPr>
        <w:t>知识库</w:t>
      </w:r>
      <w:r>
        <w:rPr>
          <w:rFonts w:hint="eastAsia"/>
          <w:color w:val="FF0000"/>
        </w:rPr>
        <w:t>一级</w:t>
      </w:r>
      <w:r>
        <w:rPr>
          <w:rFonts w:hint="eastAsia"/>
        </w:rPr>
        <w:t>审核:</w:t>
      </w:r>
    </w:p>
    <w:p>
      <w:pPr>
        <w:rPr>
          <w:color w:val="0070C0"/>
        </w:rPr>
      </w:pPr>
      <w:r>
        <w:rPr>
          <w:rFonts w:hint="eastAsia"/>
          <w:color w:val="0070C0"/>
        </w:rPr>
        <w:t xml:space="preserve">1.标题是否规范： </w:t>
      </w:r>
      <w:r>
        <w:rPr>
          <w:rFonts w:hint="eastAsia" w:ascii="宋体" w:hAnsi="宋体" w:cs="宋体"/>
          <w:color w:val="0070C0"/>
        </w:rPr>
        <w:t>□是   □否</w:t>
      </w:r>
    </w:p>
    <w:p>
      <w:pPr>
        <w:rPr>
          <w:color w:val="0070C0"/>
        </w:rPr>
      </w:pPr>
      <w:r>
        <w:rPr>
          <w:rFonts w:hint="eastAsia"/>
          <w:color w:val="0070C0"/>
        </w:rPr>
        <w:t xml:space="preserve">2.知识分类是否正确 ： </w:t>
      </w:r>
      <w:r>
        <w:rPr>
          <w:rFonts w:hint="eastAsia" w:ascii="宋体" w:hAnsi="宋体" w:cs="宋体"/>
          <w:color w:val="0070C0"/>
        </w:rPr>
        <w:t>□是   □否</w:t>
      </w:r>
    </w:p>
    <w:p>
      <w:pPr/>
      <w:r>
        <w:rPr>
          <w:rFonts w:hint="eastAsia"/>
          <w:color w:val="0070C0"/>
        </w:rPr>
        <w:t>3.内容描述是否完整：</w:t>
      </w:r>
      <w:r>
        <w:rPr>
          <w:rFonts w:hint="eastAsia" w:ascii="宋体" w:hAnsi="宋体" w:cs="宋体"/>
          <w:color w:val="0070C0"/>
        </w:rPr>
        <w:t>□是   □否</w:t>
      </w:r>
    </w:p>
    <w:p>
      <w:pPr>
        <w:numPr>
          <w:ilvl w:val="0"/>
          <w:numId w:val="4"/>
        </w:numPr>
      </w:pPr>
      <w:r>
        <w:rPr>
          <w:rFonts w:hint="eastAsia"/>
        </w:rPr>
        <w:t>知识库</w:t>
      </w:r>
      <w:r>
        <w:rPr>
          <w:rFonts w:hint="eastAsia"/>
          <w:color w:val="FF0000"/>
        </w:rPr>
        <w:t>二级</w:t>
      </w:r>
      <w:r>
        <w:rPr>
          <w:rFonts w:hint="eastAsia"/>
        </w:rPr>
        <w:t>审核：</w:t>
      </w:r>
    </w:p>
    <w:p>
      <w:pPr>
        <w:rPr>
          <w:color w:val="0070C0"/>
        </w:rPr>
      </w:pPr>
      <w:r>
        <w:rPr>
          <w:rFonts w:hint="eastAsia"/>
          <w:color w:val="0070C0"/>
        </w:rPr>
        <w:t xml:space="preserve">1.标题是否规范： </w:t>
      </w:r>
      <w:r>
        <w:rPr>
          <w:rFonts w:hint="eastAsia" w:ascii="宋体" w:hAnsi="宋体" w:cs="宋体"/>
          <w:color w:val="0070C0"/>
        </w:rPr>
        <w:t>□是   □否</w:t>
      </w:r>
    </w:p>
    <w:p>
      <w:pPr>
        <w:rPr>
          <w:color w:val="0070C0"/>
        </w:rPr>
      </w:pPr>
      <w:r>
        <w:rPr>
          <w:rFonts w:hint="eastAsia"/>
          <w:color w:val="0070C0"/>
        </w:rPr>
        <w:t xml:space="preserve">2.知识分类是否正确 ： </w:t>
      </w:r>
      <w:r>
        <w:rPr>
          <w:rFonts w:hint="eastAsia" w:ascii="宋体" w:hAnsi="宋体" w:cs="宋体"/>
          <w:color w:val="0070C0"/>
        </w:rPr>
        <w:t>□是   □否</w:t>
      </w:r>
    </w:p>
    <w:p>
      <w:pPr/>
      <w:r>
        <w:rPr>
          <w:rFonts w:hint="eastAsia"/>
          <w:color w:val="0070C0"/>
        </w:rPr>
        <w:t>3.内容描述是否完整：</w:t>
      </w:r>
      <w:r>
        <w:rPr>
          <w:rFonts w:hint="eastAsia" w:ascii="宋体" w:hAnsi="宋体" w:cs="宋体"/>
          <w:color w:val="0070C0"/>
        </w:rPr>
        <w:t>□是   □否</w:t>
      </w:r>
    </w:p>
    <w:p>
      <w:pPr/>
      <w:r>
        <w:drawing>
          <wp:inline distT="0" distB="0" distL="114300" distR="114300">
            <wp:extent cx="5262245" cy="2263775"/>
            <wp:effectExtent l="0" t="0" r="14605" b="317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运维看板更新</w:t>
      </w:r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Arial" w:hAnsi="Arial" w:cs="Arial"/>
          <w:b/>
          <w:szCs w:val="21"/>
          <w:shd w:val="clear" w:color="auto" w:fill="FFFFFF"/>
        </w:rPr>
        <w:t>殷伟：</w:t>
      </w:r>
      <w:r>
        <w:rPr>
          <w:rFonts w:hint="eastAsia" w:ascii="Arial" w:hAnsi="Arial" w:cs="Arial"/>
          <w:b/>
          <w:color w:val="92D050"/>
          <w:szCs w:val="21"/>
          <w:shd w:val="clear" w:color="auto" w:fill="FFFFFF"/>
        </w:rPr>
        <w:t>【已按甲方确认的需求进行了功能修改。】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界面有留空，不美观需要调整（已完成）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事件来源分布需要增加时间维度选择（开始时间-截止时间）（已完成）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  <w:t>需要补全数据，目前有当月累计工单，当日工单，当日处理，缺少当前未结工单数，处理超时工单数的统计展示。（已完成）</w:t>
      </w:r>
    </w:p>
    <w:p>
      <w:pPr/>
      <w:r>
        <w:drawing>
          <wp:inline distT="0" distB="0" distL="114300" distR="114300">
            <wp:extent cx="5268595" cy="2214245"/>
            <wp:effectExtent l="0" t="0" r="825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5420" cy="2048510"/>
            <wp:effectExtent l="0" t="0" r="11430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（卓部提出）审批工单点击查看进去后，可以直接在里面点击处理，而不用再退出来点击处理。</w:t>
      </w:r>
    </w:p>
    <w:p>
      <w:pPr>
        <w:jc w:val="left"/>
      </w:pPr>
      <w:r>
        <w:rPr>
          <w:rFonts w:hint="eastAsia" w:ascii="Arial" w:hAnsi="Arial" w:cs="Arial"/>
          <w:b/>
          <w:color w:val="FF0000"/>
          <w:szCs w:val="21"/>
          <w:shd w:val="clear" w:color="auto" w:fill="FFFFFF"/>
        </w:rPr>
        <w:t>用户需求是点击查看的界面里有处理的按键，而不是要退出查看界面，再找对应的工单进行处理</w:t>
      </w:r>
      <w:r>
        <w:drawing>
          <wp:inline distT="0" distB="0" distL="114300" distR="114300">
            <wp:extent cx="5271135" cy="2405380"/>
            <wp:effectExtent l="0" t="0" r="571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tabs>
          <w:tab w:val="left" w:pos="1276"/>
        </w:tabs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（卓部提出）资产对应目录后面需要有统计数量</w:t>
      </w:r>
    </w:p>
    <w:p>
      <w:pPr>
        <w:jc w:val="left"/>
      </w:pPr>
      <w:r>
        <w:rPr>
          <w:rFonts w:hint="eastAsia" w:ascii="Arial" w:hAnsi="Arial" w:cs="Arial"/>
          <w:b/>
          <w:color w:val="FF0000"/>
          <w:szCs w:val="21"/>
          <w:shd w:val="clear" w:color="auto" w:fill="FFFFFF"/>
        </w:rPr>
        <w:t>用户提出需要增加统计数量，不然无法直观速度查看每项资源占比情况。</w:t>
      </w:r>
    </w:p>
    <w:p>
      <w:pPr>
        <w:jc w:val="left"/>
      </w:pPr>
      <w:r>
        <w:drawing>
          <wp:inline distT="0" distB="0" distL="114300" distR="114300">
            <wp:extent cx="5268595" cy="2406650"/>
            <wp:effectExtent l="0" t="0" r="825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/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（林工提出）现在点服务管理，就跳出这个界面，而这个界面只能显示事件工单，逻辑有问题，改成显示所有类型的工单。（已按跳转到工单管理界面实现）</w:t>
      </w:r>
    </w:p>
    <w:p>
      <w:pPr/>
      <w:r>
        <w:rPr>
          <w:rFonts w:hint="eastAsia"/>
        </w:rPr>
        <w:drawing>
          <wp:inline distT="0" distB="0" distL="114300" distR="114300">
            <wp:extent cx="5270500" cy="2357120"/>
            <wp:effectExtent l="0" t="0" r="6350" b="5080"/>
            <wp:docPr id="12" name="图片 12" descr="9ac81c4d485a8f9cbd29ed9e3039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c81c4d485a8f9cbd29ed9e30393b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个人工作台面板，显示都是0；</w:t>
      </w:r>
      <w:r>
        <w:rPr>
          <w:rFonts w:hint="eastAsia" w:ascii="Arial" w:hAnsi="Arial" w:cs="Arial"/>
          <w:color w:val="FF0000"/>
          <w:sz w:val="21"/>
          <w:szCs w:val="21"/>
          <w:shd w:val="clear" w:color="auto" w:fill="FFFFFF"/>
        </w:rPr>
        <w:t>日期表中标准橙色和灰色分别表示什么？与自己账号无关的工单，无法看到。（系统管理员除外）</w:t>
      </w:r>
    </w:p>
    <w:p>
      <w:pPr/>
      <w:r>
        <w:drawing>
          <wp:inline distT="0" distB="0" distL="114300" distR="114300">
            <wp:extent cx="5267960" cy="2479040"/>
            <wp:effectExtent l="0" t="0" r="8890" b="16510"/>
            <wp:docPr id="13" name="图片 13" descr="32bf440f857ab77d27971b00a63a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bf440f857ab77d27971b00a63a7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个人工作台，鼠标指向系统主页，变成可点击连接状态，实际无效。--</w:t>
      </w:r>
      <w:r>
        <w:rPr>
          <w:rFonts w:hint="eastAsia" w:ascii="Arial" w:hAnsi="Arial" w:cs="Arial"/>
          <w:color w:val="FF0000"/>
          <w:sz w:val="21"/>
          <w:szCs w:val="21"/>
          <w:shd w:val="clear" w:color="auto" w:fill="FFFFFF"/>
        </w:rPr>
        <w:t>-请要么调整成可以跳转，要么改成鼠标指向后，鼠标图标不要变成可点击连接的状态；</w:t>
      </w:r>
    </w:p>
    <w:p>
      <w:pPr/>
      <w:r>
        <w:drawing>
          <wp:inline distT="0" distB="0" distL="114300" distR="114300">
            <wp:extent cx="5268595" cy="1604645"/>
            <wp:effectExtent l="0" t="0" r="8255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（林工提出）运维类统计模块导出都是PDF格式，导出后的PDF格式排版极不美观，导致此报表无法利用或让领导查阅。</w:t>
      </w:r>
      <w:r>
        <w:rPr>
          <w:rFonts w:hint="eastAsia" w:ascii="Arial" w:hAnsi="Arial" w:cs="Arial"/>
          <w:color w:val="FF0000"/>
          <w:sz w:val="21"/>
          <w:szCs w:val="21"/>
          <w:shd w:val="clear" w:color="auto" w:fill="FFFFFF"/>
        </w:rPr>
        <w:t>功能有了，但无法利用！</w:t>
      </w:r>
    </w:p>
    <w:p>
      <w:pPr>
        <w:numPr>
          <w:ilvl w:val="0"/>
          <w:numId w:val="6"/>
        </w:numPr>
        <w:jc w:val="left"/>
      </w:pPr>
      <w:r>
        <w:rPr>
          <w:rFonts w:hint="eastAsia"/>
        </w:rPr>
        <w:t>请调整好PDF导出后排版</w:t>
      </w:r>
    </w:p>
    <w:p>
      <w:pPr>
        <w:numPr>
          <w:ilvl w:val="0"/>
          <w:numId w:val="6"/>
        </w:numPr>
        <w:jc w:val="left"/>
      </w:pPr>
      <w:r>
        <w:rPr>
          <w:rFonts w:hint="eastAsia"/>
        </w:rPr>
        <w:t>导出格式需要增加Excel格式可选。</w:t>
      </w:r>
    </w:p>
    <w:p>
      <w:pPr>
        <w:jc w:val="left"/>
      </w:pPr>
      <w:r>
        <w:drawing>
          <wp:inline distT="0" distB="0" distL="114300" distR="114300">
            <wp:extent cx="5265420" cy="2910205"/>
            <wp:effectExtent l="0" t="0" r="11430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3543935"/>
            <wp:effectExtent l="0" t="0" r="12065" b="184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055" cy="2152650"/>
            <wp:effectExtent l="0" t="0" r="1079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这两个统计功能数据对应不上</w:t>
      </w:r>
    </w:p>
    <w:p>
      <w:pPr>
        <w:jc w:val="left"/>
      </w:pPr>
      <w:r>
        <w:drawing>
          <wp:inline distT="0" distB="0" distL="114300" distR="114300">
            <wp:extent cx="5267960" cy="3180080"/>
            <wp:effectExtent l="0" t="0" r="8890" b="12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0500" cy="2842895"/>
            <wp:effectExtent l="0" t="0" r="6350" b="146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</w:rPr>
      </w:pPr>
      <w:r>
        <w:rPr>
          <w:rFonts w:hint="eastAsia"/>
          <w:color w:val="FF0000"/>
        </w:rPr>
        <w:t>导出后为何变成红色？</w:t>
      </w:r>
    </w:p>
    <w:p>
      <w:pPr>
        <w:jc w:val="left"/>
      </w:pPr>
      <w:r>
        <w:drawing>
          <wp:inline distT="0" distB="0" distL="114300" distR="114300">
            <wp:extent cx="5269230" cy="3589020"/>
            <wp:effectExtent l="0" t="0" r="7620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（事件、变更、问题等）所有类型的工单操作需要前移到编号左侧。</w:t>
      </w:r>
    </w:p>
    <w:p>
      <w:pPr>
        <w:jc w:val="left"/>
      </w:pPr>
      <w:r>
        <w:drawing>
          <wp:inline distT="0" distB="0" distL="114300" distR="114300">
            <wp:extent cx="5268595" cy="2063115"/>
            <wp:effectExtent l="0" t="0" r="8255" b="1333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 w:line="300" w:lineRule="atLeast"/>
        <w:ind w:left="357" w:hanging="357"/>
        <w:outlineLvl w:val="1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</w:rPr>
        <w:t>事件来源分布数量不成比例，请更换其他效果图展示！</w:t>
      </w:r>
    </w:p>
    <w:p>
      <w:pPr>
        <w:jc w:val="left"/>
      </w:pPr>
      <w:r>
        <w:rPr>
          <w:rFonts w:hint="eastAsia"/>
        </w:rPr>
        <w:t>运维看板人员活动矩阵改为“运维人员工单处理情况”</w:t>
      </w:r>
    </w:p>
    <w:p>
      <w:pPr>
        <w:jc w:val="left"/>
      </w:pPr>
      <w:r>
        <w:drawing>
          <wp:inline distT="0" distB="0" distL="114300" distR="114300">
            <wp:extent cx="5268595" cy="3853180"/>
            <wp:effectExtent l="0" t="0" r="8255" b="1397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可以改成以下这类型的图，或者你们有更好的。</w:t>
      </w:r>
    </w:p>
    <w:p>
      <w:pPr>
        <w:jc w:val="left"/>
      </w:pPr>
      <w:r>
        <w:drawing>
          <wp:inline distT="0" distB="0" distL="114300" distR="114300">
            <wp:extent cx="1876425" cy="942975"/>
            <wp:effectExtent l="0" t="0" r="9525" b="952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00000000" w:usb1="00000000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9541" w:yAlign="top"/>
      <w:rPr>
        <w:rStyle w:val="8"/>
      </w:rPr>
    </w:pPr>
    <w:r>
      <w:rPr>
        <w:rStyle w:val="8"/>
        <w:rFonts w:hint="eastAsia"/>
      </w:rPr>
      <w:t>第</w:t>
    </w: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12</w:t>
    </w:r>
    <w:r>
      <w:rPr>
        <w:rStyle w:val="8"/>
      </w:rPr>
      <w:fldChar w:fldCharType="end"/>
    </w:r>
    <w:r>
      <w:rPr>
        <w:rStyle w:val="8"/>
        <w:rFonts w:hint="eastAsia"/>
      </w:rPr>
      <w:t>页</w:t>
    </w:r>
  </w:p>
  <w:p>
    <w:pPr>
      <w:pStyle w:val="4"/>
      <w:ind w:right="360"/>
      <w:jc w:val="both"/>
      <w:rPr>
        <w:rFonts w:ascii="宋体" w:hAnsi="宋体"/>
      </w:rPr>
    </w:pPr>
    <w:r>
      <w:t>&lt;</w:t>
    </w:r>
    <w:r>
      <w:rPr>
        <w:rFonts w:hint="eastAsia" w:hAnsi="宋体"/>
      </w:rPr>
      <w:t>以上</w:t>
    </w:r>
    <w:r>
      <w:rPr>
        <w:rFonts w:hAnsi="宋体"/>
      </w:rPr>
      <w:t>所有信息均为中兴通讯股份有限公司</w:t>
    </w:r>
    <w:r>
      <w:rPr>
        <w:rFonts w:hint="eastAsia" w:hAnsi="宋体"/>
      </w:rPr>
      <w:t>所有</w:t>
    </w:r>
    <w:r>
      <w:rPr>
        <w:rFonts w:hAnsi="宋体"/>
      </w:rPr>
      <w:t>，不</w:t>
    </w:r>
    <w:r>
      <w:rPr>
        <w:rFonts w:hint="eastAsia" w:hAnsi="宋体"/>
      </w:rPr>
      <w:t>得</w:t>
    </w:r>
    <w:r>
      <w:rPr>
        <w:rFonts w:hAnsi="宋体"/>
      </w:rPr>
      <w:t>外传</w:t>
    </w:r>
    <w:r>
      <w:t>&gt;</w:t>
    </w:r>
    <w:r>
      <w:rPr>
        <w:rFonts w:hint="eastAsia" w:ascii="宋体" w:hAnsi="宋体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distribute"/>
      <w:rPr>
        <w:rFonts w:eastAsia="华文仿宋"/>
        <w:szCs w:val="21"/>
      </w:rPr>
    </w:pPr>
    <w:r>
      <w:rPr>
        <w:rFonts w:cs="宋体"/>
        <w:color w:val="000000"/>
        <w:kern w:val="0"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-46990</wp:posOffset>
          </wp:positionH>
          <wp:positionV relativeFrom="paragraph">
            <wp:posOffset>278130</wp:posOffset>
          </wp:positionV>
          <wp:extent cx="5387975" cy="52070"/>
          <wp:effectExtent l="19050" t="0" r="3175" b="0"/>
          <wp:wrapTopAndBottom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7975" cy="52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inline distT="0" distB="0" distL="0" distR="0">
          <wp:extent cx="885825" cy="228600"/>
          <wp:effectExtent l="19050" t="0" r="9525" b="0"/>
          <wp:docPr id="1" name="图片 4" descr="未标题-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未标题-9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cs="仿宋_GB2312"/>
        <w:color w:val="000000"/>
        <w:kern w:val="0"/>
        <w:szCs w:val="21"/>
      </w:rPr>
      <w:t>秘密</w:t>
    </w:r>
    <w:r>
      <w:rPr>
        <w:rFonts w:hint="eastAsia"/>
        <w:color w:val="000000"/>
        <w:kern w:val="0"/>
        <w:szCs w:val="21"/>
      </w:rPr>
      <w:t>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6E380"/>
    <w:multiLevelType w:val="singleLevel"/>
    <w:tmpl w:val="8796E380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80521B9"/>
    <w:multiLevelType w:val="singleLevel"/>
    <w:tmpl w:val="C80521B9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E651354"/>
    <w:multiLevelType w:val="singleLevel"/>
    <w:tmpl w:val="DE651354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3180429E"/>
    <w:multiLevelType w:val="multilevel"/>
    <w:tmpl w:val="3180429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2E582C"/>
    <w:multiLevelType w:val="singleLevel"/>
    <w:tmpl w:val="402E582C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5510DB8B"/>
    <w:multiLevelType w:val="singleLevel"/>
    <w:tmpl w:val="5510DB8B"/>
    <w:lvl w:ilvl="0" w:tentative="0">
      <w:start w:val="1"/>
      <w:numFmt w:val="decimal"/>
      <w:suff w:val="nothing"/>
      <w:lvlText w:val="%1）"/>
      <w:lvlJc w:val="left"/>
      <w:pPr>
        <w:ind w:left="27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name="header"/>
    <w:lsdException w:qFormat="1" w:unhideWhenUsed="0"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qFormat="1" w:unhideWhenUsed="0" w:uiPriority="0" w:semiHidden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120" w:after="120" w:line="578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page number"/>
    <w:basedOn w:val="7"/>
    <w:semiHidden/>
    <w:qFormat/>
    <w:uiPriority w:val="0"/>
  </w:style>
  <w:style w:type="table" w:styleId="10">
    <w:name w:val="Table Grid 8"/>
    <w:basedOn w:val="9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Layout w:type="fixed"/>
    </w:tblPr>
    <w:tcPr>
      <w:shd w:val="clear" w:color="auto" w:fill="auto"/>
    </w:tcPr>
    <w:tblStylePr w:type="firstRow">
      <w:rPr>
        <w:b/>
        <w:bCs/>
        <w:color w:val="FFFFFF"/>
      </w:rPr>
      <w:tblPr>
        <w:tblLayout w:type="fixed"/>
      </w:tblPr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</w:tcPr>
    </w:tblStylePr>
  </w:style>
  <w:style w:type="character" w:customStyle="1" w:styleId="11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0"/>
    <w:rPr>
      <w:rFonts w:ascii="Calibri" w:hAnsi="Calibri"/>
      <w:b/>
      <w:bCs/>
      <w:kern w:val="44"/>
      <w:sz w:val="2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中兴品牌色彩体系">
      <a:dk1>
        <a:srgbClr val="008ED3"/>
      </a:dk1>
      <a:lt1>
        <a:srgbClr val="FFFFFF"/>
      </a:lt1>
      <a:dk2>
        <a:srgbClr val="0067B4"/>
      </a:dk2>
      <a:lt2>
        <a:srgbClr val="58595B"/>
      </a:lt2>
      <a:accent1>
        <a:srgbClr val="FFDE40"/>
      </a:accent1>
      <a:accent2>
        <a:srgbClr val="61CCF0"/>
      </a:accent2>
      <a:accent3>
        <a:srgbClr val="EE3D8A"/>
      </a:accent3>
      <a:accent4>
        <a:srgbClr val="922990"/>
      </a:accent4>
      <a:accent5>
        <a:srgbClr val="8DC642"/>
      </a:accent5>
      <a:accent6>
        <a:srgbClr val="58595B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秘密.dotx</Template>
  <Company>zte</Company>
  <Pages>12</Pages>
  <Words>448</Words>
  <Characters>2556</Characters>
  <Lines>21</Lines>
  <Paragraphs>5</Paragraphs>
  <TotalTime>0</TotalTime>
  <ScaleCrop>false</ScaleCrop>
  <LinksUpToDate>false</LinksUpToDate>
  <CharactersWithSpaces>2999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2019-08-23T16:14:00Z</dcterms:created>
  <dc:creator>H</dc:creator>
  <cp:lastModifiedBy>狗子的 iPhone</cp:lastModifiedBy>
  <cp:lastPrinted>2113-01-01T08:00:00Z</cp:lastPrinted>
  <dcterms:modified xsi:type="dcterms:W3CDTF">2020-02-28T17:26:16Z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2052-10.6.2</vt:lpwstr>
  </property>
</Properties>
</file>