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4"/>
        <w:tblpPr w:leftFromText="180" w:rightFromText="180" w:vertAnchor="page" w:horzAnchor="margin" w:tblpY="1136"/>
        <w:tblW w:w="8757"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75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145" w:hRule="atLeast"/>
        </w:trPr>
        <w:tc>
          <w:tcPr>
            <w:tcW w:w="8757" w:type="dxa"/>
          </w:tcPr>
          <w:p>
            <w:r>
              <mc:AlternateContent>
                <mc:Choice Requires="wps">
                  <w:drawing>
                    <wp:anchor distT="0" distB="0" distL="114300" distR="114300" simplePos="0" relativeHeight="251658240" behindDoc="0" locked="0" layoutInCell="1" allowOverlap="1">
                      <wp:simplePos x="0" y="0"/>
                      <wp:positionH relativeFrom="column">
                        <wp:posOffset>-173990</wp:posOffset>
                      </wp:positionH>
                      <wp:positionV relativeFrom="paragraph">
                        <wp:posOffset>-260985</wp:posOffset>
                      </wp:positionV>
                      <wp:extent cx="2232025" cy="321310"/>
                      <wp:effectExtent l="1905" t="2540" r="4445"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2232025" cy="321310"/>
                              </a:xfrm>
                              <a:prstGeom prst="rect">
                                <a:avLst/>
                              </a:prstGeom>
                              <a:noFill/>
                              <a:ln>
                                <a:noFill/>
                              </a:ln>
                            </wps:spPr>
                            <wps:txbx>
                              <w:txbxContent>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26" o:spt="202" type="#_x0000_t202" style="position:absolute;left:0pt;margin-left:-13.7pt;margin-top:-20.55pt;height:25.3pt;width:175.75pt;z-index:251658240;mso-width-relative:margin;mso-height-relative:margin;mso-width-percent:400;mso-height-percent:200;" filled="f" stroked="f" coordsize="21600,21600" o:gfxdata="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555&#10;kdYAAAAJAQAADwAAAAAAAAABACAAAAAiAAAAZHJzL2Rvd25yZXYueG1sUEsBAhQAFAAAAAgAh07i&#10;QJORpYDrAQAAxgMAAA4AAAAAAAAAAQAgAAAAJQEAAGRycy9lMm9Eb2MueG1sUEsFBgAAAAAGAAYA&#10;WQEAAIIFAAAAAA==&#10;">
                      <v:fill on="f" focussize="0,0"/>
                      <v:stroke on="f"/>
                      <v:imagedata o:title=""/>
                      <o:lock v:ext="edit" aspectratio="f"/>
                      <v:textbox style="mso-fit-shape-to-text:t;">
                        <w:txbxContent>
                          <w:p/>
                        </w:txbxContent>
                      </v:textbox>
                    </v:shape>
                  </w:pict>
                </mc:Fallback>
              </mc:AlternateContent>
            </w:r>
          </w:p>
          <w:p/>
          <w:p/>
          <w:p/>
          <w:p/>
          <w:p/>
          <w:p/>
          <w:p>
            <w:pPr>
              <w:spacing w:before="190" w:beforeLines="50" w:line="240" w:lineRule="auto"/>
              <w:jc w:val="center"/>
            </w:pPr>
            <w:r>
              <w:rPr>
                <w:rFonts w:hint="eastAsia" w:eastAsia="黑体"/>
                <w:b/>
                <w:sz w:val="52"/>
                <w:szCs w:val="52"/>
              </w:rPr>
              <w:t>软件</w:t>
            </w:r>
            <w:r>
              <w:rPr>
                <w:rFonts w:eastAsia="黑体"/>
                <w:b/>
                <w:sz w:val="52"/>
                <w:szCs w:val="52"/>
              </w:rPr>
              <w:t>产品销售合同书</w:t>
            </w:r>
          </w:p>
          <w:p/>
          <w:p/>
          <w:p/>
          <w:p/>
          <w:p/>
          <w:p>
            <w:pPr>
              <w:tabs>
                <w:tab w:val="left" w:pos="0"/>
                <w:tab w:val="left" w:pos="7140"/>
              </w:tabs>
              <w:rPr>
                <w:sz w:val="28"/>
                <w:szCs w:val="28"/>
              </w:rPr>
            </w:pPr>
          </w:p>
          <w:tbl>
            <w:tblPr>
              <w:tblStyle w:val="34"/>
              <w:tblW w:w="5387" w:type="dxa"/>
              <w:tblInd w:w="1843" w:type="dxa"/>
              <w:tblLayout w:type="fixed"/>
              <w:tblCellMar>
                <w:top w:w="0" w:type="dxa"/>
                <w:left w:w="0" w:type="dxa"/>
                <w:bottom w:w="0" w:type="dxa"/>
                <w:right w:w="0" w:type="dxa"/>
              </w:tblCellMar>
            </w:tblPr>
            <w:tblGrid>
              <w:gridCol w:w="1559"/>
              <w:gridCol w:w="993"/>
              <w:gridCol w:w="283"/>
              <w:gridCol w:w="1134"/>
              <w:gridCol w:w="284"/>
              <w:gridCol w:w="850"/>
              <w:gridCol w:w="284"/>
            </w:tblGrid>
            <w:tr>
              <w:tblPrEx>
                <w:tblLayout w:type="fixed"/>
                <w:tblCellMar>
                  <w:top w:w="0" w:type="dxa"/>
                  <w:left w:w="0" w:type="dxa"/>
                  <w:bottom w:w="0" w:type="dxa"/>
                  <w:right w:w="0" w:type="dxa"/>
                </w:tblCellMar>
              </w:tblPrEx>
              <w:trPr>
                <w:trHeight w:val="338" w:hRule="exact"/>
              </w:trPr>
              <w:tc>
                <w:tcPr>
                  <w:tcW w:w="1559" w:type="dxa"/>
                  <w:vAlign w:val="bottom"/>
                </w:tcPr>
                <w:p>
                  <w:pPr>
                    <w:tabs>
                      <w:tab w:val="left" w:pos="0"/>
                      <w:tab w:val="left" w:pos="7140"/>
                    </w:tabs>
                    <w:rPr>
                      <w:rStyle w:val="49"/>
                      <w:sz w:val="28"/>
                      <w:szCs w:val="28"/>
                    </w:rPr>
                  </w:pPr>
                  <w:r>
                    <w:rPr>
                      <w:rStyle w:val="49"/>
                      <w:sz w:val="28"/>
                      <w:szCs w:val="28"/>
                    </w:rPr>
                    <w:t>甲    方：</w:t>
                  </w:r>
                </w:p>
              </w:tc>
              <w:tc>
                <w:tcPr>
                  <w:tcW w:w="3828" w:type="dxa"/>
                  <w:gridSpan w:val="6"/>
                  <w:tcBorders>
                    <w:bottom w:val="single" w:color="auto" w:sz="4" w:space="0"/>
                  </w:tcBorders>
                  <w:vAlign w:val="bottom"/>
                </w:tcPr>
                <w:p>
                  <w:pPr>
                    <w:tabs>
                      <w:tab w:val="left" w:pos="0"/>
                      <w:tab w:val="left" w:pos="7140"/>
                    </w:tabs>
                    <w:rPr>
                      <w:rStyle w:val="49"/>
                      <w:rFonts w:hint="eastAsia" w:eastAsia="仿宋_GB2312"/>
                      <w:sz w:val="28"/>
                      <w:szCs w:val="28"/>
                      <w:lang w:val="en-US" w:eastAsia="zh-CN"/>
                    </w:rPr>
                  </w:pPr>
                  <w:r>
                    <w:rPr>
                      <w:rStyle w:val="49"/>
                      <w:rFonts w:hint="eastAsia"/>
                      <w:sz w:val="28"/>
                      <w:szCs w:val="28"/>
                      <w:lang w:val="en-US" w:eastAsia="zh-CN"/>
                    </w:rPr>
                    <w:t>盐城市睿丰科技有限公司</w:t>
                  </w:r>
                </w:p>
              </w:tc>
            </w:tr>
            <w:tr>
              <w:tblPrEx>
                <w:tblLayout w:type="fixed"/>
                <w:tblCellMar>
                  <w:top w:w="0" w:type="dxa"/>
                  <w:left w:w="0" w:type="dxa"/>
                  <w:bottom w:w="0" w:type="dxa"/>
                  <w:right w:w="0" w:type="dxa"/>
                </w:tblCellMar>
              </w:tblPrEx>
              <w:trPr>
                <w:trHeight w:val="567" w:hRule="exact"/>
              </w:trPr>
              <w:tc>
                <w:tcPr>
                  <w:tcW w:w="1559" w:type="dxa"/>
                  <w:vAlign w:val="bottom"/>
                </w:tcPr>
                <w:p>
                  <w:pPr>
                    <w:tabs>
                      <w:tab w:val="left" w:pos="0"/>
                      <w:tab w:val="left" w:pos="7140"/>
                    </w:tabs>
                    <w:rPr>
                      <w:rStyle w:val="49"/>
                      <w:sz w:val="28"/>
                      <w:szCs w:val="28"/>
                    </w:rPr>
                  </w:pPr>
                </w:p>
              </w:tc>
              <w:tc>
                <w:tcPr>
                  <w:tcW w:w="3828" w:type="dxa"/>
                  <w:gridSpan w:val="6"/>
                  <w:tcBorders>
                    <w:top w:val="single" w:color="auto" w:sz="4" w:space="0"/>
                  </w:tcBorders>
                  <w:vAlign w:val="bottom"/>
                </w:tcPr>
                <w:p>
                  <w:pPr>
                    <w:tabs>
                      <w:tab w:val="left" w:pos="0"/>
                      <w:tab w:val="left" w:pos="7140"/>
                    </w:tabs>
                    <w:ind w:firstLine="980" w:firstLineChars="350"/>
                    <w:rPr>
                      <w:rStyle w:val="49"/>
                      <w:b w:val="0"/>
                      <w:sz w:val="28"/>
                      <w:szCs w:val="28"/>
                    </w:rPr>
                  </w:pPr>
                  <w:r>
                    <w:rPr>
                      <w:rStyle w:val="49"/>
                      <w:b w:val="0"/>
                      <w:sz w:val="28"/>
                      <w:szCs w:val="28"/>
                    </w:rPr>
                    <w:t>（合同专用章）</w:t>
                  </w:r>
                </w:p>
                <w:p>
                  <w:pPr>
                    <w:tabs>
                      <w:tab w:val="left" w:pos="0"/>
                      <w:tab w:val="left" w:pos="7140"/>
                    </w:tabs>
                    <w:rPr>
                      <w:rStyle w:val="49"/>
                      <w:sz w:val="28"/>
                      <w:szCs w:val="28"/>
                    </w:rPr>
                  </w:pPr>
                </w:p>
              </w:tc>
            </w:tr>
            <w:tr>
              <w:tblPrEx>
                <w:tblLayout w:type="fixed"/>
                <w:tblCellMar>
                  <w:top w:w="0" w:type="dxa"/>
                  <w:left w:w="0" w:type="dxa"/>
                  <w:bottom w:w="0" w:type="dxa"/>
                  <w:right w:w="0" w:type="dxa"/>
                </w:tblCellMar>
              </w:tblPrEx>
              <w:trPr>
                <w:trHeight w:val="567" w:hRule="exact"/>
              </w:trPr>
              <w:tc>
                <w:tcPr>
                  <w:tcW w:w="1559" w:type="dxa"/>
                  <w:vAlign w:val="bottom"/>
                </w:tcPr>
                <w:p>
                  <w:pPr>
                    <w:tabs>
                      <w:tab w:val="left" w:pos="0"/>
                      <w:tab w:val="left" w:pos="7140"/>
                    </w:tabs>
                    <w:rPr>
                      <w:rStyle w:val="49"/>
                      <w:sz w:val="28"/>
                      <w:szCs w:val="28"/>
                    </w:rPr>
                  </w:pPr>
                </w:p>
              </w:tc>
              <w:tc>
                <w:tcPr>
                  <w:tcW w:w="3828" w:type="dxa"/>
                  <w:gridSpan w:val="6"/>
                  <w:vAlign w:val="bottom"/>
                </w:tcPr>
                <w:p>
                  <w:pPr>
                    <w:tabs>
                      <w:tab w:val="left" w:pos="0"/>
                      <w:tab w:val="left" w:pos="7140"/>
                    </w:tabs>
                    <w:rPr>
                      <w:rStyle w:val="49"/>
                      <w:sz w:val="28"/>
                      <w:szCs w:val="28"/>
                    </w:rPr>
                  </w:pPr>
                </w:p>
              </w:tc>
            </w:tr>
            <w:tr>
              <w:tblPrEx>
                <w:tblLayout w:type="fixed"/>
                <w:tblCellMar>
                  <w:top w:w="0" w:type="dxa"/>
                  <w:left w:w="0" w:type="dxa"/>
                  <w:bottom w:w="0" w:type="dxa"/>
                  <w:right w:w="0" w:type="dxa"/>
                </w:tblCellMar>
              </w:tblPrEx>
              <w:trPr>
                <w:trHeight w:val="401" w:hRule="exact"/>
              </w:trPr>
              <w:tc>
                <w:tcPr>
                  <w:tcW w:w="1559" w:type="dxa"/>
                  <w:vAlign w:val="bottom"/>
                </w:tcPr>
                <w:p>
                  <w:pPr>
                    <w:tabs>
                      <w:tab w:val="left" w:pos="0"/>
                      <w:tab w:val="left" w:pos="7140"/>
                    </w:tabs>
                    <w:rPr>
                      <w:rStyle w:val="49"/>
                      <w:sz w:val="28"/>
                      <w:szCs w:val="28"/>
                    </w:rPr>
                  </w:pPr>
                  <w:r>
                    <w:rPr>
                      <w:rStyle w:val="49"/>
                      <w:sz w:val="28"/>
                      <w:szCs w:val="28"/>
                    </w:rPr>
                    <w:t>乙    方：</w:t>
                  </w:r>
                </w:p>
              </w:tc>
              <w:tc>
                <w:tcPr>
                  <w:tcW w:w="3828" w:type="dxa"/>
                  <w:gridSpan w:val="6"/>
                  <w:tcBorders>
                    <w:bottom w:val="single" w:color="auto" w:sz="4" w:space="0"/>
                  </w:tcBorders>
                  <w:vAlign w:val="bottom"/>
                </w:tcPr>
                <w:p>
                  <w:pPr>
                    <w:tabs>
                      <w:tab w:val="left" w:pos="0"/>
                      <w:tab w:val="left" w:pos="7140"/>
                    </w:tabs>
                    <w:rPr>
                      <w:rStyle w:val="49"/>
                      <w:sz w:val="28"/>
                      <w:szCs w:val="28"/>
                    </w:rPr>
                  </w:pPr>
                  <w:r>
                    <w:rPr>
                      <w:rStyle w:val="49"/>
                      <w:rFonts w:hint="eastAsia"/>
                      <w:sz w:val="28"/>
                      <w:szCs w:val="28"/>
                    </w:rPr>
                    <w:t>北京创联致信科技有限公司</w:t>
                  </w:r>
                </w:p>
              </w:tc>
            </w:tr>
            <w:tr>
              <w:tblPrEx>
                <w:tblLayout w:type="fixed"/>
                <w:tblCellMar>
                  <w:top w:w="0" w:type="dxa"/>
                  <w:left w:w="0" w:type="dxa"/>
                  <w:bottom w:w="0" w:type="dxa"/>
                  <w:right w:w="0" w:type="dxa"/>
                </w:tblCellMar>
              </w:tblPrEx>
              <w:trPr>
                <w:trHeight w:val="567" w:hRule="exact"/>
              </w:trPr>
              <w:tc>
                <w:tcPr>
                  <w:tcW w:w="1559" w:type="dxa"/>
                  <w:vAlign w:val="bottom"/>
                </w:tcPr>
                <w:p>
                  <w:pPr>
                    <w:tabs>
                      <w:tab w:val="left" w:pos="0"/>
                      <w:tab w:val="left" w:pos="7140"/>
                    </w:tabs>
                    <w:ind w:firstLine="980" w:firstLineChars="350"/>
                    <w:rPr>
                      <w:rStyle w:val="49"/>
                      <w:b w:val="0"/>
                      <w:sz w:val="28"/>
                      <w:szCs w:val="28"/>
                    </w:rPr>
                  </w:pPr>
                </w:p>
              </w:tc>
              <w:tc>
                <w:tcPr>
                  <w:tcW w:w="3828" w:type="dxa"/>
                  <w:gridSpan w:val="6"/>
                  <w:tcBorders>
                    <w:top w:val="single" w:color="auto" w:sz="4" w:space="0"/>
                  </w:tcBorders>
                  <w:vAlign w:val="bottom"/>
                </w:tcPr>
                <w:p>
                  <w:pPr>
                    <w:tabs>
                      <w:tab w:val="left" w:pos="0"/>
                      <w:tab w:val="left" w:pos="7140"/>
                    </w:tabs>
                    <w:ind w:firstLine="980" w:firstLineChars="350"/>
                    <w:rPr>
                      <w:rStyle w:val="49"/>
                      <w:b w:val="0"/>
                      <w:sz w:val="28"/>
                      <w:szCs w:val="28"/>
                    </w:rPr>
                  </w:pPr>
                  <w:r>
                    <w:rPr>
                      <w:rStyle w:val="49"/>
                      <w:b w:val="0"/>
                      <w:sz w:val="28"/>
                      <w:szCs w:val="28"/>
                    </w:rPr>
                    <w:t>（合同专用章）</w:t>
                  </w:r>
                </w:p>
                <w:p>
                  <w:pPr>
                    <w:tabs>
                      <w:tab w:val="left" w:pos="0"/>
                      <w:tab w:val="left" w:pos="7140"/>
                    </w:tabs>
                    <w:ind w:firstLine="980" w:firstLineChars="350"/>
                    <w:rPr>
                      <w:rStyle w:val="49"/>
                      <w:b w:val="0"/>
                      <w:sz w:val="28"/>
                      <w:szCs w:val="28"/>
                    </w:rPr>
                  </w:pPr>
                </w:p>
              </w:tc>
            </w:tr>
            <w:tr>
              <w:tblPrEx>
                <w:tblLayout w:type="fixed"/>
                <w:tblCellMar>
                  <w:top w:w="0" w:type="dxa"/>
                  <w:left w:w="0" w:type="dxa"/>
                  <w:bottom w:w="0" w:type="dxa"/>
                  <w:right w:w="0" w:type="dxa"/>
                </w:tblCellMar>
              </w:tblPrEx>
              <w:trPr>
                <w:trHeight w:val="567" w:hRule="exact"/>
              </w:trPr>
              <w:tc>
                <w:tcPr>
                  <w:tcW w:w="1559" w:type="dxa"/>
                  <w:vAlign w:val="bottom"/>
                </w:tcPr>
                <w:p>
                  <w:pPr>
                    <w:tabs>
                      <w:tab w:val="left" w:pos="0"/>
                      <w:tab w:val="left" w:pos="7140"/>
                    </w:tabs>
                    <w:rPr>
                      <w:rStyle w:val="49"/>
                      <w:sz w:val="28"/>
                      <w:szCs w:val="28"/>
                    </w:rPr>
                  </w:pPr>
                </w:p>
              </w:tc>
              <w:tc>
                <w:tcPr>
                  <w:tcW w:w="3828" w:type="dxa"/>
                  <w:gridSpan w:val="6"/>
                  <w:vAlign w:val="bottom"/>
                </w:tcPr>
                <w:p>
                  <w:pPr>
                    <w:tabs>
                      <w:tab w:val="left" w:pos="0"/>
                      <w:tab w:val="left" w:pos="7140"/>
                    </w:tabs>
                    <w:rPr>
                      <w:rStyle w:val="49"/>
                      <w:sz w:val="28"/>
                      <w:szCs w:val="28"/>
                    </w:rPr>
                  </w:pPr>
                </w:p>
              </w:tc>
            </w:tr>
            <w:tr>
              <w:tblPrEx>
                <w:tblLayout w:type="fixed"/>
                <w:tblCellMar>
                  <w:top w:w="0" w:type="dxa"/>
                  <w:left w:w="0" w:type="dxa"/>
                  <w:bottom w:w="0" w:type="dxa"/>
                  <w:right w:w="0" w:type="dxa"/>
                </w:tblCellMar>
              </w:tblPrEx>
              <w:trPr>
                <w:trHeight w:val="423" w:hRule="exact"/>
              </w:trPr>
              <w:tc>
                <w:tcPr>
                  <w:tcW w:w="1559" w:type="dxa"/>
                  <w:vAlign w:val="bottom"/>
                </w:tcPr>
                <w:p>
                  <w:pPr>
                    <w:tabs>
                      <w:tab w:val="left" w:pos="0"/>
                      <w:tab w:val="left" w:pos="7140"/>
                    </w:tabs>
                    <w:rPr>
                      <w:rStyle w:val="49"/>
                      <w:sz w:val="28"/>
                      <w:szCs w:val="28"/>
                    </w:rPr>
                  </w:pPr>
                  <w:r>
                    <w:rPr>
                      <w:rStyle w:val="49"/>
                      <w:sz w:val="28"/>
                      <w:szCs w:val="28"/>
                    </w:rPr>
                    <w:t>签约地点：</w:t>
                  </w:r>
                </w:p>
              </w:tc>
              <w:tc>
                <w:tcPr>
                  <w:tcW w:w="3828" w:type="dxa"/>
                  <w:gridSpan w:val="6"/>
                  <w:tcBorders>
                    <w:bottom w:val="single" w:color="auto" w:sz="4" w:space="0"/>
                  </w:tcBorders>
                  <w:vAlign w:val="bottom"/>
                </w:tcPr>
                <w:p>
                  <w:pPr>
                    <w:tabs>
                      <w:tab w:val="left" w:pos="0"/>
                      <w:tab w:val="left" w:pos="7140"/>
                    </w:tabs>
                    <w:rPr>
                      <w:rStyle w:val="49"/>
                      <w:sz w:val="28"/>
                      <w:szCs w:val="28"/>
                    </w:rPr>
                  </w:pPr>
                </w:p>
              </w:tc>
            </w:tr>
            <w:tr>
              <w:tblPrEx>
                <w:tblLayout w:type="fixed"/>
                <w:tblCellMar>
                  <w:top w:w="0" w:type="dxa"/>
                  <w:left w:w="0" w:type="dxa"/>
                  <w:bottom w:w="0" w:type="dxa"/>
                  <w:right w:w="0" w:type="dxa"/>
                </w:tblCellMar>
              </w:tblPrEx>
              <w:trPr>
                <w:trHeight w:val="567" w:hRule="exact"/>
              </w:trPr>
              <w:tc>
                <w:tcPr>
                  <w:tcW w:w="1559" w:type="dxa"/>
                  <w:vAlign w:val="bottom"/>
                </w:tcPr>
                <w:p>
                  <w:pPr>
                    <w:tabs>
                      <w:tab w:val="left" w:pos="0"/>
                      <w:tab w:val="left" w:pos="7140"/>
                    </w:tabs>
                    <w:rPr>
                      <w:rStyle w:val="49"/>
                      <w:sz w:val="28"/>
                      <w:szCs w:val="28"/>
                    </w:rPr>
                  </w:pPr>
                </w:p>
              </w:tc>
              <w:tc>
                <w:tcPr>
                  <w:tcW w:w="3828" w:type="dxa"/>
                  <w:gridSpan w:val="6"/>
                  <w:tcBorders>
                    <w:top w:val="single" w:color="auto" w:sz="4" w:space="0"/>
                  </w:tcBorders>
                  <w:vAlign w:val="bottom"/>
                </w:tcPr>
                <w:p>
                  <w:pPr>
                    <w:tabs>
                      <w:tab w:val="left" w:pos="0"/>
                      <w:tab w:val="left" w:pos="7140"/>
                    </w:tabs>
                    <w:rPr>
                      <w:rStyle w:val="49"/>
                      <w:sz w:val="28"/>
                      <w:szCs w:val="28"/>
                    </w:rPr>
                  </w:pPr>
                </w:p>
              </w:tc>
            </w:tr>
            <w:tr>
              <w:tblPrEx>
                <w:tblLayout w:type="fixed"/>
                <w:tblCellMar>
                  <w:top w:w="0" w:type="dxa"/>
                  <w:left w:w="0" w:type="dxa"/>
                  <w:bottom w:w="0" w:type="dxa"/>
                  <w:right w:w="0" w:type="dxa"/>
                </w:tblCellMar>
              </w:tblPrEx>
              <w:trPr>
                <w:trHeight w:val="409" w:hRule="exact"/>
              </w:trPr>
              <w:tc>
                <w:tcPr>
                  <w:tcW w:w="1559" w:type="dxa"/>
                  <w:vAlign w:val="bottom"/>
                </w:tcPr>
                <w:p>
                  <w:pPr>
                    <w:tabs>
                      <w:tab w:val="left" w:pos="0"/>
                      <w:tab w:val="left" w:pos="7140"/>
                    </w:tabs>
                    <w:rPr>
                      <w:rStyle w:val="49"/>
                      <w:sz w:val="28"/>
                      <w:szCs w:val="28"/>
                    </w:rPr>
                  </w:pPr>
                  <w:r>
                    <w:rPr>
                      <w:rStyle w:val="49"/>
                      <w:sz w:val="28"/>
                      <w:szCs w:val="28"/>
                    </w:rPr>
                    <w:t>签约时间：</w:t>
                  </w:r>
                </w:p>
              </w:tc>
              <w:tc>
                <w:tcPr>
                  <w:tcW w:w="993" w:type="dxa"/>
                  <w:tcBorders>
                    <w:bottom w:val="single" w:color="auto" w:sz="4" w:space="0"/>
                  </w:tcBorders>
                  <w:vAlign w:val="bottom"/>
                </w:tcPr>
                <w:p>
                  <w:pPr>
                    <w:tabs>
                      <w:tab w:val="left" w:pos="0"/>
                      <w:tab w:val="left" w:pos="7140"/>
                    </w:tabs>
                    <w:rPr>
                      <w:rStyle w:val="49"/>
                      <w:sz w:val="28"/>
                      <w:szCs w:val="28"/>
                    </w:rPr>
                  </w:pPr>
                </w:p>
              </w:tc>
              <w:tc>
                <w:tcPr>
                  <w:tcW w:w="283" w:type="dxa"/>
                  <w:vAlign w:val="bottom"/>
                </w:tcPr>
                <w:p>
                  <w:pPr>
                    <w:rPr>
                      <w:rStyle w:val="49"/>
                      <w:sz w:val="28"/>
                      <w:szCs w:val="28"/>
                    </w:rPr>
                  </w:pPr>
                  <w:r>
                    <w:rPr>
                      <w:rStyle w:val="49"/>
                      <w:sz w:val="28"/>
                      <w:szCs w:val="28"/>
                    </w:rPr>
                    <w:t>年</w:t>
                  </w:r>
                </w:p>
              </w:tc>
              <w:tc>
                <w:tcPr>
                  <w:tcW w:w="1134" w:type="dxa"/>
                  <w:tcBorders>
                    <w:bottom w:val="single" w:color="auto" w:sz="4" w:space="0"/>
                  </w:tcBorders>
                  <w:vAlign w:val="bottom"/>
                </w:tcPr>
                <w:p>
                  <w:pPr>
                    <w:tabs>
                      <w:tab w:val="left" w:pos="-147"/>
                      <w:tab w:val="left" w:pos="7140"/>
                    </w:tabs>
                    <w:rPr>
                      <w:rStyle w:val="49"/>
                      <w:sz w:val="28"/>
                      <w:szCs w:val="28"/>
                    </w:rPr>
                  </w:pPr>
                </w:p>
              </w:tc>
              <w:tc>
                <w:tcPr>
                  <w:tcW w:w="284" w:type="dxa"/>
                  <w:vAlign w:val="bottom"/>
                </w:tcPr>
                <w:p>
                  <w:pPr>
                    <w:rPr>
                      <w:rStyle w:val="49"/>
                      <w:sz w:val="28"/>
                      <w:szCs w:val="28"/>
                    </w:rPr>
                  </w:pPr>
                  <w:r>
                    <w:rPr>
                      <w:rStyle w:val="49"/>
                      <w:sz w:val="28"/>
                      <w:szCs w:val="28"/>
                    </w:rPr>
                    <w:t>月</w:t>
                  </w:r>
                </w:p>
              </w:tc>
              <w:tc>
                <w:tcPr>
                  <w:tcW w:w="850" w:type="dxa"/>
                  <w:tcBorders>
                    <w:bottom w:val="single" w:color="auto" w:sz="4" w:space="0"/>
                  </w:tcBorders>
                  <w:vAlign w:val="bottom"/>
                </w:tcPr>
                <w:p>
                  <w:pPr>
                    <w:tabs>
                      <w:tab w:val="left" w:pos="0"/>
                      <w:tab w:val="left" w:pos="7140"/>
                    </w:tabs>
                    <w:rPr>
                      <w:rStyle w:val="49"/>
                      <w:sz w:val="28"/>
                      <w:szCs w:val="28"/>
                    </w:rPr>
                  </w:pPr>
                </w:p>
              </w:tc>
              <w:tc>
                <w:tcPr>
                  <w:tcW w:w="284" w:type="dxa"/>
                  <w:vAlign w:val="bottom"/>
                </w:tcPr>
                <w:p>
                  <w:pPr>
                    <w:rPr>
                      <w:rStyle w:val="49"/>
                      <w:sz w:val="28"/>
                      <w:szCs w:val="28"/>
                    </w:rPr>
                  </w:pPr>
                  <w:r>
                    <w:rPr>
                      <w:rStyle w:val="49"/>
                      <w:sz w:val="28"/>
                      <w:szCs w:val="28"/>
                    </w:rPr>
                    <w:t>日</w:t>
                  </w:r>
                </w:p>
              </w:tc>
            </w:tr>
          </w:tbl>
          <w:p>
            <w:pPr>
              <w:tabs>
                <w:tab w:val="left" w:pos="6345"/>
              </w:tabs>
              <w:spacing w:before="190" w:beforeLines="50" w:line="240" w:lineRule="auto"/>
              <w:rPr>
                <w:b/>
                <w:color w:val="000000"/>
                <w:sz w:val="32"/>
                <w:szCs w:val="32"/>
              </w:rPr>
            </w:pPr>
          </w:p>
          <w:p>
            <w:pPr>
              <w:tabs>
                <w:tab w:val="left" w:pos="6345"/>
              </w:tabs>
              <w:spacing w:before="190" w:beforeLines="50" w:line="240" w:lineRule="auto"/>
              <w:rPr>
                <w:b/>
                <w:color w:val="000000"/>
                <w:sz w:val="32"/>
                <w:szCs w:val="32"/>
              </w:rPr>
            </w:pPr>
          </w:p>
          <w:p>
            <w:pPr>
              <w:tabs>
                <w:tab w:val="left" w:pos="6345"/>
              </w:tabs>
              <w:spacing w:before="190" w:beforeLines="50" w:line="240" w:lineRule="auto"/>
              <w:rPr>
                <w:b/>
                <w:color w:val="000000"/>
                <w:sz w:val="32"/>
                <w:szCs w:val="32"/>
              </w:rPr>
            </w:pPr>
          </w:p>
          <w:p>
            <w:pPr>
              <w:spacing w:line="240" w:lineRule="auto"/>
              <w:rPr>
                <w:b/>
                <w:color w:val="000000"/>
                <w:sz w:val="32"/>
                <w:szCs w:val="32"/>
              </w:rPr>
            </w:pPr>
          </w:p>
          <w:p/>
          <w:p>
            <w:pPr>
              <w:spacing w:line="240" w:lineRule="auto"/>
              <w:jc w:val="center"/>
              <w:rPr>
                <w:rFonts w:eastAsia="黑体"/>
                <w:b/>
                <w:szCs w:val="21"/>
              </w:rPr>
            </w:pPr>
            <w:r>
              <w:rPr>
                <w:rFonts w:hint="eastAsia" w:eastAsia="黑体"/>
                <w:szCs w:val="21"/>
              </w:rPr>
              <w:t>北京创联致信科技有限公司</w:t>
            </w:r>
          </w:p>
          <w:p>
            <w:pPr>
              <w:spacing w:line="240" w:lineRule="auto"/>
              <w:jc w:val="center"/>
              <w:rPr>
                <w:rFonts w:eastAsia="黑体"/>
                <w:b/>
                <w:szCs w:val="21"/>
              </w:rPr>
            </w:pPr>
            <w:r>
              <w:rPr>
                <w:rFonts w:hint="eastAsia" w:eastAsia="黑体"/>
                <w:b/>
                <w:szCs w:val="21"/>
              </w:rPr>
              <w:t>IUFC</w:t>
            </w:r>
            <w:r>
              <w:rPr>
                <w:rFonts w:eastAsia="黑体"/>
                <w:b/>
                <w:szCs w:val="21"/>
              </w:rPr>
              <w:t xml:space="preserve"> Technology, Ltd.</w:t>
            </w:r>
          </w:p>
          <w:p>
            <w:pPr>
              <w:tabs>
                <w:tab w:val="left" w:pos="6345"/>
              </w:tabs>
              <w:spacing w:before="190" w:beforeLines="50" w:line="240" w:lineRule="auto"/>
              <w:ind w:firstLine="360" w:firstLineChars="200"/>
              <w:rPr>
                <w:sz w:val="18"/>
                <w:szCs w:val="18"/>
              </w:rPr>
            </w:pPr>
          </w:p>
        </w:tc>
      </w:tr>
    </w:tbl>
    <w:p>
      <w:pPr>
        <w:spacing w:before="190" w:beforeLines="50"/>
        <w:jc w:val="center"/>
        <w:rPr>
          <w:b/>
          <w:sz w:val="28"/>
          <w:szCs w:val="28"/>
        </w:rPr>
      </w:pPr>
      <w:r>
        <w:rPr>
          <w:b/>
          <w:sz w:val="28"/>
          <w:szCs w:val="28"/>
        </w:rPr>
        <w:t>目  录</w:t>
      </w:r>
    </w:p>
    <w:p>
      <w:pPr>
        <w:pStyle w:val="26"/>
        <w:rPr>
          <w:rFonts w:asciiTheme="minorHAnsi" w:hAnsiTheme="minorHAnsi" w:eastAsiaTheme="minorEastAsia" w:cstheme="minorBidi"/>
          <w:sz w:val="21"/>
          <w:szCs w:val="22"/>
        </w:rPr>
      </w:pPr>
      <w:r>
        <w:fldChar w:fldCharType="begin"/>
      </w:r>
      <w:r>
        <w:instrText xml:space="preserve"> TOC \o "1-1" \h \z \u </w:instrText>
      </w:r>
      <w:r>
        <w:fldChar w:fldCharType="separate"/>
      </w:r>
      <w:r>
        <w:fldChar w:fldCharType="begin"/>
      </w:r>
      <w:r>
        <w:instrText xml:space="preserve"> HYPERLINK \l "_Toc493781403" </w:instrText>
      </w:r>
      <w:r>
        <w:fldChar w:fldCharType="separate"/>
      </w:r>
      <w:r>
        <w:rPr>
          <w:rStyle w:val="40"/>
          <w:rFonts w:hint="eastAsia"/>
        </w:rPr>
        <w:t>第一章</w:t>
      </w:r>
      <w:r>
        <w:rPr>
          <w:rFonts w:asciiTheme="minorHAnsi" w:hAnsiTheme="minorHAnsi" w:eastAsiaTheme="minorEastAsia" w:cstheme="minorBidi"/>
          <w:sz w:val="21"/>
          <w:szCs w:val="22"/>
        </w:rPr>
        <w:tab/>
      </w:r>
      <w:r>
        <w:rPr>
          <w:rStyle w:val="40"/>
          <w:rFonts w:hint="eastAsia"/>
        </w:rPr>
        <w:t>合同范围</w:t>
      </w:r>
      <w:r>
        <w:tab/>
      </w:r>
      <w:r>
        <w:fldChar w:fldCharType="begin"/>
      </w:r>
      <w:r>
        <w:instrText xml:space="preserve"> PAGEREF _Toc493781403 \h </w:instrText>
      </w:r>
      <w:r>
        <w:fldChar w:fldCharType="separate"/>
      </w:r>
      <w:r>
        <w:t>1</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"_Toc493781404" </w:instrText>
      </w:r>
      <w:r>
        <w:fldChar w:fldCharType="separate"/>
      </w:r>
      <w:r>
        <w:rPr>
          <w:rStyle w:val="40"/>
          <w:rFonts w:hint="eastAsia"/>
        </w:rPr>
        <w:t>第二章</w:t>
      </w:r>
      <w:r>
        <w:rPr>
          <w:rFonts w:asciiTheme="minorHAnsi" w:hAnsiTheme="minorHAnsi" w:eastAsiaTheme="minorEastAsia" w:cstheme="minorBidi"/>
          <w:sz w:val="21"/>
          <w:szCs w:val="22"/>
        </w:rPr>
        <w:tab/>
      </w:r>
      <w:r>
        <w:rPr>
          <w:rStyle w:val="40"/>
          <w:rFonts w:hint="eastAsia"/>
        </w:rPr>
        <w:t>合同价格</w:t>
      </w:r>
      <w:r>
        <w:tab/>
      </w:r>
      <w:r>
        <w:fldChar w:fldCharType="begin"/>
      </w:r>
      <w:r>
        <w:instrText xml:space="preserve"> PAGEREF _Toc493781404 \h </w:instrText>
      </w:r>
      <w:r>
        <w:fldChar w:fldCharType="separate"/>
      </w:r>
      <w:r>
        <w:t>1</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"_Toc493781405" </w:instrText>
      </w:r>
      <w:r>
        <w:fldChar w:fldCharType="separate"/>
      </w:r>
      <w:r>
        <w:rPr>
          <w:rStyle w:val="40"/>
          <w:rFonts w:hint="eastAsia"/>
        </w:rPr>
        <w:t>第三章</w:t>
      </w:r>
      <w:r>
        <w:rPr>
          <w:rFonts w:asciiTheme="minorHAnsi" w:hAnsiTheme="minorHAnsi" w:eastAsiaTheme="minorEastAsia" w:cstheme="minorBidi"/>
          <w:sz w:val="21"/>
          <w:szCs w:val="22"/>
        </w:rPr>
        <w:tab/>
      </w:r>
      <w:r>
        <w:rPr>
          <w:rStyle w:val="40"/>
          <w:rFonts w:hint="eastAsia"/>
        </w:rPr>
        <w:t>支付条款</w:t>
      </w:r>
      <w:r>
        <w:tab/>
      </w:r>
      <w:r>
        <w:fldChar w:fldCharType="begin"/>
      </w:r>
      <w:r>
        <w:instrText xml:space="preserve"> PAGEREF _Toc493781405 \h </w:instrText>
      </w:r>
      <w:r>
        <w:fldChar w:fldCharType="separate"/>
      </w:r>
      <w:r>
        <w:t>1</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"_Toc493781406" </w:instrText>
      </w:r>
      <w:r>
        <w:fldChar w:fldCharType="separate"/>
      </w:r>
      <w:r>
        <w:rPr>
          <w:rStyle w:val="40"/>
          <w:rFonts w:hint="eastAsia"/>
        </w:rPr>
        <w:t>第四章</w:t>
      </w:r>
      <w:r>
        <w:rPr>
          <w:rFonts w:asciiTheme="minorHAnsi" w:hAnsiTheme="minorHAnsi" w:eastAsiaTheme="minorEastAsia" w:cstheme="minorBidi"/>
          <w:sz w:val="21"/>
          <w:szCs w:val="22"/>
        </w:rPr>
        <w:tab/>
      </w:r>
      <w:r>
        <w:rPr>
          <w:rStyle w:val="40"/>
          <w:rFonts w:hint="eastAsia"/>
        </w:rPr>
        <w:t>双方责任</w:t>
      </w:r>
      <w:r>
        <w:tab/>
      </w:r>
      <w:r>
        <w:fldChar w:fldCharType="begin"/>
      </w:r>
      <w:r>
        <w:instrText xml:space="preserve"> PAGEREF _Toc493781406 \h </w:instrText>
      </w:r>
      <w:r>
        <w:fldChar w:fldCharType="separate"/>
      </w:r>
      <w:r>
        <w:t>2</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"_Toc493781407" </w:instrText>
      </w:r>
      <w:r>
        <w:fldChar w:fldCharType="separate"/>
      </w:r>
      <w:r>
        <w:rPr>
          <w:rStyle w:val="40"/>
          <w:rFonts w:hint="eastAsia"/>
        </w:rPr>
        <w:t>第五章</w:t>
      </w:r>
      <w:r>
        <w:rPr>
          <w:rFonts w:asciiTheme="minorHAnsi" w:hAnsiTheme="minorHAnsi" w:eastAsiaTheme="minorEastAsia" w:cstheme="minorBidi"/>
          <w:sz w:val="21"/>
          <w:szCs w:val="22"/>
        </w:rPr>
        <w:tab/>
      </w:r>
      <w:r>
        <w:rPr>
          <w:rStyle w:val="40"/>
          <w:rFonts w:hint="eastAsia"/>
        </w:rPr>
        <w:t>交付</w:t>
      </w:r>
      <w:r>
        <w:tab/>
      </w:r>
      <w:r>
        <w:fldChar w:fldCharType="begin"/>
      </w:r>
      <w:r>
        <w:instrText xml:space="preserve"> PAGEREF _Toc493781407 \h </w:instrText>
      </w:r>
      <w:r>
        <w:fldChar w:fldCharType="separate"/>
      </w:r>
      <w:r>
        <w:t>3</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"_Toc493781408" </w:instrText>
      </w:r>
      <w:r>
        <w:fldChar w:fldCharType="separate"/>
      </w:r>
      <w:r>
        <w:rPr>
          <w:rStyle w:val="40"/>
          <w:rFonts w:hint="eastAsia"/>
        </w:rPr>
        <w:t>第六章</w:t>
      </w:r>
      <w:r>
        <w:rPr>
          <w:rFonts w:asciiTheme="minorHAnsi" w:hAnsiTheme="minorHAnsi" w:eastAsiaTheme="minorEastAsia" w:cstheme="minorBidi"/>
          <w:sz w:val="21"/>
          <w:szCs w:val="22"/>
        </w:rPr>
        <w:tab/>
      </w:r>
      <w:r>
        <w:rPr>
          <w:rStyle w:val="40"/>
          <w:rFonts w:hint="eastAsia"/>
        </w:rPr>
        <w:t>测试和验收</w:t>
      </w:r>
      <w:r>
        <w:tab/>
      </w:r>
      <w:r>
        <w:fldChar w:fldCharType="begin"/>
      </w:r>
      <w:r>
        <w:instrText xml:space="preserve"> PAGEREF _Toc493781408 \h </w:instrText>
      </w:r>
      <w:r>
        <w:fldChar w:fldCharType="separate"/>
      </w:r>
      <w:r>
        <w:t>3</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"_Toc493781409" </w:instrText>
      </w:r>
      <w:r>
        <w:fldChar w:fldCharType="separate"/>
      </w:r>
      <w:r>
        <w:rPr>
          <w:rStyle w:val="40"/>
          <w:rFonts w:hint="eastAsia"/>
        </w:rPr>
        <w:t>第七章</w:t>
      </w:r>
      <w:r>
        <w:rPr>
          <w:rFonts w:asciiTheme="minorHAnsi" w:hAnsiTheme="minorHAnsi" w:eastAsiaTheme="minorEastAsia" w:cstheme="minorBidi"/>
          <w:sz w:val="21"/>
          <w:szCs w:val="22"/>
        </w:rPr>
        <w:tab/>
      </w:r>
      <w:r>
        <w:rPr>
          <w:rStyle w:val="40"/>
          <w:rFonts w:hint="eastAsia"/>
        </w:rPr>
        <w:t>保修服务</w:t>
      </w:r>
      <w:r>
        <w:tab/>
      </w:r>
      <w:r>
        <w:fldChar w:fldCharType="begin"/>
      </w:r>
      <w:r>
        <w:instrText xml:space="preserve"> PAGEREF _Toc493781409 \h </w:instrText>
      </w:r>
      <w:r>
        <w:fldChar w:fldCharType="separate"/>
      </w:r>
      <w:r>
        <w:t>3</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"_Toc493781410" </w:instrText>
      </w:r>
      <w:r>
        <w:fldChar w:fldCharType="separate"/>
      </w:r>
      <w:r>
        <w:rPr>
          <w:rStyle w:val="40"/>
          <w:rFonts w:hint="eastAsia"/>
        </w:rPr>
        <w:t>第八章</w:t>
      </w:r>
      <w:r>
        <w:rPr>
          <w:rFonts w:asciiTheme="minorHAnsi" w:hAnsiTheme="minorHAnsi" w:eastAsiaTheme="minorEastAsia" w:cstheme="minorBidi"/>
          <w:sz w:val="21"/>
          <w:szCs w:val="22"/>
        </w:rPr>
        <w:tab/>
      </w:r>
      <w:r>
        <w:rPr>
          <w:rStyle w:val="40"/>
          <w:rFonts w:hint="eastAsia"/>
        </w:rPr>
        <w:t>培训</w:t>
      </w:r>
      <w:r>
        <w:tab/>
      </w:r>
      <w:r>
        <w:fldChar w:fldCharType="begin"/>
      </w:r>
      <w:r>
        <w:instrText xml:space="preserve"> PAGEREF _Toc493781410 \h </w:instrText>
      </w:r>
      <w:r>
        <w:fldChar w:fldCharType="separate"/>
      </w:r>
      <w:r>
        <w:t>4</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"_Toc493781411" </w:instrText>
      </w:r>
      <w:r>
        <w:fldChar w:fldCharType="separate"/>
      </w:r>
      <w:r>
        <w:rPr>
          <w:rStyle w:val="40"/>
          <w:rFonts w:hint="eastAsia"/>
        </w:rPr>
        <w:t>第九章</w:t>
      </w:r>
      <w:r>
        <w:rPr>
          <w:rFonts w:asciiTheme="minorHAnsi" w:hAnsiTheme="minorHAnsi" w:eastAsiaTheme="minorEastAsia" w:cstheme="minorBidi"/>
          <w:sz w:val="21"/>
          <w:szCs w:val="22"/>
        </w:rPr>
        <w:tab/>
      </w:r>
      <w:r>
        <w:rPr>
          <w:rStyle w:val="40"/>
          <w:rFonts w:hint="eastAsia"/>
        </w:rPr>
        <w:t>不可抗力</w:t>
      </w:r>
      <w:r>
        <w:tab/>
      </w:r>
      <w:r>
        <w:fldChar w:fldCharType="begin"/>
      </w:r>
      <w:r>
        <w:instrText xml:space="preserve"> PAGEREF _Toc493781411 \h </w:instrText>
      </w:r>
      <w:r>
        <w:fldChar w:fldCharType="separate"/>
      </w:r>
      <w:r>
        <w:t>4</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"_Toc493781412" </w:instrText>
      </w:r>
      <w:r>
        <w:fldChar w:fldCharType="separate"/>
      </w:r>
      <w:r>
        <w:rPr>
          <w:rStyle w:val="40"/>
          <w:rFonts w:hint="eastAsia"/>
        </w:rPr>
        <w:t>第十章</w:t>
      </w:r>
      <w:r>
        <w:rPr>
          <w:rFonts w:asciiTheme="minorHAnsi" w:hAnsiTheme="minorHAnsi" w:eastAsiaTheme="minorEastAsia" w:cstheme="minorBidi"/>
          <w:sz w:val="21"/>
          <w:szCs w:val="22"/>
        </w:rPr>
        <w:tab/>
      </w:r>
      <w:r>
        <w:rPr>
          <w:rStyle w:val="40"/>
          <w:rFonts w:hint="eastAsia"/>
        </w:rPr>
        <w:t>技术文件和软件</w:t>
      </w:r>
      <w:r>
        <w:tab/>
      </w:r>
      <w:r>
        <w:fldChar w:fldCharType="begin"/>
      </w:r>
      <w:r>
        <w:instrText xml:space="preserve"> PAGEREF _Toc493781412 \h </w:instrText>
      </w:r>
      <w:r>
        <w:fldChar w:fldCharType="separate"/>
      </w:r>
      <w:r>
        <w:t>5</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"_Toc493781413" </w:instrText>
      </w:r>
      <w:r>
        <w:fldChar w:fldCharType="separate"/>
      </w:r>
      <w:r>
        <w:rPr>
          <w:rStyle w:val="40"/>
          <w:rFonts w:hint="eastAsia"/>
        </w:rPr>
        <w:t>第十一章</w:t>
      </w:r>
      <w:r>
        <w:rPr>
          <w:rFonts w:asciiTheme="minorHAnsi" w:hAnsiTheme="minorHAnsi" w:eastAsiaTheme="minorEastAsia" w:cstheme="minorBidi"/>
          <w:sz w:val="21"/>
          <w:szCs w:val="22"/>
        </w:rPr>
        <w:tab/>
      </w:r>
      <w:r>
        <w:rPr>
          <w:rStyle w:val="40"/>
          <w:rFonts w:hint="eastAsia"/>
        </w:rPr>
        <w:t>保密</w:t>
      </w:r>
      <w:r>
        <w:tab/>
      </w:r>
      <w:r>
        <w:fldChar w:fldCharType="begin"/>
      </w:r>
      <w:r>
        <w:instrText xml:space="preserve"> PAGEREF _Toc493781413 \h </w:instrText>
      </w:r>
      <w:r>
        <w:fldChar w:fldCharType="separate"/>
      </w:r>
      <w:r>
        <w:t>5</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"_Toc493781414" </w:instrText>
      </w:r>
      <w:r>
        <w:fldChar w:fldCharType="separate"/>
      </w:r>
      <w:r>
        <w:rPr>
          <w:rStyle w:val="40"/>
          <w:rFonts w:hint="eastAsia"/>
        </w:rPr>
        <w:t>第十二章</w:t>
      </w:r>
      <w:r>
        <w:rPr>
          <w:rFonts w:asciiTheme="minorHAnsi" w:hAnsiTheme="minorHAnsi" w:eastAsiaTheme="minorEastAsia" w:cstheme="minorBidi"/>
          <w:sz w:val="21"/>
          <w:szCs w:val="22"/>
        </w:rPr>
        <w:tab/>
      </w:r>
      <w:r>
        <w:rPr>
          <w:rStyle w:val="40"/>
          <w:rFonts w:hint="eastAsia"/>
        </w:rPr>
        <w:t>仲裁和法律</w:t>
      </w:r>
      <w:r>
        <w:tab/>
      </w:r>
      <w:r>
        <w:fldChar w:fldCharType="begin"/>
      </w:r>
      <w:r>
        <w:instrText xml:space="preserve"> PAGEREF _Toc493781414 \h </w:instrText>
      </w:r>
      <w:r>
        <w:fldChar w:fldCharType="separate"/>
      </w:r>
      <w:r>
        <w:t>5</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"_Toc493781415" </w:instrText>
      </w:r>
      <w:r>
        <w:fldChar w:fldCharType="separate"/>
      </w:r>
      <w:r>
        <w:rPr>
          <w:rStyle w:val="40"/>
          <w:rFonts w:hint="eastAsia"/>
        </w:rPr>
        <w:t>第十三章</w:t>
      </w:r>
      <w:r>
        <w:rPr>
          <w:rFonts w:asciiTheme="minorHAnsi" w:hAnsiTheme="minorHAnsi" w:eastAsiaTheme="minorEastAsia" w:cstheme="minorBidi"/>
          <w:sz w:val="21"/>
          <w:szCs w:val="22"/>
        </w:rPr>
        <w:tab/>
      </w:r>
      <w:r>
        <w:rPr>
          <w:rStyle w:val="40"/>
          <w:rFonts w:hint="eastAsia"/>
        </w:rPr>
        <w:t>违约责任</w:t>
      </w:r>
      <w:r>
        <w:tab/>
      </w:r>
      <w:r>
        <w:fldChar w:fldCharType="begin"/>
      </w:r>
      <w:r>
        <w:instrText xml:space="preserve"> PAGEREF _Toc493781415 \h </w:instrText>
      </w:r>
      <w:r>
        <w:fldChar w:fldCharType="separate"/>
      </w:r>
      <w:r>
        <w:t>6</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"_Toc493781416" </w:instrText>
      </w:r>
      <w:r>
        <w:fldChar w:fldCharType="separate"/>
      </w:r>
      <w:r>
        <w:rPr>
          <w:rStyle w:val="40"/>
          <w:rFonts w:hint="eastAsia"/>
        </w:rPr>
        <w:t>第十四章</w:t>
      </w:r>
      <w:r>
        <w:rPr>
          <w:rFonts w:asciiTheme="minorHAnsi" w:hAnsiTheme="minorHAnsi" w:eastAsiaTheme="minorEastAsia" w:cstheme="minorBidi"/>
          <w:sz w:val="21"/>
          <w:szCs w:val="22"/>
        </w:rPr>
        <w:tab/>
      </w:r>
      <w:r>
        <w:rPr>
          <w:rStyle w:val="40"/>
          <w:rFonts w:hint="eastAsia"/>
        </w:rPr>
        <w:t>其它</w:t>
      </w:r>
      <w:r>
        <w:tab/>
      </w:r>
      <w:r>
        <w:fldChar w:fldCharType="begin"/>
      </w:r>
      <w:r>
        <w:instrText xml:space="preserve"> PAGEREF _Toc493781416 \h </w:instrText>
      </w:r>
      <w:r>
        <w:fldChar w:fldCharType="separate"/>
      </w:r>
      <w:r>
        <w:t>6</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"_Toc493781417" </w:instrText>
      </w:r>
      <w:r>
        <w:fldChar w:fldCharType="separate"/>
      </w:r>
      <w:r>
        <w:rPr>
          <w:rStyle w:val="40"/>
          <w:rFonts w:hint="eastAsia"/>
        </w:rPr>
        <w:t>第十五章</w:t>
      </w:r>
      <w:r>
        <w:rPr>
          <w:rFonts w:asciiTheme="minorHAnsi" w:hAnsiTheme="minorHAnsi" w:eastAsiaTheme="minorEastAsia" w:cstheme="minorBidi"/>
          <w:sz w:val="21"/>
          <w:szCs w:val="22"/>
        </w:rPr>
        <w:tab/>
      </w:r>
      <w:r>
        <w:rPr>
          <w:rStyle w:val="40"/>
          <w:rFonts w:hint="eastAsia"/>
        </w:rPr>
        <w:t>签字页</w:t>
      </w:r>
      <w:r>
        <w:tab/>
      </w:r>
      <w:r>
        <w:fldChar w:fldCharType="begin"/>
      </w:r>
      <w:r>
        <w:instrText xml:space="preserve"> PAGEREF _Toc493781417 \h </w:instrText>
      </w:r>
      <w:r>
        <w:fldChar w:fldCharType="separate"/>
      </w:r>
      <w:r>
        <w:t>7</w:t>
      </w:r>
      <w:r>
        <w:fldChar w:fldCharType="end"/>
      </w:r>
      <w:r>
        <w:fldChar w:fldCharType="end"/>
      </w:r>
    </w:p>
    <w:p>
      <w:pPr>
        <w:pStyle w:val="26"/>
      </w:pPr>
      <w:r>
        <w:fldChar w:fldCharType="end"/>
      </w:r>
    </w:p>
    <w:p>
      <w:pPr>
        <w:sectPr>
          <w:headerReference r:id="rId4" w:type="first"/>
          <w:footerReference r:id="rId5" w:type="first"/>
          <w:headerReference r:id="rId3" w:type="default"/>
          <w:pgSz w:w="11907" w:h="16840"/>
          <w:pgMar w:top="1418" w:right="1418" w:bottom="1418" w:left="1418" w:header="850" w:footer="567" w:gutter="284"/>
          <w:pgNumType w:start="1"/>
          <w:cols w:space="425" w:num="1"/>
          <w:titlePg/>
          <w:docGrid w:type="lines" w:linePitch="380" w:charSpace="10445"/>
        </w:sectPr>
      </w:pPr>
    </w:p>
    <w:p>
      <w:pPr>
        <w:pStyle w:val="26"/>
        <w:ind w:firstLine="480" w:firstLineChars="200"/>
      </w:pPr>
      <w:r>
        <w:t>根据《中华人民共和国合同法》的有关规定，为明确甲乙双方的权利和义务，经友好协商，共同签订本合同。</w:t>
      </w:r>
    </w:p>
    <w:p/>
    <w:p>
      <w:pPr>
        <w:pStyle w:val="50"/>
        <w:spacing w:after="190"/>
      </w:pPr>
      <w:bookmarkStart w:id="0" w:name="_Toc40684930"/>
      <w:bookmarkStart w:id="1" w:name="_Toc40334336"/>
      <w:bookmarkStart w:id="2" w:name="_Toc69897962"/>
      <w:bookmarkStart w:id="3" w:name="_Toc70418447"/>
      <w:bookmarkStart w:id="4" w:name="_Toc40334781"/>
      <w:bookmarkStart w:id="5" w:name="_Toc493781403"/>
      <w:bookmarkStart w:id="6" w:name="_Toc40687195"/>
      <w:bookmarkStart w:id="7" w:name="_Toc69885719"/>
      <w:bookmarkStart w:id="8" w:name="_Toc40334382"/>
      <w:bookmarkStart w:id="9" w:name="_Toc344666615"/>
      <w:bookmarkStart w:id="10" w:name="_Toc479852603"/>
      <w:r>
        <w:t>合同范围</w:t>
      </w:r>
      <w:bookmarkEnd w:id="0"/>
      <w:bookmarkEnd w:id="1"/>
      <w:bookmarkEnd w:id="2"/>
      <w:bookmarkEnd w:id="3"/>
      <w:bookmarkEnd w:id="4"/>
      <w:bookmarkEnd w:id="5"/>
      <w:bookmarkEnd w:id="6"/>
      <w:bookmarkEnd w:id="7"/>
      <w:bookmarkEnd w:id="8"/>
      <w:bookmarkEnd w:id="9"/>
      <w:bookmarkEnd w:id="10"/>
    </w:p>
    <w:p>
      <w:pPr>
        <w:numPr>
          <w:ilvl w:val="1"/>
          <w:numId w:val="4"/>
        </w:numPr>
        <w:tabs>
          <w:tab w:val="left" w:pos="567"/>
          <w:tab w:val="clear" w:pos="1035"/>
        </w:tabs>
        <w:ind w:left="567" w:hanging="567"/>
        <w:rPr>
          <w:snapToGrid w:val="0"/>
          <w:kern w:val="0"/>
          <w:sz w:val="24"/>
        </w:rPr>
      </w:pPr>
      <w:r>
        <w:rPr>
          <w:snapToGrid w:val="0"/>
          <w:kern w:val="0"/>
          <w:sz w:val="24"/>
        </w:rPr>
        <w:t>经甲乙双方协商同意</w:t>
      </w:r>
      <w:r>
        <w:t>，</w:t>
      </w:r>
      <w:r>
        <w:rPr>
          <w:snapToGrid w:val="0"/>
          <w:kern w:val="0"/>
          <w:sz w:val="24"/>
        </w:rPr>
        <w:t>甲方向乙方购买</w:t>
      </w:r>
      <w:r>
        <w:rPr>
          <w:rFonts w:hint="eastAsia"/>
          <w:snapToGrid w:val="0"/>
          <w:kern w:val="0"/>
          <w:sz w:val="24"/>
          <w:u w:val="single"/>
          <w:lang w:val="en-US" w:eastAsia="zh-CN"/>
        </w:rPr>
        <w:t>自动化监控平台[简称：ITiMe-Insight] V5.0</w:t>
      </w:r>
      <w:r>
        <w:rPr>
          <w:snapToGrid w:val="0"/>
          <w:kern w:val="0"/>
          <w:sz w:val="24"/>
        </w:rPr>
        <w:t>。具体</w:t>
      </w:r>
      <w:r>
        <w:rPr>
          <w:rFonts w:hint="eastAsia"/>
          <w:snapToGrid w:val="0"/>
          <w:kern w:val="0"/>
          <w:sz w:val="24"/>
        </w:rPr>
        <w:t>产品模块、配置</w:t>
      </w:r>
      <w:r>
        <w:rPr>
          <w:snapToGrid w:val="0"/>
          <w:kern w:val="0"/>
          <w:sz w:val="24"/>
        </w:rPr>
        <w:t>内容</w:t>
      </w:r>
      <w:r>
        <w:rPr>
          <w:rFonts w:hint="eastAsia"/>
          <w:snapToGrid w:val="0"/>
          <w:kern w:val="0"/>
          <w:sz w:val="24"/>
        </w:rPr>
        <w:t>参见</w:t>
      </w:r>
      <w:r>
        <w:rPr>
          <w:snapToGrid w:val="0"/>
          <w:kern w:val="0"/>
          <w:sz w:val="24"/>
        </w:rPr>
        <w:t>：</w:t>
      </w:r>
    </w:p>
    <w:p>
      <w:pPr>
        <w:ind w:left="567"/>
        <w:rPr>
          <w:snapToGrid w:val="0"/>
          <w:kern w:val="0"/>
          <w:sz w:val="24"/>
        </w:rPr>
      </w:pPr>
    </w:p>
    <w:p>
      <w:pPr>
        <w:pStyle w:val="46"/>
        <w:numPr>
          <w:ilvl w:val="0"/>
          <w:numId w:val="5"/>
        </w:numPr>
      </w:pPr>
      <w:r>
        <w:t>产品配置及报价清单详见《</w:t>
      </w:r>
      <w:r>
        <w:rPr>
          <w:rFonts w:hint="eastAsia"/>
        </w:rPr>
        <w:t>附件一：配置&amp;报价表.xls</w:t>
      </w:r>
      <w:r>
        <w:t>》</w:t>
      </w:r>
    </w:p>
    <w:p>
      <w:pPr>
        <w:pStyle w:val="46"/>
        <w:numPr>
          <w:ilvl w:val="0"/>
          <w:numId w:val="0"/>
        </w:numPr>
        <w:ind w:left="964"/>
      </w:pPr>
    </w:p>
    <w:p>
      <w:pPr>
        <w:numPr>
          <w:ilvl w:val="1"/>
          <w:numId w:val="4"/>
        </w:numPr>
        <w:tabs>
          <w:tab w:val="left" w:pos="567"/>
          <w:tab w:val="clear" w:pos="1035"/>
        </w:tabs>
        <w:ind w:left="567" w:hanging="567"/>
        <w:rPr>
          <w:snapToGrid w:val="0"/>
          <w:kern w:val="0"/>
          <w:sz w:val="24"/>
        </w:rPr>
      </w:pPr>
      <w:r>
        <w:rPr>
          <w:snapToGrid w:val="0"/>
          <w:kern w:val="0"/>
          <w:sz w:val="24"/>
        </w:rPr>
        <w:t>乙方向甲方提供软件产品的安装、调试、培训等服务。</w:t>
      </w:r>
    </w:p>
    <w:p>
      <w:pPr>
        <w:ind w:left="567"/>
        <w:rPr>
          <w:snapToGrid w:val="0"/>
          <w:kern w:val="0"/>
          <w:sz w:val="24"/>
        </w:rPr>
      </w:pPr>
    </w:p>
    <w:p>
      <w:pPr>
        <w:pStyle w:val="50"/>
        <w:spacing w:after="190"/>
      </w:pPr>
      <w:bookmarkStart w:id="11" w:name="_Toc70418448"/>
      <w:bookmarkStart w:id="12" w:name="_Toc69897963"/>
      <w:bookmarkStart w:id="13" w:name="_Toc69885720"/>
      <w:bookmarkStart w:id="14" w:name="_Toc40334782"/>
      <w:bookmarkStart w:id="15" w:name="_Toc344666616"/>
      <w:bookmarkStart w:id="16" w:name="_Toc493781404"/>
      <w:bookmarkStart w:id="17" w:name="_Toc40684931"/>
      <w:bookmarkStart w:id="18" w:name="_Toc479852604"/>
      <w:bookmarkStart w:id="19" w:name="_Toc40687196"/>
      <w:bookmarkStart w:id="20" w:name="_Toc40334383"/>
      <w:r>
        <w:t>合同价格</w:t>
      </w:r>
      <w:bookmarkEnd w:id="11"/>
      <w:bookmarkEnd w:id="12"/>
      <w:bookmarkEnd w:id="13"/>
      <w:bookmarkEnd w:id="14"/>
      <w:bookmarkEnd w:id="15"/>
      <w:bookmarkEnd w:id="16"/>
      <w:bookmarkEnd w:id="17"/>
      <w:bookmarkEnd w:id="18"/>
      <w:bookmarkEnd w:id="19"/>
      <w:bookmarkEnd w:id="20"/>
    </w:p>
    <w:p>
      <w:pPr>
        <w:pStyle w:val="47"/>
        <w:numPr>
          <w:ilvl w:val="0"/>
          <w:numId w:val="4"/>
        </w:numPr>
        <w:ind w:firstLineChars="0"/>
        <w:rPr>
          <w:rFonts w:eastAsia="楷体_GB2312"/>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合同总金额为人民币￥</w:t>
      </w:r>
      <w:r>
        <w:rPr>
          <w:snapToGrid w:val="0"/>
          <w:kern w:val="0"/>
          <w:sz w:val="24"/>
          <w:u w:val="single"/>
        </w:rPr>
        <w:t xml:space="preserve"> </w:t>
      </w:r>
      <w:r>
        <w:rPr>
          <w:rFonts w:hint="eastAsia"/>
          <w:snapToGrid w:val="0"/>
          <w:kern w:val="0"/>
          <w:sz w:val="24"/>
          <w:u w:val="single"/>
          <w:lang w:val="en-US" w:eastAsia="zh-CN"/>
        </w:rPr>
        <w:t>60,000.00</w:t>
      </w:r>
      <w:r>
        <w:rPr>
          <w:snapToGrid w:val="0"/>
          <w:kern w:val="0"/>
          <w:sz w:val="24"/>
          <w:u w:val="single"/>
        </w:rPr>
        <w:t xml:space="preserve"> </w:t>
      </w:r>
      <w:r>
        <w:rPr>
          <w:snapToGrid w:val="0"/>
          <w:kern w:val="0"/>
          <w:sz w:val="24"/>
        </w:rPr>
        <w:t>元（人民币大写：</w:t>
      </w:r>
      <w:r>
        <w:rPr>
          <w:rFonts w:hint="eastAsia"/>
          <w:snapToGrid w:val="0"/>
          <w:kern w:val="0"/>
          <w:sz w:val="24"/>
          <w:u w:val="single"/>
        </w:rPr>
        <w:t xml:space="preserve"> </w:t>
      </w:r>
      <w:r>
        <w:rPr>
          <w:rFonts w:hint="eastAsia"/>
          <w:snapToGrid w:val="0"/>
          <w:kern w:val="0"/>
          <w:sz w:val="24"/>
          <w:u w:val="single"/>
          <w:lang w:val="en-US" w:eastAsia="zh-CN"/>
        </w:rPr>
        <w:t>陆万</w:t>
      </w:r>
      <w:r>
        <w:rPr>
          <w:rFonts w:hint="eastAsia"/>
          <w:snapToGrid w:val="0"/>
          <w:kern w:val="0"/>
          <w:sz w:val="24"/>
          <w:u w:val="single"/>
        </w:rPr>
        <w:t xml:space="preserve">  </w:t>
      </w:r>
      <w:r>
        <w:rPr>
          <w:snapToGrid w:val="0"/>
          <w:kern w:val="0"/>
          <w:sz w:val="24"/>
        </w:rPr>
        <w:t>元整）。</w:t>
      </w:r>
    </w:p>
    <w:p>
      <w:pPr>
        <w:ind w:left="567"/>
        <w:rPr>
          <w:snapToGrid w:val="0"/>
          <w:kern w:val="0"/>
          <w:sz w:val="24"/>
        </w:rPr>
      </w:pPr>
    </w:p>
    <w:p>
      <w:pPr>
        <w:pStyle w:val="50"/>
        <w:spacing w:after="190"/>
      </w:pPr>
      <w:bookmarkStart w:id="21" w:name="_Toc493781405"/>
      <w:bookmarkStart w:id="22" w:name="_Toc40334783"/>
      <w:bookmarkStart w:id="23" w:name="_Toc70418449"/>
      <w:bookmarkStart w:id="24" w:name="_Toc69885721"/>
      <w:bookmarkStart w:id="25" w:name="_Toc479852605"/>
      <w:bookmarkStart w:id="26" w:name="_Toc40687197"/>
      <w:bookmarkStart w:id="27" w:name="_Toc344666617"/>
      <w:bookmarkStart w:id="28" w:name="_Toc40684932"/>
      <w:bookmarkStart w:id="29" w:name="_Toc69897964"/>
      <w:r>
        <w:t>支付条款</w:t>
      </w:r>
      <w:bookmarkEnd w:id="21"/>
      <w:bookmarkEnd w:id="22"/>
      <w:bookmarkEnd w:id="23"/>
      <w:bookmarkEnd w:id="24"/>
      <w:bookmarkEnd w:id="25"/>
      <w:bookmarkEnd w:id="26"/>
      <w:bookmarkEnd w:id="27"/>
      <w:bookmarkEnd w:id="28"/>
      <w:bookmarkEnd w:id="29"/>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本合同签订生效之日</w:t>
      </w:r>
      <w:r>
        <w:rPr>
          <w:snapToGrid w:val="0"/>
          <w:color w:val="000000"/>
          <w:kern w:val="0"/>
          <w:sz w:val="24"/>
        </w:rPr>
        <w:t>10</w:t>
      </w:r>
      <w:r>
        <w:rPr>
          <w:snapToGrid w:val="0"/>
          <w:kern w:val="0"/>
          <w:sz w:val="24"/>
        </w:rPr>
        <w:t>个工作日内，甲方向乙方支付第一期合同款，金额为合同总额的</w:t>
      </w:r>
      <w:r>
        <w:rPr>
          <w:rFonts w:hint="eastAsia"/>
          <w:snapToGrid w:val="0"/>
          <w:color w:val="000000"/>
          <w:kern w:val="0"/>
          <w:sz w:val="24"/>
          <w:lang w:val="en-US" w:eastAsia="zh-CN"/>
        </w:rPr>
        <w:t>5</w:t>
      </w:r>
      <w:r>
        <w:rPr>
          <w:snapToGrid w:val="0"/>
          <w:color w:val="000000"/>
          <w:kern w:val="0"/>
          <w:sz w:val="24"/>
        </w:rPr>
        <w:t>0%</w:t>
      </w:r>
      <w:r>
        <w:rPr>
          <w:rFonts w:hint="eastAsia"/>
          <w:snapToGrid w:val="0"/>
          <w:color w:val="000000"/>
          <w:kern w:val="0"/>
          <w:sz w:val="24"/>
        </w:rPr>
        <w:t>，共计</w:t>
      </w:r>
      <w:r>
        <w:rPr>
          <w:snapToGrid w:val="0"/>
          <w:kern w:val="0"/>
          <w:sz w:val="24"/>
        </w:rPr>
        <w:t>人民币￥</w:t>
      </w:r>
      <w:r>
        <w:rPr>
          <w:rFonts w:hint="eastAsia"/>
          <w:snapToGrid w:val="0"/>
          <w:kern w:val="0"/>
          <w:sz w:val="24"/>
          <w:u w:val="single"/>
        </w:rPr>
        <w:t xml:space="preserve"> </w:t>
      </w:r>
      <w:r>
        <w:rPr>
          <w:rFonts w:hint="eastAsia"/>
          <w:snapToGrid w:val="0"/>
          <w:kern w:val="0"/>
          <w:sz w:val="24"/>
          <w:u w:val="single"/>
          <w:lang w:val="en-US" w:eastAsia="zh-CN"/>
        </w:rPr>
        <w:t>30,000.00</w:t>
      </w:r>
      <w:r>
        <w:rPr>
          <w:rFonts w:hint="eastAsia"/>
          <w:snapToGrid w:val="0"/>
          <w:kern w:val="0"/>
          <w:sz w:val="24"/>
          <w:u w:val="single"/>
        </w:rPr>
        <w:t xml:space="preserve"> </w:t>
      </w:r>
      <w:r>
        <w:rPr>
          <w:snapToGrid w:val="0"/>
          <w:kern w:val="0"/>
          <w:sz w:val="24"/>
        </w:rPr>
        <w:t>元（人民币大写：</w:t>
      </w:r>
      <w:r>
        <w:rPr>
          <w:rFonts w:hint="eastAsia"/>
          <w:snapToGrid w:val="0"/>
          <w:kern w:val="0"/>
          <w:sz w:val="24"/>
          <w:u w:val="single"/>
        </w:rPr>
        <w:t xml:space="preserve"> </w:t>
      </w:r>
      <w:r>
        <w:rPr>
          <w:rFonts w:hint="eastAsia"/>
          <w:snapToGrid w:val="0"/>
          <w:kern w:val="0"/>
          <w:sz w:val="24"/>
          <w:u w:val="single"/>
          <w:lang w:val="en-US" w:eastAsia="zh-CN"/>
        </w:rPr>
        <w:t>叁万</w:t>
      </w:r>
      <w:r>
        <w:rPr>
          <w:rFonts w:hint="eastAsia"/>
          <w:snapToGrid w:val="0"/>
          <w:kern w:val="0"/>
          <w:sz w:val="24"/>
          <w:u w:val="single"/>
        </w:rPr>
        <w:t xml:space="preserve"> </w:t>
      </w:r>
      <w:r>
        <w:rPr>
          <w:snapToGrid w:val="0"/>
          <w:kern w:val="0"/>
          <w:sz w:val="24"/>
        </w:rPr>
        <w:t>元整）。</w:t>
      </w:r>
      <w:r>
        <w:rPr>
          <w:rFonts w:hint="eastAsia"/>
          <w:snapToGrid w:val="0"/>
          <w:kern w:val="0"/>
          <w:sz w:val="24"/>
        </w:rPr>
        <w:t>收到款项</w:t>
      </w:r>
      <w:r>
        <w:rPr>
          <w:snapToGrid w:val="0"/>
          <w:kern w:val="0"/>
          <w:sz w:val="24"/>
        </w:rPr>
        <w:t>后</w:t>
      </w:r>
      <w:r>
        <w:rPr>
          <w:snapToGrid w:val="0"/>
          <w:color w:val="000000"/>
          <w:kern w:val="0"/>
          <w:sz w:val="24"/>
        </w:rPr>
        <w:t>5</w:t>
      </w:r>
      <w:r>
        <w:rPr>
          <w:snapToGrid w:val="0"/>
          <w:kern w:val="0"/>
          <w:sz w:val="24"/>
        </w:rPr>
        <w:t>个工作日内，乙方到达现场并完成安装调试工作，</w:t>
      </w:r>
      <w:r>
        <w:rPr>
          <w:rFonts w:hint="eastAsia"/>
          <w:snapToGrid w:val="0"/>
          <w:kern w:val="0"/>
          <w:sz w:val="24"/>
        </w:rPr>
        <w:t>安装调试。</w:t>
      </w:r>
    </w:p>
    <w:p>
      <w:pPr>
        <w:numPr>
          <w:ilvl w:val="1"/>
          <w:numId w:val="4"/>
        </w:numPr>
        <w:tabs>
          <w:tab w:val="left" w:pos="567"/>
          <w:tab w:val="clear" w:pos="1035"/>
        </w:tabs>
        <w:ind w:left="567" w:hanging="567"/>
        <w:rPr>
          <w:snapToGrid w:val="0"/>
          <w:kern w:val="0"/>
          <w:sz w:val="24"/>
        </w:rPr>
      </w:pPr>
      <w:r>
        <w:rPr>
          <w:snapToGrid w:val="0"/>
          <w:kern w:val="0"/>
          <w:sz w:val="24"/>
        </w:rPr>
        <w:t>安装调试完毕后</w:t>
      </w:r>
      <w:r>
        <w:rPr>
          <w:rFonts w:hint="eastAsia"/>
          <w:snapToGrid w:val="0"/>
          <w:kern w:val="0"/>
          <w:sz w:val="24"/>
        </w:rPr>
        <w:t>，</w:t>
      </w:r>
      <w:r>
        <w:rPr>
          <w:snapToGrid w:val="0"/>
          <w:kern w:val="0"/>
          <w:sz w:val="24"/>
        </w:rPr>
        <w:t>甲方组织对系统全部功能进行验收测试，经甲方签署由乙方提交的《验收报告》后</w:t>
      </w:r>
      <w:r>
        <w:rPr>
          <w:snapToGrid w:val="0"/>
          <w:color w:val="000000"/>
          <w:kern w:val="0"/>
          <w:sz w:val="24"/>
        </w:rPr>
        <w:t>10</w:t>
      </w:r>
      <w:r>
        <w:rPr>
          <w:snapToGrid w:val="0"/>
          <w:kern w:val="0"/>
          <w:sz w:val="24"/>
        </w:rPr>
        <w:t>个工作日内，甲方向乙方支付第二期合同款，金额为合同总额的</w:t>
      </w:r>
      <w:r>
        <w:rPr>
          <w:rFonts w:hint="eastAsia"/>
          <w:snapToGrid w:val="0"/>
          <w:color w:val="000000"/>
          <w:kern w:val="0"/>
          <w:sz w:val="24"/>
          <w:lang w:val="en-US" w:eastAsia="zh-CN"/>
        </w:rPr>
        <w:t>50</w:t>
      </w:r>
      <w:r>
        <w:rPr>
          <w:snapToGrid w:val="0"/>
          <w:color w:val="000000"/>
          <w:kern w:val="0"/>
          <w:sz w:val="24"/>
        </w:rPr>
        <w:t>%</w:t>
      </w:r>
      <w:r>
        <w:rPr>
          <w:snapToGrid w:val="0"/>
          <w:kern w:val="0"/>
          <w:sz w:val="24"/>
        </w:rPr>
        <w:t>，共计人民币￥</w:t>
      </w:r>
      <w:r>
        <w:rPr>
          <w:rFonts w:hint="eastAsia"/>
          <w:snapToGrid w:val="0"/>
          <w:kern w:val="0"/>
          <w:sz w:val="24"/>
          <w:u w:val="single"/>
        </w:rPr>
        <w:t xml:space="preserve"> </w:t>
      </w:r>
      <w:r>
        <w:rPr>
          <w:rFonts w:hint="eastAsia"/>
          <w:snapToGrid w:val="0"/>
          <w:kern w:val="0"/>
          <w:sz w:val="24"/>
          <w:u w:val="single"/>
          <w:lang w:val="en-US" w:eastAsia="zh-CN"/>
        </w:rPr>
        <w:t>30,000.00</w:t>
      </w:r>
      <w:r>
        <w:rPr>
          <w:rFonts w:hint="eastAsia"/>
          <w:snapToGrid w:val="0"/>
          <w:kern w:val="0"/>
          <w:sz w:val="24"/>
          <w:u w:val="single"/>
        </w:rPr>
        <w:t xml:space="preserve">      </w:t>
      </w:r>
      <w:r>
        <w:rPr>
          <w:snapToGrid w:val="0"/>
          <w:kern w:val="0"/>
          <w:sz w:val="24"/>
        </w:rPr>
        <w:t>元（人民币大写：</w:t>
      </w:r>
      <w:r>
        <w:rPr>
          <w:rFonts w:hint="eastAsia"/>
          <w:snapToGrid w:val="0"/>
          <w:kern w:val="0"/>
          <w:sz w:val="24"/>
          <w:u w:val="single"/>
        </w:rPr>
        <w:t xml:space="preserve"> </w:t>
      </w:r>
      <w:r>
        <w:rPr>
          <w:rFonts w:hint="eastAsia"/>
          <w:snapToGrid w:val="0"/>
          <w:kern w:val="0"/>
          <w:sz w:val="24"/>
          <w:u w:val="single"/>
          <w:lang w:val="en-US" w:eastAsia="zh-CN"/>
        </w:rPr>
        <w:t>叁万</w:t>
      </w:r>
      <w:r>
        <w:rPr>
          <w:rFonts w:hint="eastAsia"/>
          <w:snapToGrid w:val="0"/>
          <w:kern w:val="0"/>
          <w:sz w:val="24"/>
          <w:u w:val="single"/>
        </w:rPr>
        <w:t xml:space="preserve"> </w:t>
      </w:r>
      <w:r>
        <w:rPr>
          <w:snapToGrid w:val="0"/>
          <w:kern w:val="0"/>
          <w:sz w:val="24"/>
        </w:rPr>
        <w:t>元整）。</w:t>
      </w:r>
    </w:p>
    <w:p>
      <w:pPr>
        <w:numPr>
          <w:ilvl w:val="1"/>
          <w:numId w:val="4"/>
        </w:numPr>
        <w:tabs>
          <w:tab w:val="left" w:pos="567"/>
          <w:tab w:val="clear" w:pos="1035"/>
        </w:tabs>
        <w:ind w:left="567" w:hanging="567"/>
        <w:rPr>
          <w:snapToGrid w:val="0"/>
          <w:kern w:val="0"/>
          <w:sz w:val="24"/>
        </w:rPr>
      </w:pPr>
      <w:r>
        <w:rPr>
          <w:snapToGrid w:val="0"/>
          <w:kern w:val="0"/>
          <w:sz w:val="24"/>
        </w:rPr>
        <w:t>发票给付：乙方收到</w:t>
      </w:r>
      <w:r>
        <w:rPr>
          <w:rFonts w:hint="eastAsia"/>
          <w:snapToGrid w:val="0"/>
          <w:kern w:val="0"/>
          <w:sz w:val="24"/>
        </w:rPr>
        <w:t>每笔</w:t>
      </w:r>
      <w:r>
        <w:rPr>
          <w:snapToGrid w:val="0"/>
          <w:kern w:val="0"/>
          <w:sz w:val="24"/>
        </w:rPr>
        <w:t>合同全款后五日内提供</w:t>
      </w:r>
      <w:r>
        <w:rPr>
          <w:rFonts w:hint="eastAsia"/>
          <w:snapToGrid w:val="0"/>
          <w:kern w:val="0"/>
          <w:sz w:val="24"/>
        </w:rPr>
        <w:t>增值税专用</w:t>
      </w:r>
      <w:r>
        <w:rPr>
          <w:snapToGrid w:val="0"/>
          <w:kern w:val="0"/>
          <w:sz w:val="24"/>
        </w:rPr>
        <w:t>发票</w:t>
      </w:r>
      <w:r>
        <w:rPr>
          <w:rFonts w:hint="eastAsia"/>
          <w:snapToGrid w:val="0"/>
          <w:kern w:val="0"/>
          <w:sz w:val="24"/>
        </w:rPr>
        <w:t>，开票</w:t>
      </w:r>
      <w:r>
        <w:rPr>
          <w:rFonts w:hint="eastAsia"/>
          <w:snapToGrid w:val="0"/>
          <w:kern w:val="0"/>
          <w:sz w:val="24"/>
          <w:lang w:val="en-US" w:eastAsia="zh-CN"/>
        </w:rPr>
        <w:t>内容自动化监控平台[简称：ITiMe-Insight] V5.0。</w:t>
      </w:r>
    </w:p>
    <w:p>
      <w:pPr>
        <w:widowControl/>
        <w:adjustRightInd/>
        <w:snapToGrid/>
        <w:spacing w:line="240" w:lineRule="auto"/>
        <w:jc w:val="left"/>
        <w:rPr>
          <w:snapToGrid w:val="0"/>
          <w:kern w:val="0"/>
          <w:sz w:val="24"/>
        </w:rPr>
      </w:pPr>
      <w:r>
        <w:rPr>
          <w:snapToGrid w:val="0"/>
          <w:kern w:val="0"/>
          <w:sz w:val="24"/>
        </w:rPr>
        <w:br w:type="page"/>
      </w:r>
    </w:p>
    <w:p>
      <w:pPr>
        <w:rPr>
          <w:snapToGrid w:val="0"/>
          <w:kern w:val="0"/>
          <w:sz w:val="24"/>
        </w:rPr>
      </w:pPr>
    </w:p>
    <w:p>
      <w:pPr>
        <w:pStyle w:val="50"/>
        <w:spacing w:after="190"/>
        <w:rPr>
          <w:sz w:val="24"/>
        </w:rPr>
      </w:pPr>
      <w:bookmarkStart w:id="30" w:name="_Toc118017176"/>
      <w:bookmarkStart w:id="31" w:name="_Toc344666618"/>
      <w:bookmarkStart w:id="32" w:name="_Toc136942260"/>
      <w:bookmarkStart w:id="33" w:name="_Toc493781406"/>
      <w:bookmarkStart w:id="34" w:name="_Toc127180521"/>
      <w:bookmarkStart w:id="35" w:name="_Toc69897965"/>
      <w:bookmarkStart w:id="36" w:name="_Toc40687198"/>
      <w:bookmarkStart w:id="37" w:name="_Toc40334784"/>
      <w:bookmarkStart w:id="38" w:name="_Toc70418450"/>
      <w:bookmarkStart w:id="39" w:name="_Toc479852606"/>
      <w:bookmarkStart w:id="40" w:name="_Toc69885722"/>
      <w:bookmarkStart w:id="41" w:name="_Toc40684933"/>
      <w:r>
        <w:t>双方</w:t>
      </w:r>
      <w:bookmarkEnd w:id="30"/>
      <w:r>
        <w:t>责任</w:t>
      </w:r>
      <w:bookmarkEnd w:id="31"/>
      <w:bookmarkEnd w:id="32"/>
      <w:bookmarkEnd w:id="33"/>
      <w:bookmarkEnd w:id="34"/>
    </w:p>
    <w:p>
      <w:pPr>
        <w:pStyle w:val="47"/>
        <w:numPr>
          <w:ilvl w:val="0"/>
          <w:numId w:val="4"/>
        </w:numPr>
        <w:ind w:firstLineChars="0"/>
        <w:rPr>
          <w:snapToGrid w:val="0"/>
          <w:vanish/>
          <w:kern w:val="0"/>
          <w:sz w:val="24"/>
        </w:rPr>
      </w:pPr>
    </w:p>
    <w:p>
      <w:pPr>
        <w:numPr>
          <w:ilvl w:val="1"/>
          <w:numId w:val="6"/>
        </w:numPr>
        <w:rPr>
          <w:b/>
          <w:snapToGrid w:val="0"/>
          <w:kern w:val="0"/>
          <w:sz w:val="24"/>
        </w:rPr>
      </w:pPr>
      <w:r>
        <w:rPr>
          <w:b/>
          <w:snapToGrid w:val="0"/>
          <w:kern w:val="0"/>
          <w:sz w:val="24"/>
        </w:rPr>
        <w:t>甲方责任：</w:t>
      </w:r>
    </w:p>
    <w:p>
      <w:pPr>
        <w:numPr>
          <w:ilvl w:val="2"/>
          <w:numId w:val="6"/>
        </w:numPr>
        <w:tabs>
          <w:tab w:val="clear" w:pos="964"/>
        </w:tabs>
        <w:adjustRightInd/>
        <w:snapToGrid/>
        <w:spacing w:line="500" w:lineRule="atLeast"/>
        <w:ind w:left="210" w:leftChars="100"/>
        <w:rPr>
          <w:snapToGrid w:val="0"/>
          <w:kern w:val="0"/>
          <w:sz w:val="24"/>
        </w:rPr>
      </w:pPr>
      <w:r>
        <w:rPr>
          <w:snapToGrid w:val="0"/>
          <w:kern w:val="0"/>
          <w:sz w:val="24"/>
        </w:rPr>
        <w:t>甲方负责组建“工程协调小组”，指定该项目负责人和业务软件开发负责人，指挥、配合、监督项目的顺利实施。</w:t>
      </w:r>
    </w:p>
    <w:p>
      <w:pPr>
        <w:numPr>
          <w:ilvl w:val="2"/>
          <w:numId w:val="6"/>
        </w:numPr>
        <w:tabs>
          <w:tab w:val="clear" w:pos="964"/>
        </w:tabs>
        <w:adjustRightInd/>
        <w:snapToGrid/>
        <w:spacing w:line="500" w:lineRule="atLeast"/>
        <w:ind w:left="210" w:leftChars="100"/>
        <w:rPr>
          <w:snapToGrid w:val="0"/>
          <w:kern w:val="0"/>
          <w:sz w:val="24"/>
        </w:rPr>
      </w:pPr>
      <w:r>
        <w:rPr>
          <w:snapToGrid w:val="0"/>
          <w:kern w:val="0"/>
          <w:sz w:val="24"/>
        </w:rPr>
        <w:t>甲方负责按合同规定付款。</w:t>
      </w:r>
    </w:p>
    <w:p>
      <w:pPr>
        <w:numPr>
          <w:ilvl w:val="2"/>
          <w:numId w:val="6"/>
        </w:numPr>
        <w:tabs>
          <w:tab w:val="clear" w:pos="964"/>
        </w:tabs>
        <w:adjustRightInd/>
        <w:snapToGrid/>
        <w:spacing w:line="500" w:lineRule="atLeast"/>
        <w:ind w:left="210" w:leftChars="100"/>
        <w:rPr>
          <w:snapToGrid w:val="0"/>
          <w:kern w:val="0"/>
          <w:sz w:val="24"/>
        </w:rPr>
      </w:pPr>
      <w:r>
        <w:rPr>
          <w:snapToGrid w:val="0"/>
          <w:kern w:val="0"/>
          <w:sz w:val="24"/>
        </w:rPr>
        <w:t>甲方负责协助乙方完成软件的安装、调试工作。</w:t>
      </w:r>
    </w:p>
    <w:p>
      <w:pPr>
        <w:numPr>
          <w:ilvl w:val="2"/>
          <w:numId w:val="6"/>
        </w:numPr>
        <w:tabs>
          <w:tab w:val="clear" w:pos="964"/>
        </w:tabs>
        <w:adjustRightInd/>
        <w:snapToGrid/>
        <w:spacing w:line="500" w:lineRule="atLeast"/>
        <w:ind w:left="210" w:leftChars="100"/>
        <w:rPr>
          <w:snapToGrid w:val="0"/>
          <w:kern w:val="0"/>
          <w:sz w:val="24"/>
        </w:rPr>
      </w:pPr>
      <w:r>
        <w:rPr>
          <w:snapToGrid w:val="0"/>
          <w:kern w:val="0"/>
          <w:sz w:val="24"/>
        </w:rPr>
        <w:t>甲方负责准备施工现场并使其达到工程施工条件，提供相关的环境技术资料和参数。</w:t>
      </w:r>
    </w:p>
    <w:p>
      <w:pPr>
        <w:numPr>
          <w:ilvl w:val="2"/>
          <w:numId w:val="6"/>
        </w:numPr>
        <w:tabs>
          <w:tab w:val="clear" w:pos="964"/>
        </w:tabs>
        <w:adjustRightInd/>
        <w:snapToGrid/>
        <w:spacing w:line="500" w:lineRule="atLeast"/>
        <w:ind w:left="210" w:leftChars="100"/>
        <w:rPr>
          <w:snapToGrid w:val="0"/>
          <w:kern w:val="0"/>
          <w:sz w:val="24"/>
        </w:rPr>
      </w:pPr>
      <w:r>
        <w:rPr>
          <w:snapToGrid w:val="0"/>
          <w:kern w:val="0"/>
          <w:sz w:val="24"/>
        </w:rPr>
        <w:t>甲方负责派出有经验的工程师参加技术联络会、系统建设阶段性成果审查会和技术培训等。</w:t>
      </w:r>
    </w:p>
    <w:p>
      <w:pPr>
        <w:numPr>
          <w:ilvl w:val="2"/>
          <w:numId w:val="6"/>
        </w:numPr>
        <w:tabs>
          <w:tab w:val="clear" w:pos="964"/>
        </w:tabs>
        <w:adjustRightInd/>
        <w:snapToGrid/>
        <w:spacing w:line="500" w:lineRule="atLeast"/>
        <w:ind w:left="210" w:leftChars="100"/>
        <w:rPr>
          <w:snapToGrid w:val="0"/>
          <w:kern w:val="0"/>
          <w:sz w:val="24"/>
        </w:rPr>
      </w:pPr>
      <w:r>
        <w:rPr>
          <w:snapToGrid w:val="0"/>
          <w:kern w:val="0"/>
          <w:sz w:val="24"/>
        </w:rPr>
        <w:t>甲方全程参与工程的实施，包括系统安装、调试等。</w:t>
      </w:r>
    </w:p>
    <w:p>
      <w:pPr>
        <w:numPr>
          <w:ilvl w:val="2"/>
          <w:numId w:val="6"/>
        </w:numPr>
        <w:tabs>
          <w:tab w:val="clear" w:pos="964"/>
        </w:tabs>
        <w:adjustRightInd/>
        <w:snapToGrid/>
        <w:spacing w:line="500" w:lineRule="atLeast"/>
        <w:ind w:left="210" w:leftChars="100"/>
        <w:rPr>
          <w:snapToGrid w:val="0"/>
          <w:kern w:val="0"/>
          <w:sz w:val="24"/>
        </w:rPr>
      </w:pPr>
      <w:r>
        <w:rPr>
          <w:snapToGrid w:val="0"/>
          <w:kern w:val="0"/>
          <w:sz w:val="24"/>
        </w:rPr>
        <w:t>甲方负责及时组织系统的现场验收。</w:t>
      </w:r>
    </w:p>
    <w:p>
      <w:pPr>
        <w:numPr>
          <w:ilvl w:val="2"/>
          <w:numId w:val="6"/>
        </w:numPr>
        <w:tabs>
          <w:tab w:val="clear" w:pos="964"/>
        </w:tabs>
        <w:adjustRightInd/>
        <w:snapToGrid/>
        <w:ind w:left="210" w:leftChars="100"/>
        <w:rPr>
          <w:snapToGrid w:val="0"/>
          <w:kern w:val="0"/>
          <w:sz w:val="24"/>
        </w:rPr>
      </w:pPr>
      <w:r>
        <w:rPr>
          <w:snapToGrid w:val="0"/>
          <w:kern w:val="0"/>
          <w:sz w:val="24"/>
        </w:rPr>
        <w:t>甲方负责协调工程实施中有关的其它事宜。</w:t>
      </w:r>
    </w:p>
    <w:p>
      <w:pPr>
        <w:numPr>
          <w:ilvl w:val="1"/>
          <w:numId w:val="6"/>
        </w:numPr>
        <w:rPr>
          <w:b/>
          <w:snapToGrid w:val="0"/>
          <w:kern w:val="0"/>
          <w:sz w:val="24"/>
        </w:rPr>
      </w:pPr>
      <w:r>
        <w:rPr>
          <w:b/>
          <w:snapToGrid w:val="0"/>
          <w:kern w:val="0"/>
          <w:sz w:val="24"/>
        </w:rPr>
        <w:t>乙方责任：</w:t>
      </w:r>
    </w:p>
    <w:p>
      <w:pPr>
        <w:numPr>
          <w:ilvl w:val="2"/>
          <w:numId w:val="6"/>
        </w:numPr>
        <w:tabs>
          <w:tab w:val="clear" w:pos="964"/>
        </w:tabs>
        <w:adjustRightInd/>
        <w:snapToGrid/>
        <w:ind w:left="210" w:leftChars="100"/>
        <w:rPr>
          <w:snapToGrid w:val="0"/>
          <w:kern w:val="0"/>
          <w:sz w:val="24"/>
        </w:rPr>
      </w:pPr>
      <w:r>
        <w:rPr>
          <w:snapToGrid w:val="0"/>
          <w:kern w:val="0"/>
          <w:sz w:val="24"/>
        </w:rPr>
        <w:t>乙方负责本合同涉及的软件平台的现场安装及调试。</w:t>
      </w:r>
    </w:p>
    <w:p>
      <w:pPr>
        <w:numPr>
          <w:ilvl w:val="2"/>
          <w:numId w:val="6"/>
        </w:numPr>
        <w:tabs>
          <w:tab w:val="clear" w:pos="964"/>
        </w:tabs>
        <w:adjustRightInd/>
        <w:snapToGrid/>
        <w:spacing w:line="500" w:lineRule="atLeast"/>
        <w:ind w:left="210" w:leftChars="100"/>
        <w:rPr>
          <w:snapToGrid w:val="0"/>
          <w:kern w:val="0"/>
          <w:sz w:val="24"/>
        </w:rPr>
      </w:pPr>
      <w:r>
        <w:rPr>
          <w:snapToGrid w:val="0"/>
          <w:kern w:val="0"/>
          <w:sz w:val="24"/>
        </w:rPr>
        <w:t>乙方负责提供本合同涉及的乙方提供的产品的验收、测试。</w:t>
      </w:r>
    </w:p>
    <w:p>
      <w:pPr>
        <w:numPr>
          <w:ilvl w:val="2"/>
          <w:numId w:val="6"/>
        </w:numPr>
        <w:tabs>
          <w:tab w:val="clear" w:pos="964"/>
        </w:tabs>
        <w:adjustRightInd/>
        <w:snapToGrid/>
        <w:spacing w:line="500" w:lineRule="atLeast"/>
        <w:ind w:left="210" w:leftChars="100"/>
        <w:rPr>
          <w:snapToGrid w:val="0"/>
          <w:kern w:val="0"/>
          <w:sz w:val="24"/>
        </w:rPr>
      </w:pPr>
      <w:r>
        <w:rPr>
          <w:snapToGrid w:val="0"/>
          <w:kern w:val="0"/>
          <w:sz w:val="24"/>
        </w:rPr>
        <w:t>乙方负责将本合同提供的所有软件产品按合同要求进行测试。</w:t>
      </w:r>
    </w:p>
    <w:p>
      <w:pPr>
        <w:numPr>
          <w:ilvl w:val="2"/>
          <w:numId w:val="6"/>
        </w:numPr>
        <w:tabs>
          <w:tab w:val="clear" w:pos="964"/>
        </w:tabs>
        <w:adjustRightInd/>
        <w:snapToGrid/>
        <w:spacing w:line="500" w:lineRule="atLeast"/>
        <w:ind w:left="210" w:leftChars="100"/>
        <w:rPr>
          <w:snapToGrid w:val="0"/>
          <w:kern w:val="0"/>
          <w:sz w:val="24"/>
        </w:rPr>
      </w:pPr>
      <w:r>
        <w:rPr>
          <w:snapToGrid w:val="0"/>
          <w:kern w:val="0"/>
          <w:sz w:val="24"/>
        </w:rPr>
        <w:t>乙方负责对甲方人员提供对应实施内容的集中技术培训。</w:t>
      </w:r>
    </w:p>
    <w:p>
      <w:pPr>
        <w:numPr>
          <w:ilvl w:val="2"/>
          <w:numId w:val="6"/>
        </w:numPr>
        <w:tabs>
          <w:tab w:val="clear" w:pos="964"/>
        </w:tabs>
        <w:adjustRightInd/>
        <w:snapToGrid/>
        <w:spacing w:line="500" w:lineRule="atLeast"/>
        <w:ind w:left="210" w:leftChars="100"/>
        <w:rPr>
          <w:snapToGrid w:val="0"/>
          <w:kern w:val="0"/>
          <w:sz w:val="24"/>
        </w:rPr>
      </w:pPr>
      <w:r>
        <w:rPr>
          <w:snapToGrid w:val="0"/>
          <w:kern w:val="0"/>
          <w:sz w:val="24"/>
        </w:rPr>
        <w:t>保修期内，乙方对拥有自主知识产权的软件产品，免费提供软件升级版本。</w:t>
      </w:r>
    </w:p>
    <w:p>
      <w:pPr>
        <w:widowControl/>
        <w:adjustRightInd/>
        <w:snapToGrid/>
        <w:spacing w:line="240" w:lineRule="auto"/>
        <w:jc w:val="left"/>
        <w:rPr>
          <w:snapToGrid w:val="0"/>
          <w:kern w:val="0"/>
          <w:sz w:val="24"/>
        </w:rPr>
      </w:pPr>
      <w:r>
        <w:rPr>
          <w:snapToGrid w:val="0"/>
          <w:kern w:val="0"/>
          <w:sz w:val="24"/>
        </w:rPr>
        <w:br w:type="page"/>
      </w:r>
    </w:p>
    <w:p>
      <w:pPr>
        <w:adjustRightInd/>
        <w:snapToGrid/>
        <w:ind w:left="890"/>
        <w:rPr>
          <w:snapToGrid w:val="0"/>
          <w:kern w:val="0"/>
          <w:sz w:val="24"/>
        </w:rPr>
      </w:pPr>
    </w:p>
    <w:bookmarkEnd w:id="35"/>
    <w:bookmarkEnd w:id="36"/>
    <w:bookmarkEnd w:id="37"/>
    <w:bookmarkEnd w:id="38"/>
    <w:bookmarkEnd w:id="39"/>
    <w:bookmarkEnd w:id="40"/>
    <w:bookmarkEnd w:id="41"/>
    <w:p>
      <w:pPr>
        <w:pStyle w:val="50"/>
        <w:spacing w:after="190"/>
      </w:pPr>
      <w:bookmarkStart w:id="42" w:name="_Toc493781407"/>
      <w:bookmarkStart w:id="43" w:name="_Toc299535543"/>
      <w:bookmarkStart w:id="44" w:name="_Toc344666619"/>
      <w:r>
        <w:t>交付</w:t>
      </w:r>
      <w:bookmarkEnd w:id="42"/>
      <w:bookmarkEnd w:id="43"/>
      <w:bookmarkEnd w:id="44"/>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交货时间：乙方收到首付款后</w:t>
      </w:r>
      <w:r>
        <w:rPr>
          <w:snapToGrid w:val="0"/>
          <w:color w:val="000000"/>
          <w:kern w:val="0"/>
          <w:sz w:val="24"/>
        </w:rPr>
        <w:t>5</w:t>
      </w:r>
      <w:r>
        <w:rPr>
          <w:snapToGrid w:val="0"/>
          <w:kern w:val="0"/>
          <w:sz w:val="24"/>
        </w:rPr>
        <w:t>个工作日内完成供货，</w:t>
      </w:r>
      <w:r>
        <w:rPr>
          <w:rFonts w:hint="eastAsia"/>
          <w:snapToGrid w:val="0"/>
          <w:kern w:val="0"/>
          <w:sz w:val="24"/>
        </w:rPr>
        <w:t>并安排工程师到达合同约定的安装实施</w:t>
      </w:r>
      <w:r>
        <w:rPr>
          <w:snapToGrid w:val="0"/>
          <w:kern w:val="0"/>
          <w:sz w:val="24"/>
        </w:rPr>
        <w:t>地点。</w:t>
      </w:r>
    </w:p>
    <w:p>
      <w:pPr>
        <w:numPr>
          <w:ilvl w:val="1"/>
          <w:numId w:val="4"/>
        </w:numPr>
        <w:tabs>
          <w:tab w:val="left" w:pos="567"/>
          <w:tab w:val="clear" w:pos="1035"/>
        </w:tabs>
        <w:ind w:left="567" w:hanging="567"/>
        <w:rPr>
          <w:snapToGrid w:val="0"/>
          <w:kern w:val="0"/>
          <w:sz w:val="24"/>
        </w:rPr>
      </w:pPr>
      <w:r>
        <w:rPr>
          <w:rFonts w:hint="eastAsia"/>
          <w:snapToGrid w:val="0"/>
          <w:kern w:val="0"/>
          <w:sz w:val="24"/>
        </w:rPr>
        <w:t>安装实施</w:t>
      </w:r>
      <w:r>
        <w:rPr>
          <w:snapToGrid w:val="0"/>
          <w:kern w:val="0"/>
          <w:sz w:val="24"/>
        </w:rPr>
        <w:t>地点</w:t>
      </w:r>
    </w:p>
    <w:p>
      <w:pPr>
        <w:numPr>
          <w:ilvl w:val="0"/>
          <w:numId w:val="0"/>
        </w:numPr>
        <w:tabs>
          <w:tab w:val="left" w:pos="567"/>
        </w:tabs>
        <w:ind w:leftChars="0"/>
        <w:rPr>
          <w:rFonts w:hint="eastAsia" w:eastAsia="仿宋_GB2312"/>
          <w:snapToGrid w:val="0"/>
          <w:kern w:val="0"/>
          <w:sz w:val="24"/>
          <w:lang w:val="en-US" w:eastAsia="zh-CN"/>
        </w:rPr>
      </w:pPr>
      <w:r>
        <w:rPr>
          <w:rFonts w:hint="eastAsia"/>
          <w:snapToGrid w:val="0"/>
          <w:kern w:val="0"/>
          <w:sz w:val="24"/>
          <w:lang w:val="en-US" w:eastAsia="zh-CN"/>
        </w:rPr>
        <w:t xml:space="preserve">     按甲方指定地点实施</w:t>
      </w:r>
    </w:p>
    <w:p>
      <w:pPr>
        <w:numPr>
          <w:ilvl w:val="1"/>
          <w:numId w:val="4"/>
        </w:numPr>
        <w:tabs>
          <w:tab w:val="left" w:pos="567"/>
          <w:tab w:val="clear" w:pos="1035"/>
        </w:tabs>
        <w:ind w:left="567" w:hanging="567"/>
        <w:rPr>
          <w:snapToGrid w:val="0"/>
          <w:kern w:val="0"/>
          <w:sz w:val="24"/>
        </w:rPr>
      </w:pPr>
      <w:r>
        <w:rPr>
          <w:snapToGrid w:val="0"/>
          <w:kern w:val="0"/>
          <w:sz w:val="24"/>
        </w:rPr>
        <w:t>乙方负责乙方发货产品的安装和调试。安装调试过程中的</w:t>
      </w:r>
      <w:r>
        <w:rPr>
          <w:rFonts w:hint="eastAsia"/>
          <w:snapToGrid w:val="0"/>
          <w:kern w:val="0"/>
          <w:sz w:val="24"/>
        </w:rPr>
        <w:t>环境准备、账号开通、</w:t>
      </w:r>
      <w:r>
        <w:rPr>
          <w:snapToGrid w:val="0"/>
          <w:kern w:val="0"/>
          <w:sz w:val="24"/>
        </w:rPr>
        <w:t>设备搬运、电缆布线等工作由甲</w:t>
      </w:r>
      <w:r>
        <w:rPr>
          <w:rFonts w:hint="eastAsia"/>
          <w:snapToGrid w:val="0"/>
          <w:kern w:val="0"/>
          <w:sz w:val="24"/>
        </w:rPr>
        <w:t>方负责</w:t>
      </w:r>
      <w:r>
        <w:rPr>
          <w:snapToGrid w:val="0"/>
          <w:kern w:val="0"/>
          <w:sz w:val="24"/>
        </w:rPr>
        <w:t>。</w:t>
      </w:r>
    </w:p>
    <w:p>
      <w:pPr>
        <w:numPr>
          <w:ilvl w:val="1"/>
          <w:numId w:val="4"/>
        </w:numPr>
        <w:tabs>
          <w:tab w:val="left" w:pos="567"/>
          <w:tab w:val="clear" w:pos="1035"/>
        </w:tabs>
        <w:ind w:left="567" w:hanging="567"/>
        <w:rPr>
          <w:snapToGrid w:val="0"/>
          <w:kern w:val="0"/>
          <w:sz w:val="24"/>
        </w:rPr>
      </w:pPr>
      <w:r>
        <w:rPr>
          <w:snapToGrid w:val="0"/>
          <w:kern w:val="0"/>
          <w:sz w:val="24"/>
        </w:rPr>
        <w:t>甲方应在产品安装调试前完成系统软硬件环境的准备工作，并达到乙方的工程实施方案的安装要求。</w:t>
      </w:r>
    </w:p>
    <w:p>
      <w:pPr>
        <w:ind w:left="567"/>
        <w:rPr>
          <w:snapToGrid w:val="0"/>
          <w:kern w:val="0"/>
          <w:sz w:val="24"/>
        </w:rPr>
      </w:pPr>
    </w:p>
    <w:p>
      <w:pPr>
        <w:pStyle w:val="50"/>
        <w:spacing w:after="190"/>
      </w:pPr>
      <w:bookmarkStart w:id="45" w:name="_Toc40334787"/>
      <w:bookmarkStart w:id="46" w:name="_Toc40687201"/>
      <w:bookmarkStart w:id="47" w:name="_Toc69897968"/>
      <w:bookmarkStart w:id="48" w:name="_Toc40684936"/>
      <w:bookmarkStart w:id="49" w:name="_Toc69885725"/>
      <w:bookmarkStart w:id="50" w:name="_Toc479852609"/>
      <w:bookmarkStart w:id="51" w:name="_Toc70418453"/>
      <w:bookmarkStart w:id="52" w:name="_Toc344666621"/>
      <w:bookmarkStart w:id="53" w:name="_Toc299535545"/>
      <w:bookmarkStart w:id="54" w:name="_Toc493781408"/>
      <w:r>
        <w:t>测试和</w:t>
      </w:r>
      <w:bookmarkEnd w:id="45"/>
      <w:bookmarkEnd w:id="46"/>
      <w:bookmarkEnd w:id="47"/>
      <w:bookmarkEnd w:id="48"/>
      <w:bookmarkEnd w:id="49"/>
      <w:r>
        <w:t>验收</w:t>
      </w:r>
      <w:bookmarkEnd w:id="50"/>
      <w:bookmarkEnd w:id="51"/>
      <w:bookmarkEnd w:id="52"/>
      <w:bookmarkEnd w:id="53"/>
      <w:bookmarkEnd w:id="54"/>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产品安装</w:t>
      </w:r>
      <w:r>
        <w:rPr>
          <w:rFonts w:hint="eastAsia"/>
          <w:snapToGrid w:val="0"/>
          <w:kern w:val="0"/>
          <w:sz w:val="24"/>
        </w:rPr>
        <w:t>实施</w:t>
      </w:r>
      <w:r>
        <w:rPr>
          <w:snapToGrid w:val="0"/>
          <w:kern w:val="0"/>
          <w:sz w:val="24"/>
        </w:rPr>
        <w:t>完毕后，乙方向甲方提交产品安装报告，及书面测试和验收申请，并向甲方移交产品</w:t>
      </w:r>
      <w:r>
        <w:rPr>
          <w:rFonts w:hint="eastAsia"/>
          <w:snapToGrid w:val="0"/>
          <w:kern w:val="0"/>
          <w:sz w:val="24"/>
        </w:rPr>
        <w:t>相关</w:t>
      </w:r>
      <w:r>
        <w:rPr>
          <w:snapToGrid w:val="0"/>
          <w:kern w:val="0"/>
          <w:sz w:val="24"/>
        </w:rPr>
        <w:t>资料。</w:t>
      </w:r>
    </w:p>
    <w:p>
      <w:pPr>
        <w:numPr>
          <w:ilvl w:val="1"/>
          <w:numId w:val="4"/>
        </w:numPr>
        <w:tabs>
          <w:tab w:val="left" w:pos="567"/>
          <w:tab w:val="clear" w:pos="1035"/>
        </w:tabs>
        <w:ind w:left="567" w:hanging="567"/>
        <w:rPr>
          <w:snapToGrid w:val="0"/>
          <w:kern w:val="0"/>
          <w:sz w:val="24"/>
        </w:rPr>
      </w:pPr>
      <w:r>
        <w:rPr>
          <w:snapToGrid w:val="0"/>
          <w:kern w:val="0"/>
          <w:sz w:val="24"/>
        </w:rPr>
        <w:t>甲方在接到乙方书面申请</w:t>
      </w:r>
      <w:r>
        <w:rPr>
          <w:snapToGrid w:val="0"/>
          <w:color w:val="000000"/>
          <w:kern w:val="0"/>
          <w:sz w:val="24"/>
        </w:rPr>
        <w:t>５</w:t>
      </w:r>
      <w:r>
        <w:rPr>
          <w:snapToGrid w:val="0"/>
          <w:kern w:val="0"/>
          <w:sz w:val="24"/>
        </w:rPr>
        <w:t>个工作日内负责组织和实施测试验收，并在验收申请和移交资料上签字。测试验收针对本合同《附件一》中所列产品，不包含其他的硬件或软件。甲方不能因其他系统或其它外围条件不具备使用条件为理由而推迟测试验收。</w:t>
      </w:r>
    </w:p>
    <w:p>
      <w:pPr>
        <w:numPr>
          <w:ilvl w:val="1"/>
          <w:numId w:val="4"/>
        </w:numPr>
        <w:tabs>
          <w:tab w:val="left" w:pos="567"/>
          <w:tab w:val="clear" w:pos="1035"/>
        </w:tabs>
        <w:ind w:left="567" w:hanging="567"/>
        <w:rPr>
          <w:snapToGrid w:val="0"/>
          <w:kern w:val="0"/>
          <w:sz w:val="24"/>
        </w:rPr>
      </w:pPr>
      <w:r>
        <w:rPr>
          <w:snapToGrid w:val="0"/>
          <w:kern w:val="0"/>
          <w:sz w:val="24"/>
        </w:rPr>
        <w:t>甲乙双方技术工程师按照厂家的技术标准及国家相关技术标准进行验收，验收合格后甲乙双方共同签署验收报告。甲方如未能在规定时间内对系统进行验收，应提前知悉乙方说明；如甲方未有任何提前说明并未在规定时间内对系统进行验收，均视为系统验收合格。</w:t>
      </w:r>
    </w:p>
    <w:p>
      <w:pPr>
        <w:pStyle w:val="50"/>
        <w:spacing w:after="190"/>
      </w:pPr>
      <w:bookmarkStart w:id="55" w:name="_Toc344666622"/>
      <w:bookmarkStart w:id="56" w:name="_Toc479852610"/>
      <w:bookmarkStart w:id="57" w:name="_Toc299535546"/>
      <w:bookmarkStart w:id="58" w:name="_Toc493781409"/>
      <w:r>
        <w:t>保修服务</w:t>
      </w:r>
      <w:bookmarkEnd w:id="55"/>
      <w:bookmarkEnd w:id="56"/>
      <w:bookmarkEnd w:id="57"/>
      <w:bookmarkEnd w:id="58"/>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保修</w:t>
      </w:r>
    </w:p>
    <w:p>
      <w:pPr>
        <w:numPr>
          <w:ilvl w:val="2"/>
          <w:numId w:val="4"/>
        </w:numPr>
        <w:rPr>
          <w:snapToGrid w:val="0"/>
          <w:kern w:val="0"/>
          <w:sz w:val="24"/>
        </w:rPr>
      </w:pPr>
      <w:r>
        <w:rPr>
          <w:snapToGrid w:val="0"/>
          <w:kern w:val="0"/>
          <w:sz w:val="24"/>
        </w:rPr>
        <w:t>本次</w:t>
      </w:r>
      <w:r>
        <w:rPr>
          <w:rFonts w:hint="eastAsia"/>
          <w:snapToGrid w:val="0"/>
          <w:kern w:val="0"/>
          <w:sz w:val="24"/>
        </w:rPr>
        <w:t>合同涉及的软件</w:t>
      </w:r>
      <w:r>
        <w:rPr>
          <w:snapToGrid w:val="0"/>
          <w:kern w:val="0"/>
          <w:sz w:val="24"/>
        </w:rPr>
        <w:t>产品，自</w:t>
      </w:r>
      <w:r>
        <w:rPr>
          <w:rFonts w:hint="eastAsia"/>
          <w:snapToGrid w:val="0"/>
          <w:kern w:val="0"/>
          <w:sz w:val="24"/>
          <w:u w:val="single"/>
        </w:rPr>
        <w:t xml:space="preserve">正式申请软件授权许可之日起 </w:t>
      </w:r>
      <w:r>
        <w:rPr>
          <w:snapToGrid w:val="0"/>
          <w:kern w:val="0"/>
          <w:sz w:val="24"/>
        </w:rPr>
        <w:t>提供自有知识产权产品的</w:t>
      </w:r>
      <w:r>
        <w:rPr>
          <w:rFonts w:hint="eastAsia"/>
          <w:snapToGrid w:val="0"/>
          <w:kern w:val="0"/>
          <w:sz w:val="24"/>
        </w:rPr>
        <w:t xml:space="preserve"> </w:t>
      </w:r>
      <w:r>
        <w:rPr>
          <w:rFonts w:hint="eastAsia"/>
          <w:snapToGrid w:val="0"/>
          <w:kern w:val="0"/>
          <w:sz w:val="24"/>
          <w:u w:val="single"/>
        </w:rPr>
        <w:t xml:space="preserve">1年 </w:t>
      </w:r>
      <w:r>
        <w:rPr>
          <w:snapToGrid w:val="0"/>
          <w:kern w:val="0"/>
          <w:sz w:val="24"/>
        </w:rPr>
        <w:t>的原厂维保服务（</w:t>
      </w:r>
      <w:r>
        <w:rPr>
          <w:rFonts w:hint="eastAsia"/>
          <w:snapToGrid w:val="0"/>
          <w:kern w:val="0"/>
          <w:sz w:val="24"/>
        </w:rPr>
        <w:t>额外维保期限以附件一所列为准</w:t>
      </w:r>
      <w:r>
        <w:rPr>
          <w:snapToGrid w:val="0"/>
          <w:kern w:val="0"/>
          <w:sz w:val="24"/>
        </w:rPr>
        <w:t>）。维保服务</w:t>
      </w:r>
      <w:r>
        <w:rPr>
          <w:rFonts w:hint="eastAsia"/>
          <w:snapToGrid w:val="0"/>
          <w:kern w:val="0"/>
          <w:sz w:val="24"/>
        </w:rPr>
        <w:t>到期</w:t>
      </w:r>
      <w:r>
        <w:rPr>
          <w:snapToGrid w:val="0"/>
          <w:kern w:val="0"/>
          <w:sz w:val="24"/>
        </w:rPr>
        <w:t>后乙方向甲方提供终身</w:t>
      </w:r>
      <w:r>
        <w:rPr>
          <w:rFonts w:hint="eastAsia"/>
          <w:snapToGrid w:val="0"/>
          <w:kern w:val="0"/>
          <w:sz w:val="24"/>
        </w:rPr>
        <w:t>免费售后咨询服务，及</w:t>
      </w:r>
      <w:r>
        <w:rPr>
          <w:snapToGrid w:val="0"/>
          <w:kern w:val="0"/>
          <w:sz w:val="24"/>
        </w:rPr>
        <w:t>有偿保修服务，费用按年费计算，</w:t>
      </w:r>
      <w:r>
        <w:rPr>
          <w:rFonts w:hint="eastAsia"/>
          <w:snapToGrid w:val="0"/>
          <w:kern w:val="0"/>
          <w:sz w:val="24"/>
        </w:rPr>
        <w:t>收费标准为每年按合同成交价的10％收取</w:t>
      </w:r>
      <w:r>
        <w:rPr>
          <w:snapToGrid w:val="0"/>
          <w:kern w:val="0"/>
          <w:sz w:val="24"/>
        </w:rPr>
        <w:t>。</w:t>
      </w:r>
    </w:p>
    <w:p>
      <w:pPr>
        <w:numPr>
          <w:ilvl w:val="1"/>
          <w:numId w:val="4"/>
        </w:numPr>
        <w:tabs>
          <w:tab w:val="left" w:pos="567"/>
          <w:tab w:val="clear" w:pos="1035"/>
        </w:tabs>
        <w:spacing w:before="190" w:beforeLines="50"/>
        <w:ind w:left="567" w:hanging="567"/>
        <w:rPr>
          <w:snapToGrid w:val="0"/>
          <w:kern w:val="0"/>
          <w:sz w:val="24"/>
        </w:rPr>
      </w:pPr>
      <w:r>
        <w:rPr>
          <w:snapToGrid w:val="0"/>
          <w:kern w:val="0"/>
          <w:sz w:val="24"/>
        </w:rPr>
        <w:t>服务</w:t>
      </w:r>
    </w:p>
    <w:p>
      <w:pPr>
        <w:numPr>
          <w:ilvl w:val="2"/>
          <w:numId w:val="4"/>
        </w:numPr>
        <w:tabs>
          <w:tab w:val="left" w:pos="567"/>
          <w:tab w:val="clear" w:pos="720"/>
        </w:tabs>
        <w:ind w:left="851" w:leftChars="100" w:hanging="641"/>
        <w:rPr>
          <w:snapToGrid w:val="0"/>
          <w:kern w:val="0"/>
          <w:sz w:val="24"/>
        </w:rPr>
      </w:pPr>
      <w:r>
        <w:rPr>
          <w:snapToGrid w:val="0"/>
          <w:kern w:val="0"/>
          <w:sz w:val="24"/>
        </w:rPr>
        <w:t>向甲方提供多种方式的售后技术支援服务，包括电话、电子邮件、传真等方式，为甲方公司的技术人员提供技术咨询、疑难解答和故障排除等支援。</w:t>
      </w:r>
    </w:p>
    <w:p>
      <w:pPr>
        <w:numPr>
          <w:ilvl w:val="2"/>
          <w:numId w:val="4"/>
        </w:numPr>
        <w:tabs>
          <w:tab w:val="left" w:pos="567"/>
          <w:tab w:val="clear" w:pos="720"/>
        </w:tabs>
        <w:ind w:left="851" w:leftChars="100" w:hanging="641"/>
        <w:rPr>
          <w:snapToGrid w:val="0"/>
          <w:kern w:val="0"/>
          <w:sz w:val="24"/>
        </w:rPr>
      </w:pPr>
      <w:r>
        <w:rPr>
          <w:snapToGrid w:val="0"/>
          <w:kern w:val="0"/>
          <w:sz w:val="24"/>
        </w:rPr>
        <w:t>非现场支援响应：办公时间</w:t>
      </w:r>
      <w:r>
        <w:rPr>
          <w:snapToGrid w:val="0"/>
          <w:color w:val="000000"/>
          <w:kern w:val="0"/>
          <w:sz w:val="24"/>
        </w:rPr>
        <w:t>１</w:t>
      </w:r>
      <w:r>
        <w:rPr>
          <w:snapToGrid w:val="0"/>
          <w:kern w:val="0"/>
          <w:sz w:val="24"/>
        </w:rPr>
        <w:t>小时之内给予答复，非办公时间</w:t>
      </w:r>
      <w:r>
        <w:rPr>
          <w:snapToGrid w:val="0"/>
          <w:color w:val="000000"/>
          <w:kern w:val="0"/>
          <w:sz w:val="24"/>
        </w:rPr>
        <w:t>４</w:t>
      </w:r>
      <w:r>
        <w:rPr>
          <w:snapToGrid w:val="0"/>
          <w:kern w:val="0"/>
          <w:sz w:val="24"/>
        </w:rPr>
        <w:t>小时之内给予 答复。</w:t>
      </w:r>
    </w:p>
    <w:p>
      <w:pPr>
        <w:numPr>
          <w:ilvl w:val="2"/>
          <w:numId w:val="4"/>
        </w:numPr>
        <w:tabs>
          <w:tab w:val="left" w:pos="567"/>
          <w:tab w:val="clear" w:pos="720"/>
        </w:tabs>
        <w:ind w:left="851" w:leftChars="100" w:hanging="641"/>
        <w:rPr>
          <w:snapToGrid w:val="0"/>
          <w:kern w:val="0"/>
          <w:sz w:val="24"/>
        </w:rPr>
      </w:pPr>
      <w:r>
        <w:rPr>
          <w:snapToGrid w:val="0"/>
          <w:kern w:val="0"/>
          <w:sz w:val="24"/>
        </w:rPr>
        <w:t>专业顾问服务:在实施项目过程中，提供专业的顾问服务，包括分享和交流建设经验，为项目能够如期、圆满成功开通提供保障。</w:t>
      </w:r>
    </w:p>
    <w:p>
      <w:pPr>
        <w:numPr>
          <w:ilvl w:val="2"/>
          <w:numId w:val="4"/>
        </w:numPr>
        <w:tabs>
          <w:tab w:val="left" w:pos="567"/>
          <w:tab w:val="clear" w:pos="720"/>
        </w:tabs>
        <w:ind w:left="851" w:leftChars="100" w:hanging="641"/>
        <w:rPr>
          <w:snapToGrid w:val="0"/>
          <w:kern w:val="0"/>
          <w:sz w:val="24"/>
        </w:rPr>
      </w:pPr>
      <w:r>
        <w:rPr>
          <w:snapToGrid w:val="0"/>
          <w:kern w:val="0"/>
          <w:sz w:val="24"/>
        </w:rPr>
        <w:t>产品升级：所有乙方提供的软件在</w:t>
      </w:r>
      <w:r>
        <w:rPr>
          <w:rFonts w:hint="eastAsia"/>
          <w:snapToGrid w:val="0"/>
          <w:kern w:val="0"/>
          <w:sz w:val="24"/>
        </w:rPr>
        <w:t>维保期内支持</w:t>
      </w:r>
      <w:r>
        <w:rPr>
          <w:snapToGrid w:val="0"/>
          <w:kern w:val="0"/>
          <w:sz w:val="24"/>
        </w:rPr>
        <w:t>免费升级；</w:t>
      </w:r>
      <w:r>
        <w:rPr>
          <w:rFonts w:hint="eastAsia"/>
          <w:snapToGrid w:val="0"/>
          <w:kern w:val="0"/>
          <w:sz w:val="24"/>
        </w:rPr>
        <w:t>维保期后</w:t>
      </w:r>
      <w:r>
        <w:rPr>
          <w:snapToGrid w:val="0"/>
          <w:kern w:val="0"/>
          <w:sz w:val="24"/>
        </w:rPr>
        <w:t>提供终身有偿软件升级，费用按年费计算，具体费用标准由双方协商。</w:t>
      </w:r>
    </w:p>
    <w:p>
      <w:pPr>
        <w:numPr>
          <w:ilvl w:val="1"/>
          <w:numId w:val="4"/>
        </w:numPr>
        <w:tabs>
          <w:tab w:val="left" w:pos="567"/>
          <w:tab w:val="clear" w:pos="1035"/>
        </w:tabs>
        <w:spacing w:before="190" w:beforeLines="50"/>
        <w:ind w:left="567" w:hanging="567"/>
        <w:rPr>
          <w:snapToGrid w:val="0"/>
          <w:kern w:val="0"/>
          <w:sz w:val="24"/>
        </w:rPr>
      </w:pPr>
      <w:r>
        <w:rPr>
          <w:snapToGrid w:val="0"/>
          <w:kern w:val="0"/>
          <w:sz w:val="24"/>
        </w:rPr>
        <w:t>产品保修范围不包括以下情形</w:t>
      </w:r>
      <w:r>
        <w:rPr>
          <w:rFonts w:hint="eastAsia"/>
          <w:snapToGrid w:val="0"/>
          <w:kern w:val="0"/>
          <w:sz w:val="24"/>
        </w:rPr>
        <w:t>：</w:t>
      </w:r>
    </w:p>
    <w:p>
      <w:pPr>
        <w:numPr>
          <w:ilvl w:val="2"/>
          <w:numId w:val="4"/>
        </w:numPr>
        <w:tabs>
          <w:tab w:val="left" w:pos="567"/>
          <w:tab w:val="clear" w:pos="720"/>
        </w:tabs>
        <w:ind w:left="851" w:leftChars="100" w:hanging="641"/>
        <w:rPr>
          <w:snapToGrid w:val="0"/>
          <w:kern w:val="0"/>
          <w:sz w:val="24"/>
        </w:rPr>
      </w:pPr>
      <w:r>
        <w:rPr>
          <w:snapToGrid w:val="0"/>
          <w:kern w:val="0"/>
          <w:sz w:val="24"/>
        </w:rPr>
        <w:t>甲方未得到乙方的书面确认而自行对产品进行修改、维修，导致系统运行不正常；</w:t>
      </w:r>
    </w:p>
    <w:p>
      <w:pPr>
        <w:numPr>
          <w:ilvl w:val="2"/>
          <w:numId w:val="4"/>
        </w:numPr>
        <w:tabs>
          <w:tab w:val="left" w:pos="567"/>
          <w:tab w:val="clear" w:pos="720"/>
        </w:tabs>
        <w:ind w:left="851" w:leftChars="100" w:hanging="641"/>
        <w:rPr>
          <w:snapToGrid w:val="0"/>
          <w:kern w:val="0"/>
          <w:sz w:val="24"/>
        </w:rPr>
      </w:pPr>
      <w:r>
        <w:rPr>
          <w:snapToGrid w:val="0"/>
          <w:kern w:val="0"/>
          <w:sz w:val="24"/>
        </w:rPr>
        <w:t>甲方未得到乙方的书面确认，自行让本合同以外的第三方对产品进行操作，导致产品的系统运行不正常；</w:t>
      </w:r>
    </w:p>
    <w:p>
      <w:pPr>
        <w:numPr>
          <w:ilvl w:val="2"/>
          <w:numId w:val="4"/>
        </w:numPr>
        <w:tabs>
          <w:tab w:val="left" w:pos="567"/>
          <w:tab w:val="clear" w:pos="720"/>
        </w:tabs>
        <w:ind w:left="777" w:leftChars="100" w:hanging="567"/>
        <w:rPr>
          <w:snapToGrid w:val="0"/>
          <w:kern w:val="0"/>
          <w:sz w:val="24"/>
        </w:rPr>
      </w:pPr>
      <w:r>
        <w:rPr>
          <w:snapToGrid w:val="0"/>
          <w:kern w:val="0"/>
          <w:sz w:val="24"/>
        </w:rPr>
        <w:t>由于甲方安装设备的场所不符合要求，导致产品系统运行不正常；</w:t>
      </w:r>
    </w:p>
    <w:p>
      <w:pPr>
        <w:numPr>
          <w:ilvl w:val="2"/>
          <w:numId w:val="4"/>
        </w:numPr>
        <w:tabs>
          <w:tab w:val="left" w:pos="567"/>
          <w:tab w:val="clear" w:pos="720"/>
        </w:tabs>
        <w:ind w:left="777" w:leftChars="100" w:hanging="567"/>
        <w:rPr>
          <w:snapToGrid w:val="0"/>
          <w:kern w:val="0"/>
          <w:sz w:val="24"/>
        </w:rPr>
      </w:pPr>
      <w:r>
        <w:rPr>
          <w:snapToGrid w:val="0"/>
          <w:kern w:val="0"/>
          <w:sz w:val="24"/>
        </w:rPr>
        <w:t>本合同第一条所列设备清单以外的其它设备故障造成的产品故障；</w:t>
      </w:r>
    </w:p>
    <w:p>
      <w:pPr>
        <w:numPr>
          <w:ilvl w:val="2"/>
          <w:numId w:val="4"/>
        </w:numPr>
        <w:tabs>
          <w:tab w:val="left" w:pos="567"/>
          <w:tab w:val="clear" w:pos="720"/>
        </w:tabs>
        <w:ind w:left="777" w:leftChars="100" w:hanging="567"/>
        <w:rPr>
          <w:snapToGrid w:val="0"/>
          <w:kern w:val="0"/>
          <w:sz w:val="24"/>
        </w:rPr>
      </w:pPr>
      <w:r>
        <w:rPr>
          <w:snapToGrid w:val="0"/>
          <w:kern w:val="0"/>
          <w:sz w:val="24"/>
        </w:rPr>
        <w:t>系统遭受病毒、黑客攻击等造成的系统被破坏的故障</w:t>
      </w:r>
      <w:r>
        <w:rPr>
          <w:rFonts w:hint="eastAsia"/>
          <w:snapToGrid w:val="0"/>
          <w:kern w:val="0"/>
          <w:sz w:val="24"/>
        </w:rPr>
        <w:t>。</w:t>
      </w:r>
    </w:p>
    <w:p>
      <w:pPr>
        <w:numPr>
          <w:ilvl w:val="1"/>
          <w:numId w:val="4"/>
        </w:numPr>
        <w:tabs>
          <w:tab w:val="left" w:pos="567"/>
          <w:tab w:val="clear" w:pos="1035"/>
        </w:tabs>
        <w:spacing w:before="190" w:beforeLines="50"/>
        <w:ind w:left="567" w:hanging="567"/>
        <w:rPr>
          <w:snapToGrid w:val="0"/>
          <w:kern w:val="0"/>
          <w:sz w:val="24"/>
        </w:rPr>
      </w:pPr>
      <w:r>
        <w:rPr>
          <w:snapToGrid w:val="0"/>
          <w:kern w:val="0"/>
          <w:sz w:val="24"/>
        </w:rPr>
        <w:t>非乙方责任而产生的产品故障, 在甲方的要求下乙方应提供技术指导，并协助甲方消除故障。甲方应承担由此产生的全部费用。</w:t>
      </w:r>
    </w:p>
    <w:p>
      <w:pPr>
        <w:rPr>
          <w:snapToGrid w:val="0"/>
          <w:kern w:val="0"/>
          <w:sz w:val="24"/>
        </w:rPr>
      </w:pPr>
    </w:p>
    <w:p>
      <w:pPr>
        <w:pStyle w:val="50"/>
        <w:spacing w:after="190"/>
      </w:pPr>
      <w:bookmarkStart w:id="59" w:name="_Toc69897972"/>
      <w:bookmarkStart w:id="60" w:name="_Toc70418456"/>
      <w:bookmarkStart w:id="61" w:name="_Toc479852611"/>
      <w:bookmarkStart w:id="62" w:name="_Toc40687204"/>
      <w:bookmarkStart w:id="63" w:name="_Toc493781410"/>
      <w:bookmarkStart w:id="64" w:name="_Toc344666623"/>
      <w:bookmarkStart w:id="65" w:name="_Toc40334791"/>
      <w:bookmarkStart w:id="66" w:name="_Toc69885729"/>
      <w:bookmarkStart w:id="67" w:name="_Toc299535547"/>
      <w:bookmarkStart w:id="68" w:name="_Toc40684939"/>
      <w:r>
        <w:t>培训</w:t>
      </w:r>
      <w:bookmarkEnd w:id="59"/>
      <w:bookmarkEnd w:id="60"/>
      <w:bookmarkEnd w:id="61"/>
      <w:bookmarkEnd w:id="62"/>
      <w:bookmarkEnd w:id="63"/>
      <w:bookmarkEnd w:id="64"/>
      <w:bookmarkEnd w:id="65"/>
      <w:bookmarkEnd w:id="66"/>
      <w:bookmarkEnd w:id="67"/>
      <w:bookmarkEnd w:id="68"/>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乙方提供工程师为甲方进行集中现场的技术培训，培训地点在产品安装地。</w:t>
      </w:r>
    </w:p>
    <w:p>
      <w:pPr>
        <w:ind w:left="567"/>
        <w:rPr>
          <w:snapToGrid w:val="0"/>
          <w:kern w:val="0"/>
          <w:sz w:val="24"/>
        </w:rPr>
      </w:pPr>
    </w:p>
    <w:p>
      <w:pPr>
        <w:pStyle w:val="50"/>
        <w:spacing w:after="190"/>
      </w:pPr>
      <w:bookmarkStart w:id="69" w:name="_Toc479852613"/>
      <w:bookmarkStart w:id="70" w:name="_Toc493781411"/>
      <w:bookmarkStart w:id="71" w:name="_Toc70418458"/>
      <w:bookmarkStart w:id="72" w:name="_Toc69897974"/>
      <w:bookmarkStart w:id="73" w:name="_Toc40684941"/>
      <w:bookmarkStart w:id="74" w:name="_Toc40687206"/>
      <w:bookmarkStart w:id="75" w:name="_Toc299535548"/>
      <w:bookmarkStart w:id="76" w:name="_Toc69885731"/>
      <w:bookmarkStart w:id="77" w:name="_Toc344666624"/>
      <w:bookmarkStart w:id="78" w:name="_Toc40334793"/>
      <w:r>
        <w:t>不可抗力</w:t>
      </w:r>
      <w:bookmarkEnd w:id="69"/>
      <w:bookmarkEnd w:id="70"/>
      <w:bookmarkEnd w:id="71"/>
      <w:bookmarkEnd w:id="72"/>
      <w:bookmarkEnd w:id="73"/>
      <w:bookmarkEnd w:id="74"/>
      <w:bookmarkEnd w:id="75"/>
      <w:bookmarkEnd w:id="76"/>
      <w:bookmarkEnd w:id="77"/>
      <w:bookmarkEnd w:id="78"/>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若合同的任一方由于不可抗力的原因，如战争、火灾、 水灾、台风、地震、禁令或其它政府的法令，或其它双方认可的不可抗力因素等，不能按照本合同的规定执行合同，则合同应延期执行，延期的时间应与事件的持续时间相等。</w:t>
      </w:r>
    </w:p>
    <w:p>
      <w:pPr>
        <w:numPr>
          <w:ilvl w:val="1"/>
          <w:numId w:val="4"/>
        </w:numPr>
        <w:tabs>
          <w:tab w:val="left" w:pos="567"/>
          <w:tab w:val="clear" w:pos="1035"/>
        </w:tabs>
        <w:ind w:left="567" w:hanging="567"/>
        <w:rPr>
          <w:snapToGrid w:val="0"/>
          <w:kern w:val="0"/>
          <w:sz w:val="24"/>
        </w:rPr>
      </w:pPr>
      <w:r>
        <w:rPr>
          <w:snapToGrid w:val="0"/>
          <w:kern w:val="0"/>
          <w:sz w:val="24"/>
        </w:rPr>
        <w:t>受阻方应尽快将发生的不可抗力事件情况以电报或传真方式通知另一方， 且在随后的十天内通过</w:t>
      </w:r>
      <w:r>
        <w:rPr>
          <w:rFonts w:hint="eastAsia"/>
          <w:snapToGrid w:val="0"/>
          <w:kern w:val="0"/>
          <w:sz w:val="24"/>
        </w:rPr>
        <w:t>特快专递</w:t>
      </w:r>
      <w:r>
        <w:rPr>
          <w:snapToGrid w:val="0"/>
          <w:kern w:val="0"/>
          <w:sz w:val="24"/>
        </w:rPr>
        <w:t>的方式向另一方提供政府部门或权威部门开具的证明，作为不可抗力的证明。</w:t>
      </w:r>
    </w:p>
    <w:p>
      <w:pPr>
        <w:numPr>
          <w:ilvl w:val="1"/>
          <w:numId w:val="4"/>
        </w:numPr>
        <w:tabs>
          <w:tab w:val="left" w:pos="567"/>
          <w:tab w:val="clear" w:pos="1035"/>
        </w:tabs>
        <w:ind w:left="567" w:hanging="567"/>
        <w:rPr>
          <w:snapToGrid w:val="0"/>
          <w:kern w:val="0"/>
          <w:sz w:val="24"/>
        </w:rPr>
      </w:pPr>
      <w:r>
        <w:rPr>
          <w:snapToGrid w:val="0"/>
          <w:kern w:val="0"/>
          <w:sz w:val="24"/>
        </w:rPr>
        <w:t>受不可抗力影响的一方，应尽一切努力减轻和克服不可抗力的影响， 并在不可抗力事件过后，继续履行合同职责。</w:t>
      </w:r>
    </w:p>
    <w:p>
      <w:pPr>
        <w:numPr>
          <w:ilvl w:val="1"/>
          <w:numId w:val="4"/>
        </w:numPr>
        <w:tabs>
          <w:tab w:val="left" w:pos="567"/>
          <w:tab w:val="clear" w:pos="1035"/>
        </w:tabs>
        <w:ind w:left="567" w:hanging="567"/>
        <w:rPr>
          <w:snapToGrid w:val="0"/>
          <w:kern w:val="0"/>
          <w:sz w:val="24"/>
        </w:rPr>
      </w:pPr>
      <w:r>
        <w:rPr>
          <w:snapToGrid w:val="0"/>
          <w:kern w:val="0"/>
          <w:sz w:val="24"/>
        </w:rPr>
        <w:t>在不可抗力的影响下，受阻方可暂时停止执行合同的受阻部分。当不可抗力事件持续的时间超过三个月，双方可就解除合同及其它未尽事宜进行协商处理。</w:t>
      </w:r>
    </w:p>
    <w:p>
      <w:pPr>
        <w:pStyle w:val="50"/>
        <w:spacing w:after="190"/>
      </w:pPr>
      <w:bookmarkStart w:id="79" w:name="_Toc69897975"/>
      <w:bookmarkStart w:id="80" w:name="_Toc40687207"/>
      <w:bookmarkStart w:id="81" w:name="_Toc479852614"/>
      <w:bookmarkStart w:id="82" w:name="_Toc40684942"/>
      <w:bookmarkStart w:id="83" w:name="_Toc493781412"/>
      <w:bookmarkStart w:id="84" w:name="_Toc299535549"/>
      <w:bookmarkStart w:id="85" w:name="_Toc70418459"/>
      <w:bookmarkStart w:id="86" w:name="_Toc69885732"/>
      <w:bookmarkStart w:id="87" w:name="_Toc344666625"/>
      <w:bookmarkStart w:id="88" w:name="_Toc40334794"/>
      <w:r>
        <w:t>技术文件和软件</w:t>
      </w:r>
      <w:bookmarkEnd w:id="79"/>
      <w:bookmarkEnd w:id="80"/>
      <w:bookmarkEnd w:id="81"/>
      <w:bookmarkEnd w:id="82"/>
      <w:bookmarkEnd w:id="83"/>
      <w:bookmarkEnd w:id="84"/>
      <w:bookmarkEnd w:id="85"/>
      <w:bookmarkEnd w:id="86"/>
      <w:bookmarkEnd w:id="87"/>
      <w:bookmarkStart w:id="89" w:name="_Toc40684943"/>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乙方须连同产品一起提供必要的，用于系统运行的应用程序系统的操作说明。</w:t>
      </w:r>
    </w:p>
    <w:p>
      <w:pPr>
        <w:numPr>
          <w:ilvl w:val="1"/>
          <w:numId w:val="4"/>
        </w:numPr>
        <w:tabs>
          <w:tab w:val="left" w:pos="567"/>
          <w:tab w:val="clear" w:pos="1035"/>
        </w:tabs>
        <w:ind w:left="567" w:hanging="567"/>
        <w:rPr>
          <w:snapToGrid w:val="0"/>
          <w:kern w:val="0"/>
          <w:sz w:val="24"/>
        </w:rPr>
      </w:pPr>
      <w:r>
        <w:rPr>
          <w:snapToGrid w:val="0"/>
          <w:kern w:val="0"/>
          <w:sz w:val="24"/>
        </w:rPr>
        <w:t>若甲方自己或通过第三者修改产品，乙方则解除与上述修改结果有关的所有责任及合同义务。</w:t>
      </w:r>
      <w:bookmarkEnd w:id="89"/>
      <w:bookmarkStart w:id="90" w:name="_Toc40684944"/>
    </w:p>
    <w:p>
      <w:pPr>
        <w:numPr>
          <w:ilvl w:val="1"/>
          <w:numId w:val="4"/>
        </w:numPr>
        <w:tabs>
          <w:tab w:val="left" w:pos="567"/>
          <w:tab w:val="clear" w:pos="1035"/>
        </w:tabs>
        <w:ind w:left="567" w:hanging="567"/>
        <w:rPr>
          <w:snapToGrid w:val="0"/>
          <w:kern w:val="0"/>
          <w:sz w:val="24"/>
        </w:rPr>
      </w:pPr>
      <w:r>
        <w:rPr>
          <w:snapToGrid w:val="0"/>
          <w:kern w:val="0"/>
          <w:sz w:val="24"/>
        </w:rPr>
        <w:t>甲方仅在合同规定的范围内使用技术文件和产品，在未征得乙方书面许可前，不能将技术文件及产品内容出售、租借、</w:t>
      </w:r>
      <w:r>
        <w:rPr>
          <w:rFonts w:hint="eastAsia"/>
          <w:snapToGrid w:val="0"/>
          <w:kern w:val="0"/>
          <w:sz w:val="24"/>
        </w:rPr>
        <w:t>转移</w:t>
      </w:r>
      <w:r>
        <w:rPr>
          <w:snapToGrid w:val="0"/>
          <w:kern w:val="0"/>
          <w:sz w:val="24"/>
        </w:rPr>
        <w:t>或泄漏给本合同以外的其它方。</w:t>
      </w:r>
      <w:bookmarkEnd w:id="90"/>
    </w:p>
    <w:p>
      <w:pPr>
        <w:ind w:left="567"/>
        <w:rPr>
          <w:snapToGrid w:val="0"/>
          <w:kern w:val="0"/>
          <w:sz w:val="24"/>
        </w:rPr>
      </w:pPr>
    </w:p>
    <w:bookmarkEnd w:id="88"/>
    <w:p>
      <w:pPr>
        <w:pStyle w:val="50"/>
        <w:spacing w:after="190"/>
      </w:pPr>
      <w:bookmarkStart w:id="91" w:name="_Toc40334795"/>
      <w:bookmarkStart w:id="92" w:name="_Toc40684946"/>
      <w:bookmarkStart w:id="93" w:name="_Toc479852615"/>
      <w:bookmarkStart w:id="94" w:name="_Toc493781413"/>
      <w:bookmarkStart w:id="95" w:name="_Toc69885734"/>
      <w:bookmarkStart w:id="96" w:name="_Toc69897977"/>
      <w:bookmarkStart w:id="97" w:name="_Toc40687209"/>
      <w:bookmarkStart w:id="98" w:name="_Toc299535550"/>
      <w:bookmarkStart w:id="99" w:name="_Toc344666626"/>
      <w:bookmarkStart w:id="100" w:name="_Toc70418461"/>
      <w:r>
        <w:t>保密</w:t>
      </w:r>
      <w:bookmarkEnd w:id="91"/>
      <w:bookmarkEnd w:id="92"/>
      <w:bookmarkEnd w:id="93"/>
      <w:bookmarkEnd w:id="94"/>
      <w:bookmarkEnd w:id="95"/>
      <w:bookmarkEnd w:id="96"/>
      <w:bookmarkEnd w:id="97"/>
      <w:bookmarkEnd w:id="98"/>
      <w:bookmarkEnd w:id="99"/>
      <w:bookmarkEnd w:id="100"/>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未经乙方书面许可，甲方不得向任何第三方泄露本合同条款，及任何技术文件和合同有关的数据。否则，甲方应承担相应责任及由此造成的一切损失。</w:t>
      </w:r>
    </w:p>
    <w:p>
      <w:pPr>
        <w:numPr>
          <w:ilvl w:val="1"/>
          <w:numId w:val="4"/>
        </w:numPr>
        <w:tabs>
          <w:tab w:val="left" w:pos="567"/>
          <w:tab w:val="clear" w:pos="1035"/>
        </w:tabs>
        <w:ind w:left="567" w:hanging="567"/>
        <w:rPr>
          <w:snapToGrid w:val="0"/>
          <w:kern w:val="0"/>
          <w:sz w:val="24"/>
        </w:rPr>
      </w:pPr>
      <w:r>
        <w:rPr>
          <w:snapToGrid w:val="0"/>
          <w:kern w:val="0"/>
          <w:sz w:val="24"/>
        </w:rPr>
        <w:t>对于来自甲方或最终用户的有关保密信息，乙方须同样遵守本章的保密规定。</w:t>
      </w:r>
    </w:p>
    <w:p>
      <w:pPr>
        <w:pStyle w:val="50"/>
        <w:spacing w:after="190"/>
      </w:pPr>
      <w:bookmarkStart w:id="101" w:name="_Toc40334796"/>
      <w:bookmarkStart w:id="102" w:name="_Toc69885736"/>
      <w:bookmarkStart w:id="103" w:name="_Toc40687211"/>
      <w:bookmarkStart w:id="104" w:name="_Toc344666627"/>
      <w:bookmarkStart w:id="105" w:name="_Toc299535551"/>
      <w:bookmarkStart w:id="106" w:name="_Toc70418462"/>
      <w:bookmarkStart w:id="107" w:name="_Toc40684949"/>
      <w:bookmarkStart w:id="108" w:name="_Toc493781414"/>
      <w:bookmarkStart w:id="109" w:name="_Toc69897979"/>
      <w:bookmarkStart w:id="110" w:name="_Toc479852616"/>
      <w:r>
        <w:t>仲裁和法律</w:t>
      </w:r>
      <w:bookmarkEnd w:id="101"/>
      <w:bookmarkEnd w:id="102"/>
      <w:bookmarkEnd w:id="103"/>
      <w:bookmarkEnd w:id="104"/>
      <w:bookmarkEnd w:id="105"/>
      <w:bookmarkEnd w:id="106"/>
      <w:bookmarkEnd w:id="107"/>
      <w:bookmarkEnd w:id="108"/>
      <w:bookmarkEnd w:id="109"/>
      <w:bookmarkEnd w:id="110"/>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在合同执行的过程中甲乙双方如发生纠纷，双方应依照本合同协商解决。协商不成时，任何一方可向履约地法院提请诉讼。</w:t>
      </w:r>
    </w:p>
    <w:p>
      <w:pPr>
        <w:numPr>
          <w:ilvl w:val="1"/>
          <w:numId w:val="4"/>
        </w:numPr>
        <w:tabs>
          <w:tab w:val="left" w:pos="567"/>
          <w:tab w:val="clear" w:pos="1035"/>
        </w:tabs>
        <w:ind w:left="567" w:hanging="567"/>
        <w:rPr>
          <w:snapToGrid w:val="0"/>
          <w:kern w:val="0"/>
          <w:sz w:val="24"/>
        </w:rPr>
      </w:pPr>
      <w:r>
        <w:rPr>
          <w:snapToGrid w:val="0"/>
          <w:kern w:val="0"/>
          <w:sz w:val="24"/>
        </w:rPr>
        <w:t>诉讼期间，除正在争议的部分外,双方应继续执行合同的其余部分。</w:t>
      </w:r>
    </w:p>
    <w:p>
      <w:pPr>
        <w:ind w:left="567"/>
        <w:rPr>
          <w:snapToGrid w:val="0"/>
          <w:kern w:val="0"/>
          <w:sz w:val="24"/>
        </w:rPr>
      </w:pPr>
      <w:r>
        <w:rPr>
          <w:snapToGrid w:val="0"/>
          <w:kern w:val="0"/>
          <w:sz w:val="24"/>
        </w:rPr>
        <w:t>本合同应遵循中国的法律。所有争端均应按合同条款和其它有关合同实施的协议解决。本合同未涉及到的部分，均按《中华人民共和国合同法》执行。</w:t>
      </w:r>
    </w:p>
    <w:p>
      <w:pPr>
        <w:pStyle w:val="50"/>
        <w:spacing w:after="190"/>
      </w:pPr>
      <w:bookmarkStart w:id="111" w:name="_Toc344666628"/>
      <w:bookmarkStart w:id="112" w:name="_Toc40687212"/>
      <w:bookmarkStart w:id="113" w:name="_Toc70418463"/>
      <w:bookmarkStart w:id="114" w:name="_Toc493781415"/>
      <w:bookmarkStart w:id="115" w:name="_Toc40334797"/>
      <w:bookmarkStart w:id="116" w:name="_Toc40684950"/>
      <w:bookmarkStart w:id="117" w:name="_Toc69897980"/>
      <w:bookmarkStart w:id="118" w:name="_Toc299535552"/>
      <w:bookmarkStart w:id="119" w:name="_Toc69885737"/>
      <w:bookmarkStart w:id="120" w:name="_Toc479852617"/>
      <w:r>
        <w:t>违约责任</w:t>
      </w:r>
      <w:bookmarkEnd w:id="111"/>
      <w:bookmarkEnd w:id="112"/>
      <w:bookmarkEnd w:id="113"/>
      <w:bookmarkEnd w:id="114"/>
      <w:bookmarkEnd w:id="115"/>
      <w:bookmarkEnd w:id="116"/>
      <w:bookmarkEnd w:id="117"/>
      <w:bookmarkEnd w:id="118"/>
      <w:bookmarkEnd w:id="119"/>
      <w:bookmarkEnd w:id="120"/>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合同执行过程中一方违反合同，另一方有权要求违约方立即停止违约行为并负违约责任。如甲方不能按本合同的规定向乙方付款，每逾期一天，甲方按合同额的</w:t>
      </w:r>
      <w:r>
        <w:rPr>
          <w:snapToGrid w:val="0"/>
          <w:color w:val="000000"/>
          <w:kern w:val="0"/>
          <w:sz w:val="24"/>
        </w:rPr>
        <w:t>0.1%</w:t>
      </w:r>
      <w:r>
        <w:rPr>
          <w:snapToGrid w:val="0"/>
          <w:kern w:val="0"/>
          <w:sz w:val="24"/>
        </w:rPr>
        <w:t>向乙方支付违约金。如乙方不能按本合同的规定如期到货或安装系统，每逾期一天，乙方按合同额的</w:t>
      </w:r>
      <w:r>
        <w:rPr>
          <w:snapToGrid w:val="0"/>
          <w:color w:val="000000"/>
          <w:kern w:val="0"/>
          <w:sz w:val="24"/>
        </w:rPr>
        <w:t>0.1%</w:t>
      </w:r>
      <w:r>
        <w:rPr>
          <w:snapToGrid w:val="0"/>
          <w:kern w:val="0"/>
          <w:sz w:val="24"/>
        </w:rPr>
        <w:t>向买方支付违约金。违约金额超过合同金额的</w:t>
      </w:r>
      <w:r>
        <w:rPr>
          <w:snapToGrid w:val="0"/>
          <w:color w:val="000000"/>
          <w:kern w:val="0"/>
          <w:sz w:val="24"/>
        </w:rPr>
        <w:t>20％</w:t>
      </w:r>
      <w:r>
        <w:rPr>
          <w:snapToGrid w:val="0"/>
          <w:kern w:val="0"/>
          <w:sz w:val="24"/>
        </w:rPr>
        <w:t>时，合同即告终止。</w:t>
      </w:r>
    </w:p>
    <w:p>
      <w:pPr>
        <w:pStyle w:val="50"/>
        <w:spacing w:after="190"/>
      </w:pPr>
      <w:bookmarkStart w:id="121" w:name="_Toc493781416"/>
      <w:bookmarkStart w:id="122" w:name="_Toc69885738"/>
      <w:bookmarkStart w:id="123" w:name="_Toc70418464"/>
      <w:bookmarkStart w:id="124" w:name="_Toc40687213"/>
      <w:bookmarkStart w:id="125" w:name="_Toc69897981"/>
      <w:bookmarkStart w:id="126" w:name="_Toc40684951"/>
      <w:bookmarkStart w:id="127" w:name="_Toc40334798"/>
      <w:bookmarkStart w:id="128" w:name="_Toc344666629"/>
      <w:bookmarkStart w:id="129" w:name="_Toc479852618"/>
      <w:bookmarkStart w:id="130" w:name="_Toc299535553"/>
      <w:r>
        <w:t>其它</w:t>
      </w:r>
      <w:bookmarkEnd w:id="121"/>
      <w:bookmarkEnd w:id="122"/>
      <w:bookmarkEnd w:id="123"/>
      <w:bookmarkEnd w:id="124"/>
      <w:bookmarkEnd w:id="125"/>
      <w:bookmarkEnd w:id="126"/>
      <w:bookmarkEnd w:id="127"/>
      <w:bookmarkEnd w:id="128"/>
      <w:bookmarkEnd w:id="129"/>
      <w:bookmarkEnd w:id="130"/>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本合同中未尽事宜，双方协商解决。</w:t>
      </w:r>
    </w:p>
    <w:p>
      <w:pPr>
        <w:numPr>
          <w:ilvl w:val="1"/>
          <w:numId w:val="4"/>
        </w:numPr>
        <w:tabs>
          <w:tab w:val="left" w:pos="567"/>
          <w:tab w:val="clear" w:pos="1035"/>
        </w:tabs>
        <w:ind w:left="567" w:hanging="567"/>
        <w:rPr>
          <w:snapToGrid w:val="0"/>
          <w:kern w:val="0"/>
          <w:sz w:val="24"/>
        </w:rPr>
      </w:pPr>
      <w:r>
        <w:rPr>
          <w:snapToGrid w:val="0"/>
          <w:kern w:val="0"/>
          <w:sz w:val="24"/>
        </w:rPr>
        <w:t>乙方在收到合同的全部款项</w:t>
      </w:r>
      <w:r>
        <w:rPr>
          <w:rFonts w:hint="eastAsia"/>
          <w:snapToGrid w:val="0"/>
          <w:kern w:val="0"/>
          <w:sz w:val="24"/>
        </w:rPr>
        <w:t>(不含尾款</w:t>
      </w:r>
      <w:r>
        <w:rPr>
          <w:snapToGrid w:val="0"/>
          <w:kern w:val="0"/>
          <w:sz w:val="24"/>
        </w:rPr>
        <w:t>)之前，本合同项下全部产品的所有权均完全属于乙方，且向甲方提供</w:t>
      </w:r>
      <w:r>
        <w:rPr>
          <w:rFonts w:hint="eastAsia"/>
          <w:snapToGrid w:val="0"/>
          <w:kern w:val="0"/>
          <w:sz w:val="24"/>
        </w:rPr>
        <w:t xml:space="preserve"> </w:t>
      </w:r>
      <w:r>
        <w:rPr>
          <w:rFonts w:hint="eastAsia"/>
          <w:snapToGrid w:val="0"/>
          <w:kern w:val="0"/>
          <w:sz w:val="24"/>
          <w:u w:val="single"/>
        </w:rPr>
        <w:t xml:space="preserve">临时产品授权 </w:t>
      </w:r>
      <w:r>
        <w:rPr>
          <w:snapToGrid w:val="0"/>
          <w:kern w:val="0"/>
          <w:sz w:val="24"/>
        </w:rPr>
        <w:t>。如果出现甲方违约情形，乙方有权利无条件收回全部产品，同时乙方保留解除本合同的权利。收到全款后</w:t>
      </w:r>
      <w:r>
        <w:rPr>
          <w:snapToGrid w:val="0"/>
          <w:color w:val="000000"/>
          <w:kern w:val="0"/>
          <w:sz w:val="24"/>
        </w:rPr>
        <w:t>5</w:t>
      </w:r>
      <w:r>
        <w:rPr>
          <w:snapToGrid w:val="0"/>
          <w:kern w:val="0"/>
          <w:sz w:val="24"/>
        </w:rPr>
        <w:t>个工作日内提供产品的终身使用授权。</w:t>
      </w:r>
    </w:p>
    <w:p>
      <w:pPr>
        <w:numPr>
          <w:ilvl w:val="1"/>
          <w:numId w:val="4"/>
        </w:numPr>
        <w:tabs>
          <w:tab w:val="left" w:pos="567"/>
          <w:tab w:val="clear" w:pos="1035"/>
        </w:tabs>
        <w:ind w:left="567" w:hanging="567"/>
        <w:rPr>
          <w:snapToGrid w:val="0"/>
          <w:kern w:val="0"/>
          <w:sz w:val="24"/>
        </w:rPr>
      </w:pPr>
      <w:r>
        <w:rPr>
          <w:snapToGrid w:val="0"/>
          <w:kern w:val="0"/>
          <w:sz w:val="24"/>
        </w:rPr>
        <w:t>因甲方原因（包括但不限于未提供安装环境、数据、资料等必要的软硬件支持等）导致乙方无法及时提供安装服务和交付正式License的，乙方不承担任何责任。</w:t>
      </w:r>
    </w:p>
    <w:p>
      <w:pPr>
        <w:numPr>
          <w:ilvl w:val="1"/>
          <w:numId w:val="4"/>
        </w:numPr>
        <w:tabs>
          <w:tab w:val="left" w:pos="567"/>
          <w:tab w:val="clear" w:pos="1035"/>
        </w:tabs>
        <w:ind w:left="567" w:hanging="567"/>
        <w:rPr>
          <w:snapToGrid w:val="0"/>
          <w:kern w:val="0"/>
          <w:sz w:val="24"/>
        </w:rPr>
      </w:pPr>
      <w:r>
        <w:rPr>
          <w:snapToGrid w:val="0"/>
          <w:kern w:val="0"/>
          <w:sz w:val="24"/>
        </w:rPr>
        <w:t>本合同自甲乙双方签字并盖章时生效本合同一式肆份，双方各执贰份正本。</w:t>
      </w:r>
    </w:p>
    <w:p>
      <w:pPr>
        <w:numPr>
          <w:ilvl w:val="1"/>
          <w:numId w:val="4"/>
        </w:numPr>
        <w:tabs>
          <w:tab w:val="left" w:pos="567"/>
          <w:tab w:val="clear" w:pos="1035"/>
        </w:tabs>
        <w:ind w:left="567" w:hanging="567"/>
        <w:rPr>
          <w:snapToGrid w:val="0"/>
          <w:kern w:val="0"/>
          <w:sz w:val="24"/>
        </w:rPr>
      </w:pPr>
      <w:r>
        <w:rPr>
          <w:snapToGrid w:val="0"/>
          <w:kern w:val="0"/>
          <w:sz w:val="24"/>
        </w:rPr>
        <w:t>本合同某一条款的变动不影响本合同其它条款的有效性。</w:t>
      </w:r>
    </w:p>
    <w:p>
      <w:pPr>
        <w:tabs>
          <w:tab w:val="left" w:pos="4678"/>
          <w:tab w:val="left" w:pos="4820"/>
          <w:tab w:val="left" w:pos="4962"/>
        </w:tabs>
        <w:ind w:left="567"/>
        <w:rPr>
          <w:snapToGrid w:val="0"/>
          <w:kern w:val="0"/>
          <w:sz w:val="24"/>
        </w:rPr>
      </w:pPr>
      <w:r>
        <w:rPr>
          <w:snapToGrid w:val="0"/>
          <w:kern w:val="0"/>
          <w:sz w:val="24"/>
        </w:rPr>
        <w:t>对本合同的任何修改和补充，只有得到双方授权代表在本合同最后一页签字页上的书面签字认可后方能生效,并作为本合同不可分割的组成部分。</w:t>
      </w:r>
    </w:p>
    <w:p>
      <w:pPr>
        <w:widowControl/>
        <w:adjustRightInd/>
        <w:snapToGrid/>
        <w:spacing w:line="240" w:lineRule="auto"/>
        <w:jc w:val="left"/>
        <w:rPr>
          <w:snapToGrid w:val="0"/>
          <w:kern w:val="0"/>
          <w:sz w:val="24"/>
        </w:rPr>
      </w:pPr>
      <w:r>
        <w:rPr>
          <w:snapToGrid w:val="0"/>
          <w:kern w:val="0"/>
          <w:sz w:val="24"/>
        </w:rPr>
        <w:br w:type="page"/>
      </w:r>
    </w:p>
    <w:p>
      <w:pPr>
        <w:tabs>
          <w:tab w:val="left" w:pos="4678"/>
          <w:tab w:val="left" w:pos="4820"/>
          <w:tab w:val="left" w:pos="4962"/>
        </w:tabs>
        <w:ind w:left="567"/>
        <w:rPr>
          <w:snapToGrid w:val="0"/>
          <w:kern w:val="0"/>
          <w:sz w:val="24"/>
        </w:rPr>
      </w:pPr>
    </w:p>
    <w:p>
      <w:pPr>
        <w:pStyle w:val="50"/>
        <w:spacing w:after="190"/>
      </w:pPr>
      <w:bookmarkStart w:id="131" w:name="_Toc344666630"/>
      <w:bookmarkStart w:id="132" w:name="_Toc493781417"/>
      <w:r>
        <w:t>签字页</w:t>
      </w:r>
      <w:bookmarkEnd w:id="131"/>
      <w:bookmarkEnd w:id="132"/>
    </w:p>
    <w:p>
      <w:pPr>
        <w:spacing w:line="360" w:lineRule="atLeast"/>
        <w:rPr>
          <w:b/>
          <w:bCs/>
          <w:sz w:val="24"/>
        </w:rPr>
      </w:pPr>
      <w:r>
        <w:rPr>
          <w:b/>
          <w:bCs/>
          <w:sz w:val="24"/>
        </w:rPr>
        <w:t>【甲方】</w:t>
      </w:r>
    </w:p>
    <w:p>
      <w:pPr>
        <w:spacing w:line="360" w:lineRule="atLeast"/>
        <w:ind w:firstLine="424"/>
      </w:pPr>
      <w:r>
        <w:rPr>
          <w:b/>
          <w:sz w:val="24"/>
        </w:rPr>
        <w:t>单位名称（</w:t>
      </w:r>
      <w:r>
        <w:rPr>
          <w:rFonts w:hint="eastAsia"/>
          <w:b/>
          <w:sz w:val="24"/>
        </w:rPr>
        <w:t>合同专用章）</w:t>
      </w:r>
      <w:r>
        <w:rPr>
          <w:b/>
          <w:sz w:val="24"/>
        </w:rPr>
        <w:t>：</w:t>
      </w:r>
      <w:r>
        <w:rPr>
          <w:rFonts w:hint="eastAsia"/>
          <w:b/>
          <w:sz w:val="24"/>
          <w:lang w:val="en-US" w:eastAsia="zh-CN"/>
        </w:rPr>
        <w:t>盐城市睿丰科技有限公司</w:t>
      </w:r>
    </w:p>
    <w:p>
      <w:pPr>
        <w:spacing w:line="360" w:lineRule="atLeast"/>
        <w:ind w:firstLine="424"/>
        <w:rPr>
          <w:rFonts w:hint="default" w:eastAsia="仿宋_GB2312"/>
          <w:lang w:val="en-US" w:eastAsia="zh-CN"/>
        </w:rPr>
      </w:pPr>
      <w:r>
        <w:rPr>
          <w:b/>
          <w:sz w:val="24"/>
        </w:rPr>
        <w:t>单位地址：</w:t>
      </w:r>
      <w:r>
        <w:rPr>
          <w:rFonts w:hint="eastAsia"/>
          <w:b/>
          <w:sz w:val="24"/>
          <w:lang w:val="en-US" w:eastAsia="zh-CN"/>
        </w:rPr>
        <w:t>盐城市大丰区工农路沿滨苑1栋28号</w:t>
      </w:r>
    </w:p>
    <w:p>
      <w:pPr>
        <w:spacing w:line="360" w:lineRule="atLeast"/>
        <w:ind w:firstLine="424"/>
        <w:rPr>
          <w:rFonts w:hint="default" w:eastAsia="仿宋_GB2312"/>
          <w:lang w:val="en-US" w:eastAsia="zh-CN"/>
        </w:rPr>
      </w:pPr>
      <w:r>
        <w:rPr>
          <w:b/>
          <w:sz w:val="24"/>
        </w:rPr>
        <w:t>联系电话：</w:t>
      </w:r>
      <w:r>
        <w:rPr>
          <w:rFonts w:hint="eastAsia"/>
          <w:b/>
          <w:sz w:val="24"/>
          <w:lang w:val="en-US" w:eastAsia="zh-CN"/>
        </w:rPr>
        <w:t>18012520229</w:t>
      </w:r>
    </w:p>
    <w:p>
      <w:pPr>
        <w:spacing w:line="360" w:lineRule="atLeast"/>
        <w:ind w:firstLine="424"/>
        <w:rPr>
          <w:rFonts w:hint="eastAsia"/>
          <w:b/>
          <w:sz w:val="24"/>
          <w:lang w:val="en-US" w:eastAsia="zh-CN"/>
        </w:rPr>
      </w:pPr>
      <w:r>
        <w:rPr>
          <w:b/>
          <w:sz w:val="24"/>
        </w:rPr>
        <w:t>开户银行：</w:t>
      </w:r>
      <w:r>
        <w:rPr>
          <w:rFonts w:hint="eastAsia"/>
          <w:b/>
          <w:sz w:val="24"/>
          <w:lang w:val="en-US" w:eastAsia="zh-CN"/>
        </w:rPr>
        <w:t>江苏大丰农村商业银行股份有限公司</w:t>
      </w:r>
    </w:p>
    <w:p>
      <w:pPr>
        <w:spacing w:line="360" w:lineRule="atLeast"/>
        <w:ind w:firstLine="424"/>
      </w:pPr>
      <w:r>
        <w:rPr>
          <w:b/>
          <w:sz w:val="24"/>
        </w:rPr>
        <w:t>银行帐号：</w:t>
      </w:r>
      <w:r>
        <w:rPr>
          <w:rFonts w:hint="eastAsia"/>
          <w:b/>
          <w:sz w:val="24"/>
          <w:lang w:val="en-US" w:eastAsia="zh-CN"/>
        </w:rPr>
        <w:t>3209820501010000026524</w:t>
      </w:r>
    </w:p>
    <w:p>
      <w:pPr>
        <w:pBdr>
          <w:bottom w:val="dotted" w:color="auto" w:sz="4" w:space="1"/>
        </w:pBdr>
        <w:spacing w:line="360" w:lineRule="atLeast"/>
        <w:ind w:firstLine="424"/>
        <w:rPr>
          <w:b/>
          <w:sz w:val="24"/>
        </w:rPr>
      </w:pPr>
      <w:r>
        <w:rPr>
          <w:b/>
          <w:sz w:val="24"/>
        </w:rPr>
        <w:t>公司税号</w:t>
      </w:r>
      <w:r>
        <w:rPr>
          <w:rFonts w:hint="eastAsia"/>
          <w:b/>
          <w:sz w:val="24"/>
          <w:lang w:eastAsia="zh-CN"/>
        </w:rPr>
        <w:t>：</w:t>
      </w:r>
      <w:r>
        <w:rPr>
          <w:rFonts w:hint="eastAsia"/>
          <w:b/>
          <w:sz w:val="24"/>
          <w:lang w:val="en-US" w:eastAsia="zh-CN"/>
        </w:rPr>
        <w:t>91320982331316042T</w:t>
      </w:r>
    </w:p>
    <w:p>
      <w:pPr>
        <w:pBdr>
          <w:bottom w:val="dotted" w:color="auto" w:sz="4" w:space="1"/>
        </w:pBdr>
        <w:spacing w:line="360" w:lineRule="atLeast"/>
        <w:ind w:firstLine="424"/>
        <w:rPr>
          <w:b/>
          <w:sz w:val="24"/>
        </w:rPr>
      </w:pPr>
      <w:r>
        <w:rPr>
          <w:b/>
          <w:sz w:val="24"/>
        </w:rPr>
        <w:t>授权代表姓名（印刷体）：</w:t>
      </w:r>
      <w:r>
        <w:rPr>
          <w:rFonts w:hint="eastAsia"/>
          <w:b/>
          <w:sz w:val="24"/>
          <w:lang w:val="en-US" w:eastAsia="zh-CN"/>
        </w:rPr>
        <w:t>冯小勇</w:t>
      </w:r>
    </w:p>
    <w:p>
      <w:pPr>
        <w:pBdr>
          <w:bottom w:val="dotted" w:color="auto" w:sz="4" w:space="1"/>
        </w:pBdr>
        <w:spacing w:line="360" w:lineRule="atLeast"/>
        <w:ind w:firstLine="424"/>
        <w:rPr>
          <w:b/>
          <w:sz w:val="24"/>
        </w:rPr>
      </w:pPr>
      <w:r>
        <w:rPr>
          <w:b/>
          <w:sz w:val="24"/>
        </w:rPr>
        <w:t>授权代表签字（手写体）：</w:t>
      </w:r>
    </w:p>
    <w:p>
      <w:pPr>
        <w:pBdr>
          <w:bottom w:val="dotted" w:color="auto" w:sz="4" w:space="1"/>
        </w:pBdr>
        <w:spacing w:line="360" w:lineRule="atLeast"/>
        <w:ind w:firstLine="424"/>
        <w:rPr>
          <w:sz w:val="24"/>
        </w:rPr>
      </w:pPr>
      <w:r>
        <w:rPr>
          <w:b/>
          <w:sz w:val="24"/>
        </w:rPr>
        <w:t>签字日期：</w:t>
      </w:r>
    </w:p>
    <w:p>
      <w:pPr>
        <w:spacing w:line="360" w:lineRule="atLeast"/>
        <w:rPr>
          <w:b/>
          <w:sz w:val="24"/>
        </w:rPr>
      </w:pPr>
      <w:r>
        <w:rPr>
          <w:b/>
          <w:sz w:val="24"/>
        </w:rPr>
        <w:t>【乙方】</w:t>
      </w:r>
    </w:p>
    <w:p>
      <w:pPr>
        <w:spacing w:line="360" w:lineRule="atLeast"/>
        <w:ind w:firstLine="424"/>
      </w:pPr>
      <w:r>
        <w:rPr>
          <w:b/>
          <w:sz w:val="24"/>
        </w:rPr>
        <w:t>单位名称（</w:t>
      </w:r>
      <w:r>
        <w:rPr>
          <w:rFonts w:hint="eastAsia"/>
          <w:b/>
          <w:sz w:val="24"/>
        </w:rPr>
        <w:t>合同专用章）</w:t>
      </w:r>
      <w:r>
        <w:rPr>
          <w:b/>
          <w:sz w:val="24"/>
        </w:rPr>
        <w:t>：</w:t>
      </w:r>
      <w:r>
        <w:rPr>
          <w:rFonts w:hint="eastAsia"/>
          <w:b/>
          <w:sz w:val="24"/>
        </w:rPr>
        <w:t>北京创联致信科技有限公司</w:t>
      </w:r>
    </w:p>
    <w:p>
      <w:pPr>
        <w:spacing w:line="360" w:lineRule="atLeast"/>
        <w:ind w:firstLine="424"/>
        <w:rPr>
          <w:rFonts w:hint="default" w:eastAsia="仿宋_GB2312"/>
          <w:lang w:val="en-US" w:eastAsia="zh-CN"/>
        </w:rPr>
      </w:pPr>
      <w:r>
        <w:rPr>
          <w:b/>
          <w:sz w:val="24"/>
        </w:rPr>
        <w:t>单位地址：</w:t>
      </w:r>
      <w:r>
        <w:rPr>
          <w:rFonts w:hint="eastAsia"/>
          <w:b/>
          <w:sz w:val="24"/>
          <w:lang w:val="en-US" w:eastAsia="zh-CN"/>
        </w:rPr>
        <w:t>北京市海淀区永泰中路25号A座2层202室</w:t>
      </w:r>
    </w:p>
    <w:p>
      <w:pPr>
        <w:spacing w:line="360" w:lineRule="atLeast"/>
        <w:ind w:firstLine="424"/>
        <w:rPr>
          <w:rFonts w:hint="default" w:eastAsia="仿宋_GB2312"/>
          <w:lang w:val="en-US" w:eastAsia="zh-CN"/>
        </w:rPr>
      </w:pPr>
      <w:r>
        <w:rPr>
          <w:b/>
          <w:sz w:val="24"/>
        </w:rPr>
        <w:t>联系电话：</w:t>
      </w:r>
      <w:r>
        <w:rPr>
          <w:rFonts w:hint="eastAsia"/>
          <w:b/>
          <w:sz w:val="24"/>
          <w:lang w:val="en-US" w:eastAsia="zh-CN"/>
        </w:rPr>
        <w:t>010-82746952</w:t>
      </w:r>
    </w:p>
    <w:p>
      <w:pPr>
        <w:spacing w:line="360" w:lineRule="atLeast"/>
        <w:ind w:firstLine="424"/>
        <w:rPr>
          <w:rFonts w:hint="default" w:eastAsia="仿宋_GB2312"/>
          <w:lang w:val="en-US" w:eastAsia="zh-CN"/>
        </w:rPr>
      </w:pPr>
      <w:r>
        <w:rPr>
          <w:b/>
          <w:sz w:val="24"/>
        </w:rPr>
        <w:t>开户银行：</w:t>
      </w:r>
      <w:r>
        <w:rPr>
          <w:rFonts w:hint="eastAsia"/>
          <w:b/>
          <w:sz w:val="24"/>
          <w:lang w:val="en-US" w:eastAsia="zh-CN"/>
        </w:rPr>
        <w:t>中国民生银行股份有限公司北京东二环支行</w:t>
      </w:r>
    </w:p>
    <w:p>
      <w:pPr>
        <w:spacing w:line="360" w:lineRule="atLeast"/>
        <w:ind w:firstLine="424"/>
      </w:pPr>
      <w:r>
        <w:rPr>
          <w:b/>
          <w:sz w:val="24"/>
        </w:rPr>
        <w:t>银行帐号：</w:t>
      </w:r>
      <w:r>
        <w:rPr>
          <w:rFonts w:hint="eastAsia"/>
          <w:b/>
          <w:sz w:val="24"/>
        </w:rPr>
        <w:t>0148012830000756</w:t>
      </w:r>
    </w:p>
    <w:p>
      <w:pPr>
        <w:spacing w:line="360" w:lineRule="atLeast"/>
        <w:ind w:firstLine="424"/>
      </w:pPr>
      <w:r>
        <w:rPr>
          <w:b/>
          <w:sz w:val="24"/>
        </w:rPr>
        <w:t>公司税号：</w:t>
      </w:r>
      <w:r>
        <w:rPr>
          <w:rFonts w:hint="eastAsia"/>
          <w:b/>
          <w:sz w:val="24"/>
        </w:rPr>
        <w:t>91110108596007659D</w:t>
      </w:r>
    </w:p>
    <w:p>
      <w:pPr>
        <w:spacing w:line="360" w:lineRule="atLeast"/>
        <w:ind w:firstLine="424"/>
        <w:rPr>
          <w:rFonts w:hint="eastAsia" w:eastAsia="仿宋_GB2312"/>
          <w:lang w:val="en-US" w:eastAsia="zh-CN"/>
        </w:rPr>
      </w:pPr>
      <w:r>
        <w:rPr>
          <w:b/>
          <w:sz w:val="24"/>
        </w:rPr>
        <w:t>授权代表姓名（印刷体）：</w:t>
      </w:r>
      <w:r>
        <w:rPr>
          <w:rFonts w:hint="eastAsia"/>
          <w:b/>
          <w:sz w:val="24"/>
          <w:lang w:val="en-US" w:eastAsia="zh-CN"/>
        </w:rPr>
        <w:t>杨天宇</w:t>
      </w:r>
    </w:p>
    <w:p>
      <w:pPr>
        <w:spacing w:line="360" w:lineRule="atLeast"/>
        <w:ind w:firstLine="424"/>
      </w:pPr>
      <w:r>
        <w:rPr>
          <w:b/>
          <w:sz w:val="24"/>
        </w:rPr>
        <w:t>授权代表签字（手写体）：</w:t>
      </w:r>
    </w:p>
    <w:p>
      <w:pPr>
        <w:spacing w:line="360" w:lineRule="atLeast"/>
        <w:ind w:firstLine="424"/>
      </w:pPr>
      <w:r>
        <w:rPr>
          <w:b/>
          <w:sz w:val="24"/>
        </w:rPr>
        <w:t>签字日期：</w:t>
      </w: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sectPr>
          <w:footerReference r:id="rId6" w:type="default"/>
          <w:pgSz w:w="11907" w:h="16840"/>
          <w:pgMar w:top="1418" w:right="1418" w:bottom="1134" w:left="1134" w:header="850" w:footer="567" w:gutter="284"/>
          <w:pgNumType w:start="1"/>
          <w:cols w:space="425" w:num="1"/>
          <w:docGrid w:type="lines" w:linePitch="380" w:charSpace="10445"/>
        </w:sect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rFonts w:hint="eastAsia" w:ascii="Times New Roman" w:hAnsi="Times New Roman" w:eastAsia="仿宋_GB2312" w:cs="Times New Roman"/>
          <w:b/>
          <w:snapToGrid w:val="0"/>
          <w:kern w:val="0"/>
          <w:sz w:val="28"/>
          <w:szCs w:val="28"/>
          <w:lang w:val="en-US" w:eastAsia="zh-CN" w:bidi="ar-SA"/>
        </w:rPr>
      </w:pPr>
      <w:r>
        <w:rPr>
          <w:rFonts w:hint="eastAsia" w:ascii="Times New Roman" w:hAnsi="Times New Roman" w:eastAsia="仿宋_GB2312" w:cs="Times New Roman"/>
          <w:b/>
          <w:snapToGrid w:val="0"/>
          <w:kern w:val="0"/>
          <w:sz w:val="28"/>
          <w:szCs w:val="28"/>
          <w:lang w:val="en-US" w:eastAsia="zh-CN" w:bidi="ar-SA"/>
        </w:rPr>
        <w:t>附件一：配置&amp;报价表.xls</w:t>
      </w:r>
    </w:p>
    <w:tbl>
      <w:tblPr>
        <w:tblStyle w:val="34"/>
        <w:tblW w:w="9091" w:type="dxa"/>
        <w:tblInd w:w="-2" w:type="dxa"/>
        <w:shd w:val="clear" w:color="auto" w:fill="auto"/>
        <w:tblLayout w:type="fixed"/>
        <w:tblCellMar>
          <w:top w:w="0" w:type="dxa"/>
          <w:left w:w="0" w:type="dxa"/>
          <w:bottom w:w="0" w:type="dxa"/>
          <w:right w:w="0" w:type="dxa"/>
        </w:tblCellMar>
      </w:tblPr>
      <w:tblGrid>
        <w:gridCol w:w="274"/>
        <w:gridCol w:w="1571"/>
        <w:gridCol w:w="5054"/>
        <w:gridCol w:w="990"/>
        <w:gridCol w:w="1202"/>
      </w:tblGrid>
      <w:tr>
        <w:tblPrEx>
          <w:tblLayout w:type="fixed"/>
          <w:tblCellMar>
            <w:top w:w="0" w:type="dxa"/>
            <w:left w:w="0" w:type="dxa"/>
            <w:bottom w:w="0" w:type="dxa"/>
            <w:right w:w="0" w:type="dxa"/>
          </w:tblCellMar>
        </w:tblPrEx>
        <w:trPr>
          <w:trHeight w:val="570" w:hRule="atLeast"/>
        </w:trPr>
        <w:tc>
          <w:tcPr>
            <w:tcW w:w="274" w:type="dxa"/>
            <w:vMerge w:val="restart"/>
            <w:tcBorders>
              <w:top w:val="single" w:color="000000" w:sz="8" w:space="0"/>
              <w:left w:val="single" w:color="000000" w:sz="8" w:space="0"/>
              <w:bottom w:val="single" w:color="000000" w:sz="8" w:space="0"/>
              <w:right w:val="single" w:color="000000" w:sz="8" w:space="0"/>
            </w:tcBorders>
            <w:shd w:val="clear" w:color="auto" w:fill="BFBFBF"/>
            <w:tcMar>
              <w:top w:w="8" w:type="dxa"/>
              <w:left w:w="8" w:type="dxa"/>
              <w:right w:w="8"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br w:type="textWrapping"/>
            </w:r>
            <w:r>
              <w:rPr>
                <w:rFonts w:hint="eastAsia" w:ascii="微软雅黑" w:hAnsi="微软雅黑" w:eastAsia="微软雅黑" w:cs="微软雅黑"/>
                <w:b/>
                <w:i w:val="0"/>
                <w:color w:val="000000"/>
                <w:kern w:val="0"/>
                <w:sz w:val="18"/>
                <w:szCs w:val="18"/>
                <w:u w:val="none"/>
                <w:lang w:val="en-US" w:eastAsia="zh-CN" w:bidi="ar"/>
              </w:rPr>
              <w:t>产</w:t>
            </w:r>
            <w:r>
              <w:rPr>
                <w:rFonts w:hint="eastAsia" w:ascii="微软雅黑" w:hAnsi="微软雅黑" w:eastAsia="微软雅黑" w:cs="微软雅黑"/>
                <w:b/>
                <w:i w:val="0"/>
                <w:color w:val="000000"/>
                <w:kern w:val="0"/>
                <w:sz w:val="18"/>
                <w:szCs w:val="18"/>
                <w:u w:val="none"/>
                <w:lang w:val="en-US" w:eastAsia="zh-CN" w:bidi="ar"/>
              </w:rPr>
              <w:br w:type="textWrapping"/>
            </w:r>
            <w:r>
              <w:rPr>
                <w:rFonts w:hint="eastAsia" w:ascii="微软雅黑" w:hAnsi="微软雅黑" w:eastAsia="微软雅黑" w:cs="微软雅黑"/>
                <w:b/>
                <w:i w:val="0"/>
                <w:color w:val="000000"/>
                <w:kern w:val="0"/>
                <w:sz w:val="18"/>
                <w:szCs w:val="18"/>
                <w:u w:val="none"/>
                <w:lang w:val="en-US" w:eastAsia="zh-CN" w:bidi="ar"/>
              </w:rPr>
              <w:t>品</w:t>
            </w:r>
            <w:r>
              <w:rPr>
                <w:rFonts w:hint="eastAsia" w:ascii="微软雅黑" w:hAnsi="微软雅黑" w:eastAsia="微软雅黑" w:cs="微软雅黑"/>
                <w:b/>
                <w:i w:val="0"/>
                <w:color w:val="000000"/>
                <w:kern w:val="0"/>
                <w:sz w:val="18"/>
                <w:szCs w:val="18"/>
                <w:u w:val="none"/>
                <w:lang w:val="en-US" w:eastAsia="zh-CN" w:bidi="ar"/>
              </w:rPr>
              <w:br w:type="textWrapping"/>
            </w:r>
            <w:r>
              <w:rPr>
                <w:rFonts w:hint="eastAsia" w:ascii="微软雅黑" w:hAnsi="微软雅黑" w:eastAsia="微软雅黑" w:cs="微软雅黑"/>
                <w:b/>
                <w:i w:val="0"/>
                <w:color w:val="000000"/>
                <w:kern w:val="0"/>
                <w:sz w:val="18"/>
                <w:szCs w:val="18"/>
                <w:u w:val="none"/>
                <w:lang w:val="en-US" w:eastAsia="zh-CN" w:bidi="ar"/>
              </w:rPr>
              <w:t>基</w:t>
            </w:r>
            <w:r>
              <w:rPr>
                <w:rFonts w:hint="eastAsia" w:ascii="微软雅黑" w:hAnsi="微软雅黑" w:eastAsia="微软雅黑" w:cs="微软雅黑"/>
                <w:b/>
                <w:i w:val="0"/>
                <w:color w:val="000000"/>
                <w:kern w:val="0"/>
                <w:sz w:val="18"/>
                <w:szCs w:val="18"/>
                <w:u w:val="none"/>
                <w:lang w:val="en-US" w:eastAsia="zh-CN" w:bidi="ar"/>
              </w:rPr>
              <w:br w:type="textWrapping"/>
            </w:r>
            <w:r>
              <w:rPr>
                <w:rFonts w:hint="eastAsia" w:ascii="微软雅黑" w:hAnsi="微软雅黑" w:eastAsia="微软雅黑" w:cs="微软雅黑"/>
                <w:b/>
                <w:i w:val="0"/>
                <w:color w:val="000000"/>
                <w:kern w:val="0"/>
                <w:sz w:val="18"/>
                <w:szCs w:val="18"/>
                <w:u w:val="none"/>
                <w:lang w:val="en-US" w:eastAsia="zh-CN" w:bidi="ar"/>
              </w:rPr>
              <w:t>础</w:t>
            </w:r>
            <w:r>
              <w:rPr>
                <w:rFonts w:hint="eastAsia" w:ascii="微软雅黑" w:hAnsi="微软雅黑" w:eastAsia="微软雅黑" w:cs="微软雅黑"/>
                <w:b/>
                <w:i w:val="0"/>
                <w:color w:val="000000"/>
                <w:kern w:val="0"/>
                <w:sz w:val="18"/>
                <w:szCs w:val="18"/>
                <w:u w:val="none"/>
                <w:lang w:val="en-US" w:eastAsia="zh-CN" w:bidi="ar"/>
              </w:rPr>
              <w:br w:type="textWrapping"/>
            </w:r>
            <w:r>
              <w:rPr>
                <w:rFonts w:hint="eastAsia" w:ascii="微软雅黑" w:hAnsi="微软雅黑" w:eastAsia="微软雅黑" w:cs="微软雅黑"/>
                <w:b/>
                <w:i w:val="0"/>
                <w:color w:val="000000"/>
                <w:kern w:val="0"/>
                <w:sz w:val="18"/>
                <w:szCs w:val="18"/>
                <w:u w:val="none"/>
                <w:lang w:val="en-US" w:eastAsia="zh-CN" w:bidi="ar"/>
              </w:rPr>
              <w:t>包</w:t>
            </w:r>
          </w:p>
        </w:tc>
        <w:tc>
          <w:tcPr>
            <w:tcW w:w="1571" w:type="dxa"/>
            <w:tcBorders>
              <w:top w:val="single" w:color="000000" w:sz="8" w:space="0"/>
              <w:left w:val="single" w:color="000000" w:sz="8" w:space="0"/>
              <w:bottom w:val="single" w:color="000000" w:sz="8" w:space="0"/>
              <w:right w:val="single" w:color="000000" w:sz="4" w:space="0"/>
            </w:tcBorders>
            <w:shd w:val="clear" w:color="auto" w:fill="BFBFBF"/>
            <w:tcMar>
              <w:top w:w="8" w:type="dxa"/>
              <w:left w:w="8" w:type="dxa"/>
              <w:right w:w="8"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报价项</w:t>
            </w:r>
          </w:p>
        </w:tc>
        <w:tc>
          <w:tcPr>
            <w:tcW w:w="7246" w:type="dxa"/>
            <w:gridSpan w:val="3"/>
            <w:tcBorders>
              <w:top w:val="single" w:color="000000" w:sz="8" w:space="0"/>
              <w:left w:val="single" w:color="000000" w:sz="4" w:space="0"/>
              <w:bottom w:val="single" w:color="000000" w:sz="8" w:space="0"/>
              <w:right w:val="single" w:color="000000" w:sz="8" w:space="0"/>
            </w:tcBorders>
            <w:shd w:val="clear" w:color="auto" w:fill="BFBFBF"/>
            <w:tcMar>
              <w:top w:w="8" w:type="dxa"/>
              <w:left w:w="8" w:type="dxa"/>
              <w:right w:w="8" w:type="dxa"/>
            </w:tcMar>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产品说明</w:t>
            </w:r>
          </w:p>
        </w:tc>
      </w:tr>
      <w:tr>
        <w:tblPrEx>
          <w:tblLayout w:type="fixed"/>
          <w:tblCellMar>
            <w:top w:w="0" w:type="dxa"/>
            <w:left w:w="0" w:type="dxa"/>
            <w:bottom w:w="0" w:type="dxa"/>
            <w:right w:w="0" w:type="dxa"/>
          </w:tblCellMar>
        </w:tblPrEx>
        <w:trPr>
          <w:trHeight w:val="570" w:hRule="atLeast"/>
        </w:trPr>
        <w:tc>
          <w:tcPr>
            <w:tcW w:w="274" w:type="dxa"/>
            <w:vMerge w:val="continue"/>
            <w:tcBorders>
              <w:top w:val="single" w:color="000000" w:sz="8" w:space="0"/>
              <w:left w:val="single" w:color="000000" w:sz="8" w:space="0"/>
              <w:bottom w:val="single" w:color="000000" w:sz="8" w:space="0"/>
              <w:right w:val="single" w:color="000000" w:sz="8" w:space="0"/>
            </w:tcBorders>
            <w:shd w:val="clear" w:color="auto" w:fill="BFBFBF"/>
            <w:tcMar>
              <w:top w:w="8" w:type="dxa"/>
              <w:left w:w="8" w:type="dxa"/>
              <w:right w:w="8" w:type="dxa"/>
            </w:tcMar>
            <w:vAlign w:val="center"/>
          </w:tcPr>
          <w:p>
            <w:pPr>
              <w:jc w:val="center"/>
              <w:rPr>
                <w:rFonts w:hint="eastAsia" w:ascii="微软雅黑" w:hAnsi="微软雅黑" w:eastAsia="微软雅黑" w:cs="微软雅黑"/>
                <w:b/>
                <w:i w:val="0"/>
                <w:color w:val="000000"/>
                <w:sz w:val="18"/>
                <w:szCs w:val="18"/>
                <w:u w:val="none"/>
              </w:rPr>
            </w:pPr>
          </w:p>
        </w:tc>
        <w:tc>
          <w:tcPr>
            <w:tcW w:w="8817" w:type="dxa"/>
            <w:gridSpan w:val="4"/>
            <w:tcBorders>
              <w:top w:val="single" w:color="000000" w:sz="8" w:space="0"/>
              <w:left w:val="single" w:color="000000" w:sz="8" w:space="0"/>
              <w:bottom w:val="single" w:color="000000" w:sz="4" w:space="0"/>
              <w:right w:val="single" w:color="000000" w:sz="8" w:space="0"/>
            </w:tcBorders>
            <w:shd w:val="clear" w:color="auto" w:fill="D9D9D9"/>
            <w:tcMar>
              <w:top w:w="8" w:type="dxa"/>
              <w:left w:w="8" w:type="dxa"/>
              <w:right w:w="8"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基础产品模块</w:t>
            </w:r>
          </w:p>
        </w:tc>
      </w:tr>
      <w:tr>
        <w:tblPrEx>
          <w:tblLayout w:type="fixed"/>
          <w:tblCellMar>
            <w:top w:w="0" w:type="dxa"/>
            <w:left w:w="0" w:type="dxa"/>
            <w:bottom w:w="0" w:type="dxa"/>
            <w:right w:w="0" w:type="dxa"/>
          </w:tblCellMar>
        </w:tblPrEx>
        <w:trPr>
          <w:trHeight w:val="1380" w:hRule="atLeast"/>
        </w:trPr>
        <w:tc>
          <w:tcPr>
            <w:tcW w:w="274" w:type="dxa"/>
            <w:vMerge w:val="continue"/>
            <w:tcBorders>
              <w:top w:val="single" w:color="000000" w:sz="8" w:space="0"/>
              <w:left w:val="single" w:color="000000" w:sz="8" w:space="0"/>
              <w:bottom w:val="single" w:color="000000" w:sz="8" w:space="0"/>
              <w:right w:val="single" w:color="000000" w:sz="8" w:space="0"/>
            </w:tcBorders>
            <w:shd w:val="clear" w:color="auto" w:fill="BFBFBF"/>
            <w:tcMar>
              <w:top w:w="8" w:type="dxa"/>
              <w:left w:w="8" w:type="dxa"/>
              <w:right w:w="8" w:type="dxa"/>
            </w:tcMar>
            <w:vAlign w:val="center"/>
          </w:tcPr>
          <w:p>
            <w:pPr>
              <w:jc w:val="center"/>
              <w:rPr>
                <w:rFonts w:hint="eastAsia" w:ascii="微软雅黑" w:hAnsi="微软雅黑" w:eastAsia="微软雅黑" w:cs="微软雅黑"/>
                <w:b/>
                <w:i w:val="0"/>
                <w:color w:val="000000"/>
                <w:sz w:val="18"/>
                <w:szCs w:val="18"/>
                <w:u w:val="none"/>
              </w:rPr>
            </w:pPr>
          </w:p>
        </w:tc>
        <w:tc>
          <w:tcPr>
            <w:tcW w:w="1571"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网络设备管理 </w:t>
            </w:r>
          </w:p>
        </w:tc>
        <w:tc>
          <w:tcPr>
            <w:tcW w:w="7246" w:type="dxa"/>
            <w:gridSpan w:val="3"/>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网络设备管理功能模块：</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snapToGrid w:val="0"/>
                <w:kern w:val="0"/>
                <w:sz w:val="18"/>
                <w:szCs w:val="18"/>
                <w:lang w:val="en-US" w:eastAsia="zh-CN"/>
              </w:rPr>
              <w:t>提供对IP网络通信设备，包括交换机(华为，H3C，思科，北电，迈普，大三)、路由器（思科，华为，迈普，北电，H3C）、防火墙（天融信，JUNIPER，华为，思科，趋势科技），其他安全设备（绿盟IPS，思福迪LogBase，网康行为管理NS-1501）等的监控能力，包括设备状态、可用性、性能、流量等。</w:t>
            </w:r>
          </w:p>
        </w:tc>
      </w:tr>
      <w:tr>
        <w:tblPrEx>
          <w:shd w:val="clear" w:color="auto" w:fill="auto"/>
          <w:tblLayout w:type="fixed"/>
          <w:tblCellMar>
            <w:top w:w="0" w:type="dxa"/>
            <w:left w:w="0" w:type="dxa"/>
            <w:bottom w:w="0" w:type="dxa"/>
            <w:right w:w="0" w:type="dxa"/>
          </w:tblCellMar>
        </w:tblPrEx>
        <w:trPr>
          <w:trHeight w:val="1400" w:hRule="atLeast"/>
        </w:trPr>
        <w:tc>
          <w:tcPr>
            <w:tcW w:w="274" w:type="dxa"/>
            <w:vMerge w:val="continue"/>
            <w:tcBorders>
              <w:top w:val="single" w:color="000000" w:sz="8" w:space="0"/>
              <w:left w:val="single" w:color="000000" w:sz="8" w:space="0"/>
              <w:bottom w:val="single" w:color="000000" w:sz="8" w:space="0"/>
              <w:right w:val="single" w:color="000000" w:sz="8" w:space="0"/>
            </w:tcBorders>
            <w:shd w:val="clear" w:color="auto" w:fill="BFBFBF"/>
            <w:tcMar>
              <w:top w:w="8" w:type="dxa"/>
              <w:left w:w="8" w:type="dxa"/>
              <w:right w:w="8" w:type="dxa"/>
            </w:tcMar>
            <w:vAlign w:val="center"/>
          </w:tcPr>
          <w:p>
            <w:pPr>
              <w:jc w:val="center"/>
              <w:rPr>
                <w:rFonts w:hint="eastAsia" w:ascii="微软雅黑" w:hAnsi="微软雅黑" w:eastAsia="微软雅黑" w:cs="微软雅黑"/>
                <w:b/>
                <w:i w:val="0"/>
                <w:color w:val="000000"/>
                <w:sz w:val="18"/>
                <w:szCs w:val="18"/>
                <w:u w:val="none"/>
              </w:rPr>
            </w:pPr>
          </w:p>
        </w:tc>
        <w:tc>
          <w:tcPr>
            <w:tcW w:w="1571"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主机系统管理 </w:t>
            </w:r>
          </w:p>
        </w:tc>
        <w:tc>
          <w:tcPr>
            <w:tcW w:w="7246" w:type="dxa"/>
            <w:gridSpan w:val="3"/>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主机系统管理功能模块：</w:t>
            </w:r>
            <w:r>
              <w:rPr>
                <w:rFonts w:hint="eastAsia" w:ascii="微软雅黑" w:hAnsi="微软雅黑" w:eastAsia="微软雅黑" w:cs="微软雅黑"/>
                <w:b/>
                <w:i w:val="0"/>
                <w:color w:val="000000"/>
                <w:kern w:val="0"/>
                <w:sz w:val="18"/>
                <w:szCs w:val="18"/>
                <w:u w:val="none"/>
                <w:lang w:val="en-US" w:eastAsia="zh-CN" w:bidi="ar"/>
              </w:rPr>
              <w:br w:type="textWrapping"/>
            </w:r>
            <w:r>
              <w:rPr>
                <w:rFonts w:hint="eastAsia" w:ascii="微软雅黑" w:hAnsi="微软雅黑" w:eastAsia="微软雅黑" w:cs="微软雅黑"/>
                <w:snapToGrid w:val="0"/>
                <w:kern w:val="0"/>
                <w:sz w:val="18"/>
                <w:szCs w:val="18"/>
                <w:lang w:val="en-US" w:eastAsia="zh-CN"/>
              </w:rPr>
              <w:t>提供对各类主机硬件、操作系统的监控能力，包括设备运行状态、磁盘信息、进程信息、CPU、内存等指标，目前支持类型包括：Windows（XP,2000、2003、2008+）,Linux,AIX（4.x,5.1,5.2,5.3）,HP 11i,solaris(8,9,10)等主流主机类型。</w:t>
            </w:r>
          </w:p>
        </w:tc>
      </w:tr>
      <w:tr>
        <w:tblPrEx>
          <w:shd w:val="clear" w:color="auto" w:fill="auto"/>
          <w:tblLayout w:type="fixed"/>
          <w:tblCellMar>
            <w:top w:w="0" w:type="dxa"/>
            <w:left w:w="0" w:type="dxa"/>
            <w:bottom w:w="0" w:type="dxa"/>
            <w:right w:w="0" w:type="dxa"/>
          </w:tblCellMar>
        </w:tblPrEx>
        <w:trPr>
          <w:trHeight w:val="1660" w:hRule="atLeast"/>
        </w:trPr>
        <w:tc>
          <w:tcPr>
            <w:tcW w:w="274" w:type="dxa"/>
            <w:vMerge w:val="continue"/>
            <w:tcBorders>
              <w:top w:val="single" w:color="000000" w:sz="8" w:space="0"/>
              <w:left w:val="single" w:color="000000" w:sz="8" w:space="0"/>
              <w:bottom w:val="single" w:color="000000" w:sz="8" w:space="0"/>
              <w:right w:val="single" w:color="000000" w:sz="8" w:space="0"/>
            </w:tcBorders>
            <w:shd w:val="clear" w:color="auto" w:fill="BFBFBF"/>
            <w:tcMar>
              <w:top w:w="8" w:type="dxa"/>
              <w:left w:w="8" w:type="dxa"/>
              <w:right w:w="8" w:type="dxa"/>
            </w:tcMar>
            <w:vAlign w:val="center"/>
          </w:tcPr>
          <w:p>
            <w:pPr>
              <w:jc w:val="center"/>
              <w:rPr>
                <w:rFonts w:hint="eastAsia" w:ascii="微软雅黑" w:hAnsi="微软雅黑" w:eastAsia="微软雅黑" w:cs="微软雅黑"/>
                <w:b/>
                <w:i w:val="0"/>
                <w:color w:val="000000"/>
                <w:sz w:val="18"/>
                <w:szCs w:val="18"/>
                <w:u w:val="none"/>
              </w:rPr>
            </w:pPr>
          </w:p>
        </w:tc>
        <w:tc>
          <w:tcPr>
            <w:tcW w:w="1571"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应用系统管理 </w:t>
            </w:r>
          </w:p>
        </w:tc>
        <w:tc>
          <w:tcPr>
            <w:tcW w:w="7246" w:type="dxa"/>
            <w:gridSpan w:val="3"/>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应用系统管理：</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snapToGrid w:val="0"/>
                <w:kern w:val="0"/>
                <w:sz w:val="18"/>
                <w:szCs w:val="18"/>
                <w:lang w:val="en-US" w:eastAsia="zh-CN"/>
              </w:rPr>
              <w:t>数据库：DB2 ,ORACLE(9i，10g，11g+),SQLSERVER(2000，2005，2008+)，SYBASE11，mysql（5，6）</w:t>
            </w:r>
            <w:r>
              <w:rPr>
                <w:rFonts w:hint="eastAsia" w:ascii="微软雅黑" w:hAnsi="微软雅黑" w:eastAsia="微软雅黑" w:cs="微软雅黑"/>
                <w:snapToGrid w:val="0"/>
                <w:kern w:val="0"/>
                <w:sz w:val="18"/>
                <w:szCs w:val="18"/>
                <w:lang w:val="en-US" w:eastAsia="zh-CN"/>
              </w:rPr>
              <w:br w:type="textWrapping"/>
            </w:r>
            <w:r>
              <w:rPr>
                <w:rFonts w:hint="eastAsia" w:ascii="微软雅黑" w:hAnsi="微软雅黑" w:eastAsia="微软雅黑" w:cs="微软雅黑"/>
                <w:snapToGrid w:val="0"/>
                <w:kern w:val="0"/>
                <w:sz w:val="18"/>
                <w:szCs w:val="18"/>
                <w:lang w:val="en-US" w:eastAsia="zh-CN"/>
              </w:rPr>
              <w:t xml:space="preserve">中间件：weblogic(8,9,10,11)，websphere（5，6），apache2.x，IIS（5.x,6.x,7.x)，MQ </w:t>
            </w:r>
            <w:r>
              <w:rPr>
                <w:rFonts w:hint="eastAsia" w:ascii="微软雅黑" w:hAnsi="微软雅黑" w:eastAsia="微软雅黑" w:cs="微软雅黑"/>
                <w:snapToGrid w:val="0"/>
                <w:kern w:val="0"/>
                <w:sz w:val="18"/>
                <w:szCs w:val="18"/>
                <w:lang w:val="en-US" w:eastAsia="zh-CN"/>
              </w:rPr>
              <w:br w:type="textWrapping"/>
            </w:r>
            <w:r>
              <w:rPr>
                <w:rFonts w:hint="eastAsia" w:ascii="微软雅黑" w:hAnsi="微软雅黑" w:eastAsia="微软雅黑" w:cs="微软雅黑"/>
                <w:snapToGrid w:val="0"/>
                <w:kern w:val="0"/>
                <w:sz w:val="18"/>
                <w:szCs w:val="18"/>
                <w:lang w:val="en-US" w:eastAsia="zh-CN"/>
              </w:rPr>
              <w:t>Web服务器：tomcat 系列</w:t>
            </w:r>
            <w:r>
              <w:rPr>
                <w:rFonts w:hint="eastAsia" w:ascii="微软雅黑" w:hAnsi="微软雅黑" w:eastAsia="微软雅黑" w:cs="微软雅黑"/>
                <w:snapToGrid w:val="0"/>
                <w:kern w:val="0"/>
                <w:sz w:val="18"/>
                <w:szCs w:val="18"/>
                <w:lang w:val="en-US" w:eastAsia="zh-CN"/>
              </w:rPr>
              <w:br w:type="textWrapping"/>
            </w:r>
            <w:r>
              <w:rPr>
                <w:rFonts w:hint="eastAsia" w:ascii="微软雅黑" w:hAnsi="微软雅黑" w:eastAsia="微软雅黑" w:cs="微软雅黑"/>
                <w:snapToGrid w:val="0"/>
                <w:kern w:val="0"/>
                <w:sz w:val="18"/>
                <w:szCs w:val="18"/>
                <w:lang w:val="en-US" w:eastAsia="zh-CN"/>
              </w:rPr>
              <w:t>其他服务：URL探针，TCP探针，任意基于JVM的应用服务</w:t>
            </w:r>
          </w:p>
        </w:tc>
      </w:tr>
      <w:tr>
        <w:tblPrEx>
          <w:shd w:val="clear" w:color="auto" w:fill="auto"/>
          <w:tblLayout w:type="fixed"/>
          <w:tblCellMar>
            <w:top w:w="0" w:type="dxa"/>
            <w:left w:w="0" w:type="dxa"/>
            <w:bottom w:w="0" w:type="dxa"/>
            <w:right w:w="0" w:type="dxa"/>
          </w:tblCellMar>
        </w:tblPrEx>
        <w:trPr>
          <w:trHeight w:val="1050" w:hRule="atLeast"/>
        </w:trPr>
        <w:tc>
          <w:tcPr>
            <w:tcW w:w="274" w:type="dxa"/>
            <w:vMerge w:val="continue"/>
            <w:tcBorders>
              <w:top w:val="single" w:color="000000" w:sz="8" w:space="0"/>
              <w:left w:val="single" w:color="000000" w:sz="8" w:space="0"/>
              <w:bottom w:val="single" w:color="000000" w:sz="8" w:space="0"/>
              <w:right w:val="single" w:color="000000" w:sz="8" w:space="0"/>
            </w:tcBorders>
            <w:shd w:val="clear" w:color="auto" w:fill="BFBFBF"/>
            <w:tcMar>
              <w:top w:w="8" w:type="dxa"/>
              <w:left w:w="8" w:type="dxa"/>
              <w:right w:w="8" w:type="dxa"/>
            </w:tcMar>
            <w:vAlign w:val="center"/>
          </w:tcPr>
          <w:p>
            <w:pPr>
              <w:jc w:val="center"/>
              <w:rPr>
                <w:rFonts w:hint="eastAsia" w:ascii="微软雅黑" w:hAnsi="微软雅黑" w:eastAsia="微软雅黑" w:cs="微软雅黑"/>
                <w:b/>
                <w:i w:val="0"/>
                <w:color w:val="000000"/>
                <w:sz w:val="18"/>
                <w:szCs w:val="18"/>
                <w:u w:val="none"/>
              </w:rPr>
            </w:pPr>
          </w:p>
        </w:tc>
        <w:tc>
          <w:tcPr>
            <w:tcW w:w="1571"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存储系统管理</w:t>
            </w:r>
          </w:p>
        </w:tc>
        <w:tc>
          <w:tcPr>
            <w:tcW w:w="7246" w:type="dxa"/>
            <w:gridSpan w:val="3"/>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存储系统管理：</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snapToGrid w:val="0"/>
                <w:kern w:val="0"/>
                <w:sz w:val="18"/>
                <w:szCs w:val="18"/>
                <w:lang w:val="en-US" w:eastAsia="zh-CN"/>
              </w:rPr>
              <w:t>磁阵（IBMDS4000/5000/FAST,INFORTREND,NETSTOR，EMC CLARIION）,磁带库（TS3200）,IBM B24</w:t>
            </w:r>
          </w:p>
        </w:tc>
      </w:tr>
      <w:tr>
        <w:tblPrEx>
          <w:tblLayout w:type="fixed"/>
          <w:tblCellMar>
            <w:top w:w="0" w:type="dxa"/>
            <w:left w:w="0" w:type="dxa"/>
            <w:bottom w:w="0" w:type="dxa"/>
            <w:right w:w="0" w:type="dxa"/>
          </w:tblCellMar>
        </w:tblPrEx>
        <w:trPr>
          <w:trHeight w:val="690" w:hRule="atLeast"/>
        </w:trPr>
        <w:tc>
          <w:tcPr>
            <w:tcW w:w="274" w:type="dxa"/>
            <w:vMerge w:val="continue"/>
            <w:tcBorders>
              <w:top w:val="single" w:color="000000" w:sz="8" w:space="0"/>
              <w:left w:val="single" w:color="000000" w:sz="8" w:space="0"/>
              <w:bottom w:val="single" w:color="000000" w:sz="8" w:space="0"/>
              <w:right w:val="single" w:color="000000" w:sz="8" w:space="0"/>
            </w:tcBorders>
            <w:shd w:val="clear" w:color="auto" w:fill="BFBFBF"/>
            <w:tcMar>
              <w:top w:w="8" w:type="dxa"/>
              <w:left w:w="8" w:type="dxa"/>
              <w:right w:w="8" w:type="dxa"/>
            </w:tcMar>
            <w:vAlign w:val="center"/>
          </w:tcPr>
          <w:p>
            <w:pPr>
              <w:jc w:val="center"/>
              <w:rPr>
                <w:rFonts w:hint="eastAsia" w:ascii="微软雅黑" w:hAnsi="微软雅黑" w:eastAsia="微软雅黑" w:cs="微软雅黑"/>
                <w:b/>
                <w:i w:val="0"/>
                <w:color w:val="000000"/>
                <w:sz w:val="18"/>
                <w:szCs w:val="18"/>
                <w:u w:val="none"/>
              </w:rPr>
            </w:pPr>
          </w:p>
        </w:tc>
        <w:tc>
          <w:tcPr>
            <w:tcW w:w="1571"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虚拟化监控管理</w:t>
            </w:r>
          </w:p>
        </w:tc>
        <w:tc>
          <w:tcPr>
            <w:tcW w:w="7246" w:type="dxa"/>
            <w:gridSpan w:val="3"/>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snapToGrid w:val="0"/>
                <w:kern w:val="0"/>
                <w:sz w:val="18"/>
                <w:szCs w:val="18"/>
                <w:lang w:val="en-US" w:eastAsia="zh-CN"/>
              </w:rPr>
              <w:t>支持Vsphere等主流厂商虚拟化平台的监控和告警。</w:t>
            </w:r>
          </w:p>
        </w:tc>
      </w:tr>
      <w:tr>
        <w:tblPrEx>
          <w:shd w:val="clear" w:color="auto" w:fill="auto"/>
          <w:tblLayout w:type="fixed"/>
          <w:tblCellMar>
            <w:top w:w="0" w:type="dxa"/>
            <w:left w:w="0" w:type="dxa"/>
            <w:bottom w:w="0" w:type="dxa"/>
            <w:right w:w="0" w:type="dxa"/>
          </w:tblCellMar>
        </w:tblPrEx>
        <w:trPr>
          <w:trHeight w:val="1060" w:hRule="atLeast"/>
        </w:trPr>
        <w:tc>
          <w:tcPr>
            <w:tcW w:w="274" w:type="dxa"/>
            <w:vMerge w:val="continue"/>
            <w:tcBorders>
              <w:top w:val="single" w:color="000000" w:sz="8" w:space="0"/>
              <w:left w:val="single" w:color="000000" w:sz="8" w:space="0"/>
              <w:bottom w:val="single" w:color="000000" w:sz="8" w:space="0"/>
              <w:right w:val="single" w:color="000000" w:sz="8" w:space="0"/>
            </w:tcBorders>
            <w:shd w:val="clear" w:color="auto" w:fill="BFBFBF"/>
            <w:tcMar>
              <w:top w:w="8" w:type="dxa"/>
              <w:left w:w="8" w:type="dxa"/>
              <w:right w:w="8" w:type="dxa"/>
            </w:tcMar>
            <w:vAlign w:val="center"/>
          </w:tcPr>
          <w:p>
            <w:pPr>
              <w:jc w:val="center"/>
              <w:rPr>
                <w:rFonts w:hint="eastAsia" w:ascii="微软雅黑" w:hAnsi="微软雅黑" w:eastAsia="微软雅黑" w:cs="微软雅黑"/>
                <w:b/>
                <w:i w:val="0"/>
                <w:color w:val="000000"/>
                <w:sz w:val="18"/>
                <w:szCs w:val="18"/>
                <w:u w:val="none"/>
              </w:rPr>
            </w:pPr>
          </w:p>
        </w:tc>
        <w:tc>
          <w:tcPr>
            <w:tcW w:w="1571"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告警管理模块 </w:t>
            </w:r>
          </w:p>
        </w:tc>
        <w:tc>
          <w:tcPr>
            <w:tcW w:w="7246" w:type="dxa"/>
            <w:gridSpan w:val="3"/>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告警管理模块：</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snapToGrid w:val="0"/>
                <w:kern w:val="0"/>
                <w:sz w:val="18"/>
                <w:szCs w:val="18"/>
                <w:lang w:val="en-US" w:eastAsia="zh-CN"/>
              </w:rPr>
              <w:t>提供灵活的告警策略配置、智能调整告警阈值，并可将告警分析判断、告警关联分析后的告警信息以短信、邮件、TTS语音 等方式通知相关的运维人员。</w:t>
            </w:r>
          </w:p>
        </w:tc>
      </w:tr>
      <w:tr>
        <w:tblPrEx>
          <w:tblLayout w:type="fixed"/>
          <w:tblCellMar>
            <w:top w:w="0" w:type="dxa"/>
            <w:left w:w="0" w:type="dxa"/>
            <w:bottom w:w="0" w:type="dxa"/>
            <w:right w:w="0" w:type="dxa"/>
          </w:tblCellMar>
        </w:tblPrEx>
        <w:trPr>
          <w:trHeight w:val="800" w:hRule="atLeast"/>
        </w:trPr>
        <w:tc>
          <w:tcPr>
            <w:tcW w:w="274" w:type="dxa"/>
            <w:vMerge w:val="continue"/>
            <w:tcBorders>
              <w:top w:val="single" w:color="000000" w:sz="8" w:space="0"/>
              <w:left w:val="single" w:color="000000" w:sz="8" w:space="0"/>
              <w:bottom w:val="single" w:color="000000" w:sz="8" w:space="0"/>
              <w:right w:val="single" w:color="000000" w:sz="8" w:space="0"/>
            </w:tcBorders>
            <w:shd w:val="clear" w:color="auto" w:fill="BFBFBF"/>
            <w:tcMar>
              <w:top w:w="8" w:type="dxa"/>
              <w:left w:w="8" w:type="dxa"/>
              <w:right w:w="8" w:type="dxa"/>
            </w:tcMar>
            <w:vAlign w:val="center"/>
          </w:tcPr>
          <w:p>
            <w:pPr>
              <w:jc w:val="center"/>
              <w:rPr>
                <w:rFonts w:hint="eastAsia" w:ascii="微软雅黑" w:hAnsi="微软雅黑" w:eastAsia="微软雅黑" w:cs="微软雅黑"/>
                <w:b/>
                <w:i w:val="0"/>
                <w:color w:val="000000"/>
                <w:sz w:val="18"/>
                <w:szCs w:val="18"/>
                <w:u w:val="none"/>
              </w:rPr>
            </w:pPr>
          </w:p>
        </w:tc>
        <w:tc>
          <w:tcPr>
            <w:tcW w:w="1571"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拓扑管理模块 </w:t>
            </w:r>
          </w:p>
        </w:tc>
        <w:tc>
          <w:tcPr>
            <w:tcW w:w="7246" w:type="dxa"/>
            <w:gridSpan w:val="3"/>
            <w:tcBorders>
              <w:top w:val="single" w:color="000000" w:sz="4" w:space="0"/>
              <w:left w:val="single" w:color="000000" w:sz="4" w:space="0"/>
              <w:bottom w:val="single" w:color="000000" w:sz="4" w:space="0"/>
              <w:right w:val="single" w:color="000000" w:sz="8" w:space="0"/>
            </w:tcBorders>
            <w:shd w:val="clear" w:color="auto" w:fill="FFFFFF"/>
            <w:tcMar>
              <w:top w:w="8" w:type="dxa"/>
              <w:left w:w="8" w:type="dxa"/>
              <w:right w:w="8" w:type="dxa"/>
            </w:tcMar>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kern w:val="0"/>
                <w:sz w:val="18"/>
                <w:szCs w:val="18"/>
                <w:u w:val="none"/>
                <w:lang w:val="en-US" w:eastAsia="zh-CN" w:bidi="ar"/>
              </w:rPr>
            </w:pPr>
            <w:r>
              <w:rPr>
                <w:rFonts w:hint="eastAsia" w:ascii="微软雅黑" w:hAnsi="微软雅黑" w:eastAsia="微软雅黑" w:cs="微软雅黑"/>
                <w:b/>
                <w:i w:val="0"/>
                <w:color w:val="000000"/>
                <w:kern w:val="0"/>
                <w:sz w:val="18"/>
                <w:szCs w:val="18"/>
                <w:u w:val="none"/>
                <w:lang w:val="en-US" w:eastAsia="zh-CN" w:bidi="ar"/>
              </w:rPr>
              <w:t>拓扑管理模块：</w:t>
            </w:r>
            <w:r>
              <w:rPr>
                <w:rFonts w:hint="eastAsia" w:ascii="微软雅黑" w:hAnsi="微软雅黑" w:eastAsia="微软雅黑" w:cs="微软雅黑"/>
                <w:b/>
                <w:i w:val="0"/>
                <w:color w:val="000000"/>
                <w:kern w:val="0"/>
                <w:sz w:val="18"/>
                <w:szCs w:val="18"/>
                <w:u w:val="none"/>
                <w:lang w:val="en-US" w:eastAsia="zh-CN" w:bidi="ar"/>
              </w:rPr>
              <w:br w:type="textWrapping"/>
            </w:r>
            <w:r>
              <w:rPr>
                <w:rFonts w:hint="eastAsia" w:ascii="微软雅黑" w:hAnsi="微软雅黑" w:eastAsia="微软雅黑" w:cs="微软雅黑"/>
                <w:snapToGrid w:val="0"/>
                <w:kern w:val="0"/>
                <w:sz w:val="18"/>
                <w:szCs w:val="18"/>
                <w:lang w:val="en-US" w:eastAsia="zh-CN"/>
              </w:rPr>
              <w:t>提供网络拓扑、逻辑拓扑、业务拓扑、机房3维俯视图&amp;机柜&amp;机架图（基础版），包含5张拓扑图绘制。</w:t>
            </w:r>
          </w:p>
        </w:tc>
      </w:tr>
      <w:tr>
        <w:tblPrEx>
          <w:tblLayout w:type="fixed"/>
          <w:tblCellMar>
            <w:top w:w="0" w:type="dxa"/>
            <w:left w:w="0" w:type="dxa"/>
            <w:bottom w:w="0" w:type="dxa"/>
            <w:right w:w="0" w:type="dxa"/>
          </w:tblCellMar>
        </w:tblPrEx>
        <w:trPr>
          <w:trHeight w:val="840" w:hRule="atLeast"/>
        </w:trPr>
        <w:tc>
          <w:tcPr>
            <w:tcW w:w="274" w:type="dxa"/>
            <w:vMerge w:val="continue"/>
            <w:tcBorders>
              <w:top w:val="single" w:color="000000" w:sz="8" w:space="0"/>
              <w:left w:val="single" w:color="000000" w:sz="8" w:space="0"/>
              <w:bottom w:val="single" w:color="000000" w:sz="8" w:space="0"/>
              <w:right w:val="single" w:color="000000" w:sz="8" w:space="0"/>
            </w:tcBorders>
            <w:shd w:val="clear" w:color="auto" w:fill="BFBFBF"/>
            <w:tcMar>
              <w:top w:w="8" w:type="dxa"/>
              <w:left w:w="8" w:type="dxa"/>
              <w:right w:w="8" w:type="dxa"/>
            </w:tcMar>
            <w:vAlign w:val="center"/>
          </w:tcPr>
          <w:p>
            <w:pPr>
              <w:jc w:val="center"/>
              <w:rPr>
                <w:rFonts w:hint="eastAsia" w:ascii="微软雅黑" w:hAnsi="微软雅黑" w:eastAsia="微软雅黑" w:cs="微软雅黑"/>
                <w:b/>
                <w:i w:val="0"/>
                <w:color w:val="000000"/>
                <w:sz w:val="18"/>
                <w:szCs w:val="18"/>
                <w:u w:val="none"/>
              </w:rPr>
            </w:pPr>
          </w:p>
        </w:tc>
        <w:tc>
          <w:tcPr>
            <w:tcW w:w="1571"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报表分析模块 </w:t>
            </w:r>
          </w:p>
        </w:tc>
        <w:tc>
          <w:tcPr>
            <w:tcW w:w="7246" w:type="dxa"/>
            <w:gridSpan w:val="3"/>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报表管理模块：</w:t>
            </w:r>
            <w:r>
              <w:rPr>
                <w:rFonts w:hint="eastAsia" w:ascii="微软雅黑" w:hAnsi="微软雅黑" w:eastAsia="微软雅黑" w:cs="微软雅黑"/>
                <w:b/>
                <w:i w:val="0"/>
                <w:color w:val="000000"/>
                <w:kern w:val="0"/>
                <w:sz w:val="18"/>
                <w:szCs w:val="18"/>
                <w:u w:val="none"/>
                <w:lang w:val="en-US" w:eastAsia="zh-CN" w:bidi="ar"/>
              </w:rPr>
              <w:br w:type="textWrapping"/>
            </w:r>
            <w:r>
              <w:rPr>
                <w:rFonts w:hint="eastAsia" w:ascii="微软雅黑" w:hAnsi="微软雅黑" w:eastAsia="微软雅黑" w:cs="微软雅黑"/>
                <w:snapToGrid w:val="0"/>
                <w:kern w:val="0"/>
                <w:sz w:val="18"/>
                <w:szCs w:val="18"/>
                <w:lang w:val="en-US" w:eastAsia="zh-CN"/>
              </w:rPr>
              <w:t>提供监测数据报表，包括可用性分析报表、容量分析报表、趋势/峰谷/对比分析报表、告警报表等数据分析报表。</w:t>
            </w:r>
          </w:p>
        </w:tc>
      </w:tr>
      <w:tr>
        <w:tblPrEx>
          <w:shd w:val="clear" w:color="auto" w:fill="auto"/>
          <w:tblLayout w:type="fixed"/>
          <w:tblCellMar>
            <w:top w:w="0" w:type="dxa"/>
            <w:left w:w="0" w:type="dxa"/>
            <w:bottom w:w="0" w:type="dxa"/>
            <w:right w:w="0" w:type="dxa"/>
          </w:tblCellMar>
        </w:tblPrEx>
        <w:trPr>
          <w:trHeight w:val="640" w:hRule="atLeast"/>
        </w:trPr>
        <w:tc>
          <w:tcPr>
            <w:tcW w:w="274" w:type="dxa"/>
            <w:vMerge w:val="continue"/>
            <w:tcBorders>
              <w:top w:val="single" w:color="000000" w:sz="8" w:space="0"/>
              <w:left w:val="single" w:color="000000" w:sz="8" w:space="0"/>
              <w:bottom w:val="single" w:color="000000" w:sz="8" w:space="0"/>
              <w:right w:val="single" w:color="000000" w:sz="8" w:space="0"/>
            </w:tcBorders>
            <w:shd w:val="clear" w:color="auto" w:fill="BFBFBF"/>
            <w:tcMar>
              <w:top w:w="8" w:type="dxa"/>
              <w:left w:w="8" w:type="dxa"/>
              <w:right w:w="8" w:type="dxa"/>
            </w:tcMar>
            <w:vAlign w:val="center"/>
          </w:tcPr>
          <w:p>
            <w:pPr>
              <w:jc w:val="center"/>
              <w:rPr>
                <w:rFonts w:hint="eastAsia" w:ascii="微软雅黑" w:hAnsi="微软雅黑" w:eastAsia="微软雅黑" w:cs="微软雅黑"/>
                <w:b/>
                <w:i w:val="0"/>
                <w:color w:val="000000"/>
                <w:sz w:val="18"/>
                <w:szCs w:val="18"/>
                <w:u w:val="none"/>
              </w:rPr>
            </w:pPr>
          </w:p>
        </w:tc>
        <w:tc>
          <w:tcPr>
            <w:tcW w:w="1571"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基础模块</w:t>
            </w:r>
          </w:p>
        </w:tc>
        <w:tc>
          <w:tcPr>
            <w:tcW w:w="7246" w:type="dxa"/>
            <w:gridSpan w:val="3"/>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snapToGrid w:val="0"/>
                <w:kern w:val="0"/>
                <w:sz w:val="18"/>
                <w:szCs w:val="18"/>
                <w:lang w:val="en-US" w:eastAsia="zh-CN"/>
              </w:rPr>
              <w:t>提供智能化工作门户，支持全局的设备分类/分组视图、可用性视图、链路地图、实时流量视图、支持任意界面的大屏投放等，形成高效率的工作平台功能</w:t>
            </w:r>
          </w:p>
        </w:tc>
      </w:tr>
      <w:tr>
        <w:tblPrEx>
          <w:tblLayout w:type="fixed"/>
          <w:tblCellMar>
            <w:top w:w="0" w:type="dxa"/>
            <w:left w:w="0" w:type="dxa"/>
            <w:bottom w:w="0" w:type="dxa"/>
            <w:right w:w="0" w:type="dxa"/>
          </w:tblCellMar>
        </w:tblPrEx>
        <w:trPr>
          <w:trHeight w:val="520" w:hRule="atLeast"/>
        </w:trPr>
        <w:tc>
          <w:tcPr>
            <w:tcW w:w="274" w:type="dxa"/>
            <w:vMerge w:val="continue"/>
            <w:tcBorders>
              <w:top w:val="single" w:color="000000" w:sz="8" w:space="0"/>
              <w:left w:val="single" w:color="000000" w:sz="8" w:space="0"/>
              <w:bottom w:val="single" w:color="000000" w:sz="8" w:space="0"/>
              <w:right w:val="single" w:color="000000" w:sz="8" w:space="0"/>
            </w:tcBorders>
            <w:shd w:val="clear" w:color="auto" w:fill="BFBFBF"/>
            <w:tcMar>
              <w:top w:w="8" w:type="dxa"/>
              <w:left w:w="8" w:type="dxa"/>
              <w:right w:w="8" w:type="dxa"/>
            </w:tcMar>
            <w:vAlign w:val="center"/>
          </w:tcPr>
          <w:p>
            <w:pPr>
              <w:jc w:val="center"/>
              <w:rPr>
                <w:rFonts w:hint="eastAsia" w:ascii="微软雅黑" w:hAnsi="微软雅黑" w:eastAsia="微软雅黑" w:cs="微软雅黑"/>
                <w:b/>
                <w:i w:val="0"/>
                <w:color w:val="000000"/>
                <w:sz w:val="18"/>
                <w:szCs w:val="18"/>
                <w:u w:val="none"/>
              </w:rPr>
            </w:pPr>
          </w:p>
        </w:tc>
        <w:tc>
          <w:tcPr>
            <w:tcW w:w="1571" w:type="dxa"/>
            <w:tcBorders>
              <w:top w:val="nil"/>
              <w:left w:val="nil"/>
              <w:bottom w:val="nil"/>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监控授权点数</w:t>
            </w:r>
          </w:p>
        </w:tc>
        <w:tc>
          <w:tcPr>
            <w:tcW w:w="7246" w:type="dxa"/>
            <w:gridSpan w:val="3"/>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监控授权点数（100个节点）</w:t>
            </w:r>
            <w:r>
              <w:rPr>
                <w:rFonts w:hint="eastAsia" w:ascii="微软雅黑" w:hAnsi="微软雅黑" w:eastAsia="微软雅黑" w:cs="微软雅黑"/>
                <w:i w:val="0"/>
                <w:color w:val="000000"/>
                <w:kern w:val="0"/>
                <w:sz w:val="18"/>
                <w:szCs w:val="18"/>
                <w:u w:val="none"/>
                <w:lang w:val="en-US" w:eastAsia="zh-CN" w:bidi="ar"/>
              </w:rPr>
              <w:t>，</w:t>
            </w:r>
            <w:r>
              <w:rPr>
                <w:rFonts w:hint="eastAsia" w:ascii="微软雅黑" w:hAnsi="微软雅黑" w:eastAsia="微软雅黑" w:cs="微软雅黑"/>
                <w:snapToGrid w:val="0"/>
                <w:kern w:val="0"/>
                <w:sz w:val="18"/>
                <w:szCs w:val="18"/>
                <w:lang w:val="en-US" w:eastAsia="zh-CN"/>
              </w:rPr>
              <w:t>支持100个共享监控节点（软硬件单独计数）。</w:t>
            </w:r>
          </w:p>
        </w:tc>
      </w:tr>
      <w:tr>
        <w:tblPrEx>
          <w:tblLayout w:type="fixed"/>
          <w:tblCellMar>
            <w:top w:w="0" w:type="dxa"/>
            <w:left w:w="0" w:type="dxa"/>
            <w:bottom w:w="0" w:type="dxa"/>
            <w:right w:w="0" w:type="dxa"/>
          </w:tblCellMar>
        </w:tblPrEx>
        <w:trPr>
          <w:trHeight w:val="570" w:hRule="atLeast"/>
        </w:trPr>
        <w:tc>
          <w:tcPr>
            <w:tcW w:w="274" w:type="dxa"/>
            <w:vMerge w:val="continue"/>
            <w:tcBorders>
              <w:top w:val="single" w:color="000000" w:sz="8" w:space="0"/>
              <w:left w:val="single" w:color="000000" w:sz="8" w:space="0"/>
              <w:bottom w:val="single" w:color="000000" w:sz="8" w:space="0"/>
              <w:right w:val="single" w:color="000000" w:sz="8" w:space="0"/>
            </w:tcBorders>
            <w:shd w:val="clear" w:color="auto" w:fill="BFBFBF"/>
            <w:tcMar>
              <w:top w:w="8" w:type="dxa"/>
              <w:left w:w="8" w:type="dxa"/>
              <w:right w:w="8" w:type="dxa"/>
            </w:tcMar>
            <w:vAlign w:val="center"/>
          </w:tcPr>
          <w:p>
            <w:pPr>
              <w:jc w:val="center"/>
              <w:rPr>
                <w:rFonts w:hint="eastAsia" w:ascii="微软雅黑" w:hAnsi="微软雅黑" w:eastAsia="微软雅黑" w:cs="微软雅黑"/>
                <w:b/>
                <w:i w:val="0"/>
                <w:color w:val="000000"/>
                <w:sz w:val="18"/>
                <w:szCs w:val="18"/>
                <w:u w:val="none"/>
              </w:rPr>
            </w:pPr>
          </w:p>
        </w:tc>
        <w:tc>
          <w:tcPr>
            <w:tcW w:w="8817" w:type="dxa"/>
            <w:gridSpan w:val="4"/>
            <w:tcBorders>
              <w:top w:val="single" w:color="000000" w:sz="4" w:space="0"/>
              <w:left w:val="single" w:color="000000" w:sz="8" w:space="0"/>
              <w:bottom w:val="nil"/>
              <w:right w:val="single" w:color="000000" w:sz="8" w:space="0"/>
            </w:tcBorders>
            <w:shd w:val="clear" w:color="auto" w:fill="D9D9D9"/>
            <w:tcMar>
              <w:top w:w="8" w:type="dxa"/>
              <w:left w:w="8" w:type="dxa"/>
              <w:right w:w="8"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产品服务</w:t>
            </w:r>
          </w:p>
        </w:tc>
      </w:tr>
      <w:tr>
        <w:tblPrEx>
          <w:tblLayout w:type="fixed"/>
          <w:tblCellMar>
            <w:top w:w="0" w:type="dxa"/>
            <w:left w:w="0" w:type="dxa"/>
            <w:bottom w:w="0" w:type="dxa"/>
            <w:right w:w="0" w:type="dxa"/>
          </w:tblCellMar>
        </w:tblPrEx>
        <w:trPr>
          <w:trHeight w:val="1220" w:hRule="atLeast"/>
        </w:trPr>
        <w:tc>
          <w:tcPr>
            <w:tcW w:w="274" w:type="dxa"/>
            <w:vMerge w:val="continue"/>
            <w:tcBorders>
              <w:top w:val="single" w:color="000000" w:sz="8" w:space="0"/>
              <w:left w:val="single" w:color="000000" w:sz="8" w:space="0"/>
              <w:bottom w:val="single" w:color="000000" w:sz="8" w:space="0"/>
              <w:right w:val="single" w:color="000000" w:sz="8" w:space="0"/>
            </w:tcBorders>
            <w:shd w:val="clear" w:color="auto" w:fill="BFBFBF"/>
            <w:tcMar>
              <w:top w:w="8" w:type="dxa"/>
              <w:left w:w="8" w:type="dxa"/>
              <w:right w:w="8" w:type="dxa"/>
            </w:tcMar>
            <w:vAlign w:val="center"/>
          </w:tcPr>
          <w:p>
            <w:pPr>
              <w:jc w:val="center"/>
              <w:rPr>
                <w:rFonts w:hint="eastAsia" w:ascii="微软雅黑" w:hAnsi="微软雅黑" w:eastAsia="微软雅黑" w:cs="微软雅黑"/>
                <w:b/>
                <w:i w:val="0"/>
                <w:color w:val="000000"/>
                <w:sz w:val="18"/>
                <w:szCs w:val="18"/>
                <w:u w:val="none"/>
              </w:rPr>
            </w:pPr>
          </w:p>
        </w:tc>
        <w:tc>
          <w:tcPr>
            <w:tcW w:w="1571" w:type="dxa"/>
            <w:tcBorders>
              <w:top w:val="single" w:color="000000" w:sz="4" w:space="0"/>
              <w:left w:val="nil"/>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现场实施服务</w:t>
            </w:r>
          </w:p>
        </w:tc>
        <w:tc>
          <w:tcPr>
            <w:tcW w:w="7246" w:type="dxa"/>
            <w:gridSpan w:val="3"/>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snapToGrid w:val="0"/>
                <w:kern w:val="0"/>
                <w:sz w:val="18"/>
                <w:szCs w:val="18"/>
                <w:lang w:val="en-US" w:eastAsia="zh-CN"/>
              </w:rPr>
              <w:t>软件实施工程师现场软件安装调试，包括：实施环境调研、数据模型搭建、软件安装、原系统数据和功能迁移、软件调试、实施文档编写。现场实施服务前会下发部署环境需求表和监控对象调查表，原则上待环境准备齐全，监控对象监控账号开通后方可入场。</w:t>
            </w:r>
          </w:p>
        </w:tc>
      </w:tr>
      <w:tr>
        <w:tblPrEx>
          <w:shd w:val="clear" w:color="auto" w:fill="auto"/>
          <w:tblLayout w:type="fixed"/>
          <w:tblCellMar>
            <w:top w:w="0" w:type="dxa"/>
            <w:left w:w="0" w:type="dxa"/>
            <w:bottom w:w="0" w:type="dxa"/>
            <w:right w:w="0" w:type="dxa"/>
          </w:tblCellMar>
        </w:tblPrEx>
        <w:trPr>
          <w:trHeight w:val="860" w:hRule="atLeast"/>
        </w:trPr>
        <w:tc>
          <w:tcPr>
            <w:tcW w:w="274" w:type="dxa"/>
            <w:vMerge w:val="continue"/>
            <w:tcBorders>
              <w:top w:val="single" w:color="000000" w:sz="8" w:space="0"/>
              <w:left w:val="single" w:color="000000" w:sz="8" w:space="0"/>
              <w:bottom w:val="single" w:color="000000" w:sz="8" w:space="0"/>
              <w:right w:val="single" w:color="000000" w:sz="8" w:space="0"/>
            </w:tcBorders>
            <w:shd w:val="clear" w:color="auto" w:fill="BFBFBF"/>
            <w:tcMar>
              <w:top w:w="8" w:type="dxa"/>
              <w:left w:w="8" w:type="dxa"/>
              <w:right w:w="8" w:type="dxa"/>
            </w:tcMar>
            <w:vAlign w:val="center"/>
          </w:tcPr>
          <w:p>
            <w:pPr>
              <w:jc w:val="center"/>
              <w:rPr>
                <w:rFonts w:hint="eastAsia" w:ascii="微软雅黑" w:hAnsi="微软雅黑" w:eastAsia="微软雅黑" w:cs="微软雅黑"/>
                <w:b/>
                <w:i w:val="0"/>
                <w:color w:val="000000"/>
                <w:sz w:val="18"/>
                <w:szCs w:val="18"/>
                <w:u w:val="none"/>
              </w:rPr>
            </w:pPr>
          </w:p>
        </w:tc>
        <w:tc>
          <w:tcPr>
            <w:tcW w:w="1571" w:type="dxa"/>
            <w:tcBorders>
              <w:top w:val="single" w:color="000000" w:sz="4" w:space="0"/>
              <w:left w:val="nil"/>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现场培训（免费）</w:t>
            </w:r>
          </w:p>
        </w:tc>
        <w:tc>
          <w:tcPr>
            <w:tcW w:w="7246" w:type="dxa"/>
            <w:gridSpan w:val="3"/>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snapToGrid w:val="0"/>
                <w:kern w:val="0"/>
                <w:sz w:val="18"/>
                <w:szCs w:val="18"/>
                <w:lang w:val="en-US" w:eastAsia="zh-CN"/>
              </w:rPr>
              <w:t>内容包括有：在实施过程中对项目参与人员提供软件安装、日常操作与维护管理的软件使用基本培训，保证客户能够正常使用和维护。</w:t>
            </w:r>
          </w:p>
        </w:tc>
      </w:tr>
      <w:tr>
        <w:tblPrEx>
          <w:tblLayout w:type="fixed"/>
          <w:tblCellMar>
            <w:top w:w="0" w:type="dxa"/>
            <w:left w:w="0" w:type="dxa"/>
            <w:bottom w:w="0" w:type="dxa"/>
            <w:right w:w="0" w:type="dxa"/>
          </w:tblCellMar>
        </w:tblPrEx>
        <w:trPr>
          <w:trHeight w:val="1040" w:hRule="atLeast"/>
        </w:trPr>
        <w:tc>
          <w:tcPr>
            <w:tcW w:w="274" w:type="dxa"/>
            <w:vMerge w:val="continue"/>
            <w:tcBorders>
              <w:top w:val="single" w:color="000000" w:sz="8" w:space="0"/>
              <w:left w:val="single" w:color="000000" w:sz="8" w:space="0"/>
              <w:bottom w:val="single" w:color="000000" w:sz="8" w:space="0"/>
              <w:right w:val="single" w:color="000000" w:sz="8" w:space="0"/>
            </w:tcBorders>
            <w:shd w:val="clear" w:color="auto" w:fill="BFBFBF"/>
            <w:tcMar>
              <w:top w:w="8" w:type="dxa"/>
              <w:left w:w="8" w:type="dxa"/>
              <w:right w:w="8" w:type="dxa"/>
            </w:tcMar>
            <w:vAlign w:val="center"/>
          </w:tcPr>
          <w:p>
            <w:pPr>
              <w:jc w:val="center"/>
              <w:rPr>
                <w:rFonts w:hint="eastAsia" w:ascii="微软雅黑" w:hAnsi="微软雅黑" w:eastAsia="微软雅黑" w:cs="微软雅黑"/>
                <w:b/>
                <w:i w:val="0"/>
                <w:color w:val="000000"/>
                <w:sz w:val="18"/>
                <w:szCs w:val="18"/>
                <w:u w:val="none"/>
              </w:rPr>
            </w:pPr>
          </w:p>
        </w:tc>
        <w:tc>
          <w:tcPr>
            <w:tcW w:w="1571" w:type="dxa"/>
            <w:tcBorders>
              <w:top w:val="single" w:color="000000" w:sz="4" w:space="0"/>
              <w:left w:val="nil"/>
              <w:bottom w:val="nil"/>
              <w:right w:val="single" w:color="000000" w:sz="4" w:space="0"/>
            </w:tcBorders>
            <w:shd w:val="clear" w:color="auto" w:fill="auto"/>
            <w:tcMar>
              <w:top w:w="8" w:type="dxa"/>
              <w:left w:w="8" w:type="dxa"/>
              <w:right w:w="8"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软件维保服务</w:t>
            </w:r>
          </w:p>
        </w:tc>
        <w:tc>
          <w:tcPr>
            <w:tcW w:w="7246" w:type="dxa"/>
            <w:gridSpan w:val="3"/>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snapToGrid w:val="0"/>
                <w:kern w:val="0"/>
                <w:sz w:val="18"/>
                <w:szCs w:val="18"/>
                <w:lang w:val="en-US" w:eastAsia="zh-CN"/>
              </w:rPr>
              <w:t>（1年），内容包含有：提供5x8远程技术支持服务、应急响应服务、版本升级服务，开始时间以交付正式License日期计算。</w:t>
            </w:r>
            <w:r>
              <w:rPr>
                <w:rFonts w:hint="eastAsia" w:ascii="微软雅黑" w:hAnsi="微软雅黑" w:eastAsia="微软雅黑" w:cs="微软雅黑"/>
                <w:snapToGrid w:val="0"/>
                <w:kern w:val="0"/>
                <w:sz w:val="18"/>
                <w:szCs w:val="18"/>
                <w:lang w:val="en-US" w:eastAsia="zh-CN"/>
              </w:rPr>
              <w:br w:type="textWrapping"/>
            </w:r>
            <w:r>
              <w:rPr>
                <w:rFonts w:hint="eastAsia" w:ascii="微软雅黑" w:hAnsi="微软雅黑" w:eastAsia="微软雅黑" w:cs="微软雅黑"/>
                <w:snapToGrid w:val="0"/>
                <w:kern w:val="0"/>
                <w:sz w:val="18"/>
                <w:szCs w:val="18"/>
                <w:lang w:val="en-US" w:eastAsia="zh-CN"/>
              </w:rPr>
              <w:t>维护期外提供终身远程咨询服务。</w:t>
            </w:r>
          </w:p>
        </w:tc>
      </w:tr>
      <w:tr>
        <w:tblPrEx>
          <w:shd w:val="clear" w:color="auto" w:fill="auto"/>
          <w:tblLayout w:type="fixed"/>
          <w:tblCellMar>
            <w:top w:w="0" w:type="dxa"/>
            <w:left w:w="0" w:type="dxa"/>
            <w:bottom w:w="0" w:type="dxa"/>
            <w:right w:w="0" w:type="dxa"/>
          </w:tblCellMar>
        </w:tblPrEx>
        <w:trPr>
          <w:trHeight w:val="440" w:hRule="atLeast"/>
        </w:trPr>
        <w:tc>
          <w:tcPr>
            <w:tcW w:w="274" w:type="dxa"/>
            <w:vMerge w:val="continue"/>
            <w:tcBorders>
              <w:top w:val="single" w:color="000000" w:sz="8" w:space="0"/>
              <w:left w:val="single" w:color="000000" w:sz="8" w:space="0"/>
              <w:bottom w:val="single" w:color="000000" w:sz="8" w:space="0"/>
              <w:right w:val="single" w:color="000000" w:sz="8" w:space="0"/>
            </w:tcBorders>
            <w:shd w:val="clear" w:color="auto" w:fill="BFBFBF"/>
            <w:tcMar>
              <w:top w:w="8" w:type="dxa"/>
              <w:left w:w="8" w:type="dxa"/>
              <w:right w:w="8" w:type="dxa"/>
            </w:tcMar>
            <w:vAlign w:val="center"/>
          </w:tcPr>
          <w:p>
            <w:pPr>
              <w:jc w:val="center"/>
              <w:rPr>
                <w:rFonts w:hint="eastAsia" w:ascii="微软雅黑" w:hAnsi="微软雅黑" w:eastAsia="微软雅黑" w:cs="微软雅黑"/>
                <w:b/>
                <w:i w:val="0"/>
                <w:color w:val="000000"/>
                <w:sz w:val="18"/>
                <w:szCs w:val="18"/>
                <w:u w:val="none"/>
              </w:rPr>
            </w:pPr>
          </w:p>
        </w:tc>
        <w:tc>
          <w:tcPr>
            <w:tcW w:w="1571" w:type="dxa"/>
            <w:tcBorders>
              <w:top w:val="single" w:color="000000" w:sz="4" w:space="0"/>
              <w:left w:val="nil"/>
              <w:bottom w:val="single" w:color="000000" w:sz="8"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基础包价格：</w:t>
            </w:r>
          </w:p>
        </w:tc>
        <w:tc>
          <w:tcPr>
            <w:tcW w:w="5054" w:type="dxa"/>
            <w:tcBorders>
              <w:top w:val="single" w:color="000000" w:sz="4" w:space="0"/>
              <w:left w:val="single" w:color="000000" w:sz="4" w:space="0"/>
              <w:bottom w:val="single" w:color="000000" w:sz="8"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人民币：壹拾万圆整</w:t>
            </w:r>
          </w:p>
        </w:tc>
        <w:tc>
          <w:tcPr>
            <w:tcW w:w="990" w:type="dxa"/>
            <w:tcBorders>
              <w:top w:val="single" w:color="000000" w:sz="4" w:space="0"/>
              <w:left w:val="single" w:color="000000" w:sz="4" w:space="0"/>
              <w:bottom w:val="single" w:color="000000" w:sz="8"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小计：</w:t>
            </w:r>
          </w:p>
        </w:tc>
        <w:tc>
          <w:tcPr>
            <w:tcW w:w="1202" w:type="dxa"/>
            <w:tcBorders>
              <w:top w:val="single" w:color="000000" w:sz="4" w:space="0"/>
              <w:left w:val="single" w:color="000000" w:sz="4" w:space="0"/>
              <w:bottom w:val="single" w:color="000000" w:sz="8" w:space="0"/>
              <w:right w:val="single" w:color="000000" w:sz="8"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¥100,000</w:t>
            </w:r>
          </w:p>
        </w:tc>
      </w:tr>
      <w:tr>
        <w:tblPrEx>
          <w:tblLayout w:type="fixed"/>
          <w:tblCellMar>
            <w:top w:w="0" w:type="dxa"/>
            <w:left w:w="0" w:type="dxa"/>
            <w:bottom w:w="0" w:type="dxa"/>
            <w:right w:w="0" w:type="dxa"/>
          </w:tblCellMar>
        </w:tblPrEx>
        <w:trPr>
          <w:trHeight w:val="645" w:hRule="atLeast"/>
        </w:trPr>
        <w:tc>
          <w:tcPr>
            <w:tcW w:w="1845" w:type="dxa"/>
            <w:gridSpan w:val="2"/>
            <w:tcBorders>
              <w:top w:val="single" w:color="000000" w:sz="4" w:space="0"/>
              <w:left w:val="single" w:color="000000" w:sz="8"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总计：</w:t>
            </w:r>
          </w:p>
        </w:tc>
        <w:tc>
          <w:tcPr>
            <w:tcW w:w="50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left"/>
              <w:rPr>
                <w:rFonts w:hint="eastAsia" w:ascii="微软雅黑" w:hAnsi="微软雅黑" w:eastAsia="微软雅黑" w:cs="微软雅黑"/>
                <w:i w:val="0"/>
                <w:color w:val="00B050"/>
                <w:sz w:val="18"/>
                <w:szCs w:val="18"/>
                <w:u w:val="none"/>
              </w:rPr>
            </w:pPr>
          </w:p>
        </w:tc>
        <w:tc>
          <w:tcPr>
            <w:tcW w:w="2192" w:type="dxa"/>
            <w:gridSpan w:val="2"/>
            <w:tcBorders>
              <w:top w:val="single" w:color="000000" w:sz="4" w:space="0"/>
              <w:left w:val="single" w:color="000000" w:sz="4" w:space="0"/>
              <w:bottom w:val="single" w:color="000000" w:sz="4" w:space="0"/>
              <w:right w:val="single" w:color="000000" w:sz="8"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¥100,000</w:t>
            </w:r>
          </w:p>
        </w:tc>
      </w:tr>
      <w:tr>
        <w:tblPrEx>
          <w:tblLayout w:type="fixed"/>
          <w:tblCellMar>
            <w:top w:w="0" w:type="dxa"/>
            <w:left w:w="0" w:type="dxa"/>
            <w:bottom w:w="0" w:type="dxa"/>
            <w:right w:w="0" w:type="dxa"/>
          </w:tblCellMar>
        </w:tblPrEx>
        <w:trPr>
          <w:trHeight w:val="645" w:hRule="atLeast"/>
        </w:trPr>
        <w:tc>
          <w:tcPr>
            <w:tcW w:w="1845" w:type="dxa"/>
            <w:gridSpan w:val="2"/>
            <w:tcBorders>
              <w:top w:val="single" w:color="000000" w:sz="4" w:space="0"/>
              <w:left w:val="single" w:color="000000" w:sz="8"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折扣：</w:t>
            </w:r>
          </w:p>
        </w:tc>
        <w:tc>
          <w:tcPr>
            <w:tcW w:w="50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微软雅黑" w:hAnsi="微软雅黑" w:eastAsia="微软雅黑" w:cs="微软雅黑"/>
                <w:i w:val="0"/>
                <w:color w:val="00B050"/>
                <w:sz w:val="18"/>
                <w:szCs w:val="18"/>
                <w:u w:val="none"/>
              </w:rPr>
            </w:pPr>
          </w:p>
        </w:tc>
        <w:tc>
          <w:tcPr>
            <w:tcW w:w="2192" w:type="dxa"/>
            <w:gridSpan w:val="2"/>
            <w:tcBorders>
              <w:top w:val="single" w:color="000000" w:sz="4" w:space="0"/>
              <w:left w:val="single" w:color="000000" w:sz="4" w:space="0"/>
              <w:bottom w:val="single" w:color="000000" w:sz="4" w:space="0"/>
              <w:right w:val="single" w:color="000000" w:sz="8"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60%</w:t>
            </w:r>
          </w:p>
        </w:tc>
      </w:tr>
      <w:tr>
        <w:tblPrEx>
          <w:shd w:val="clear" w:color="auto" w:fill="auto"/>
          <w:tblLayout w:type="fixed"/>
          <w:tblCellMar>
            <w:top w:w="0" w:type="dxa"/>
            <w:left w:w="0" w:type="dxa"/>
            <w:bottom w:w="0" w:type="dxa"/>
            <w:right w:w="0" w:type="dxa"/>
          </w:tblCellMar>
        </w:tblPrEx>
        <w:trPr>
          <w:trHeight w:val="645" w:hRule="atLeast"/>
        </w:trPr>
        <w:tc>
          <w:tcPr>
            <w:tcW w:w="1845" w:type="dxa"/>
            <w:gridSpan w:val="2"/>
            <w:tcBorders>
              <w:top w:val="nil"/>
              <w:left w:val="single" w:color="000000" w:sz="8" w:space="0"/>
              <w:bottom w:val="single" w:color="000000" w:sz="8"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成交价格：</w:t>
            </w:r>
          </w:p>
        </w:tc>
        <w:tc>
          <w:tcPr>
            <w:tcW w:w="5054" w:type="dxa"/>
            <w:tcBorders>
              <w:top w:val="nil"/>
              <w:left w:val="single" w:color="000000" w:sz="4" w:space="0"/>
              <w:bottom w:val="single" w:color="000000" w:sz="8"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FF0000"/>
                <w:sz w:val="18"/>
                <w:szCs w:val="18"/>
                <w:u w:val="none"/>
              </w:rPr>
            </w:pPr>
            <w:r>
              <w:rPr>
                <w:rFonts w:hint="eastAsia" w:ascii="微软雅黑" w:hAnsi="微软雅黑" w:eastAsia="微软雅黑" w:cs="微软雅黑"/>
                <w:b/>
                <w:i w:val="0"/>
                <w:color w:val="FF0000"/>
                <w:kern w:val="0"/>
                <w:sz w:val="18"/>
                <w:szCs w:val="18"/>
                <w:u w:val="none"/>
                <w:lang w:val="en-US" w:eastAsia="zh-CN" w:bidi="ar"/>
              </w:rPr>
              <w:t>人民币：陆万圆整</w:t>
            </w:r>
          </w:p>
        </w:tc>
        <w:tc>
          <w:tcPr>
            <w:tcW w:w="2192" w:type="dxa"/>
            <w:gridSpan w:val="2"/>
            <w:tcBorders>
              <w:top w:val="nil"/>
              <w:left w:val="single" w:color="000000" w:sz="4" w:space="0"/>
              <w:bottom w:val="single" w:color="000000" w:sz="8" w:space="0"/>
              <w:right w:val="single" w:color="000000" w:sz="8"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FF0000"/>
                <w:sz w:val="18"/>
                <w:szCs w:val="18"/>
                <w:u w:val="none"/>
              </w:rPr>
            </w:pPr>
            <w:r>
              <w:rPr>
                <w:rFonts w:hint="eastAsia" w:ascii="微软雅黑" w:hAnsi="微软雅黑" w:eastAsia="微软雅黑" w:cs="微软雅黑"/>
                <w:b/>
                <w:i w:val="0"/>
                <w:color w:val="FF0000"/>
                <w:kern w:val="0"/>
                <w:sz w:val="18"/>
                <w:szCs w:val="18"/>
                <w:u w:val="none"/>
                <w:lang w:val="en-US" w:eastAsia="zh-CN" w:bidi="ar"/>
              </w:rPr>
              <w:t>¥60,000</w:t>
            </w:r>
          </w:p>
        </w:tc>
      </w:tr>
    </w:tbl>
    <w:p>
      <w:pPr>
        <w:tabs>
          <w:tab w:val="left" w:pos="851"/>
          <w:tab w:val="left" w:pos="1134"/>
          <w:tab w:val="left" w:pos="1276"/>
        </w:tabs>
        <w:spacing w:line="360" w:lineRule="atLeast"/>
        <w:rPr>
          <w:rFonts w:hint="eastAsia" w:cs="Times New Roman"/>
          <w:b/>
          <w:snapToGrid w:val="0"/>
          <w:kern w:val="0"/>
          <w:sz w:val="28"/>
          <w:szCs w:val="28"/>
          <w:lang w:val="en-US" w:eastAsia="zh-CN" w:bidi="ar-SA"/>
        </w:rPr>
      </w:pPr>
      <w:r>
        <w:rPr>
          <w:rFonts w:hint="eastAsia" w:cs="Times New Roman"/>
          <w:b/>
          <w:snapToGrid w:val="0"/>
          <w:kern w:val="0"/>
          <w:sz w:val="28"/>
          <w:szCs w:val="28"/>
          <w:lang w:val="en-US" w:eastAsia="zh-CN" w:bidi="ar-SA"/>
        </w:rPr>
        <w:t xml:space="preserve"> </w:t>
      </w:r>
    </w:p>
    <w:p>
      <w:pPr>
        <w:tabs>
          <w:tab w:val="left" w:pos="851"/>
          <w:tab w:val="left" w:pos="1134"/>
          <w:tab w:val="left" w:pos="1276"/>
        </w:tabs>
        <w:spacing w:line="360" w:lineRule="atLeast"/>
        <w:rPr>
          <w:rFonts w:hint="eastAsia" w:cs="Times New Roman"/>
          <w:b/>
          <w:snapToGrid w:val="0"/>
          <w:kern w:val="0"/>
          <w:sz w:val="28"/>
          <w:szCs w:val="28"/>
          <w:lang w:val="en-US" w:eastAsia="zh-CN" w:bidi="ar-SA"/>
        </w:rPr>
      </w:pPr>
    </w:p>
    <w:p>
      <w:pPr>
        <w:tabs>
          <w:tab w:val="left" w:pos="851"/>
          <w:tab w:val="left" w:pos="1134"/>
          <w:tab w:val="left" w:pos="1276"/>
        </w:tabs>
        <w:spacing w:line="360" w:lineRule="atLeast"/>
        <w:rPr>
          <w:rFonts w:hint="eastAsia" w:cs="Times New Roman"/>
          <w:b/>
          <w:snapToGrid w:val="0"/>
          <w:kern w:val="0"/>
          <w:sz w:val="28"/>
          <w:szCs w:val="28"/>
          <w:lang w:val="en-US" w:eastAsia="zh-CN" w:bidi="ar-SA"/>
        </w:rPr>
      </w:pPr>
    </w:p>
    <w:p>
      <w:pPr>
        <w:tabs>
          <w:tab w:val="left" w:pos="851"/>
          <w:tab w:val="left" w:pos="1134"/>
          <w:tab w:val="left" w:pos="1276"/>
        </w:tabs>
        <w:spacing w:line="360" w:lineRule="atLeast"/>
        <w:rPr>
          <w:rFonts w:hint="eastAsia" w:cs="Times New Roman"/>
          <w:b/>
          <w:snapToGrid w:val="0"/>
          <w:kern w:val="0"/>
          <w:sz w:val="28"/>
          <w:szCs w:val="28"/>
          <w:lang w:val="en-US" w:eastAsia="zh-CN" w:bidi="ar-SA"/>
        </w:rPr>
      </w:pPr>
    </w:p>
    <w:p>
      <w:pPr>
        <w:tabs>
          <w:tab w:val="left" w:pos="851"/>
          <w:tab w:val="left" w:pos="1134"/>
          <w:tab w:val="left" w:pos="1276"/>
        </w:tabs>
        <w:spacing w:line="360" w:lineRule="atLeast"/>
        <w:rPr>
          <w:rFonts w:hint="eastAsia" w:cs="Times New Roman"/>
          <w:b/>
          <w:snapToGrid w:val="0"/>
          <w:kern w:val="0"/>
          <w:sz w:val="28"/>
          <w:szCs w:val="28"/>
          <w:lang w:val="en-US" w:eastAsia="zh-CN" w:bidi="ar-SA"/>
        </w:rPr>
      </w:pPr>
    </w:p>
    <w:p>
      <w:pPr>
        <w:tabs>
          <w:tab w:val="left" w:pos="851"/>
          <w:tab w:val="left" w:pos="1134"/>
          <w:tab w:val="left" w:pos="1276"/>
        </w:tabs>
        <w:spacing w:line="360" w:lineRule="atLeast"/>
        <w:rPr>
          <w:rFonts w:hint="eastAsia" w:cs="Times New Roman"/>
          <w:b/>
          <w:snapToGrid w:val="0"/>
          <w:kern w:val="0"/>
          <w:sz w:val="28"/>
          <w:szCs w:val="28"/>
          <w:lang w:val="en-US" w:eastAsia="zh-CN" w:bidi="ar-SA"/>
        </w:rPr>
      </w:pPr>
    </w:p>
    <w:p>
      <w:pPr>
        <w:tabs>
          <w:tab w:val="left" w:pos="851"/>
          <w:tab w:val="left" w:pos="1134"/>
          <w:tab w:val="left" w:pos="1276"/>
        </w:tabs>
        <w:spacing w:line="360" w:lineRule="atLeast"/>
        <w:rPr>
          <w:rFonts w:hint="eastAsia" w:cs="Times New Roman"/>
          <w:b/>
          <w:snapToGrid w:val="0"/>
          <w:kern w:val="0"/>
          <w:sz w:val="28"/>
          <w:szCs w:val="28"/>
          <w:lang w:val="en-US" w:eastAsia="zh-CN" w:bidi="ar-SA"/>
        </w:rPr>
      </w:pPr>
    </w:p>
    <w:p>
      <w:pPr>
        <w:tabs>
          <w:tab w:val="left" w:pos="851"/>
          <w:tab w:val="left" w:pos="1134"/>
          <w:tab w:val="left" w:pos="1276"/>
        </w:tabs>
        <w:spacing w:line="360" w:lineRule="atLeast"/>
        <w:rPr>
          <w:rFonts w:hint="eastAsia" w:cs="Times New Roman"/>
          <w:b/>
          <w:snapToGrid w:val="0"/>
          <w:kern w:val="0"/>
          <w:sz w:val="28"/>
          <w:szCs w:val="28"/>
          <w:lang w:val="en-US" w:eastAsia="zh-CN" w:bidi="ar-SA"/>
        </w:rPr>
      </w:pPr>
    </w:p>
    <w:p>
      <w:pPr>
        <w:tabs>
          <w:tab w:val="left" w:pos="851"/>
          <w:tab w:val="left" w:pos="1134"/>
          <w:tab w:val="left" w:pos="1276"/>
        </w:tabs>
        <w:spacing w:line="360" w:lineRule="atLeast"/>
        <w:rPr>
          <w:rFonts w:hint="eastAsia" w:cs="Times New Roman"/>
          <w:b/>
          <w:snapToGrid w:val="0"/>
          <w:kern w:val="0"/>
          <w:sz w:val="28"/>
          <w:szCs w:val="28"/>
          <w:lang w:val="en-US" w:eastAsia="zh-CN" w:bidi="ar-SA"/>
        </w:rPr>
      </w:pPr>
      <w:bookmarkStart w:id="138" w:name="_GoBack"/>
      <w:bookmarkEnd w:id="138"/>
    </w:p>
    <w:p>
      <w:pPr>
        <w:tabs>
          <w:tab w:val="left" w:pos="851"/>
          <w:tab w:val="left" w:pos="1134"/>
          <w:tab w:val="left" w:pos="1276"/>
        </w:tabs>
        <w:spacing w:line="360" w:lineRule="atLeast"/>
        <w:rPr>
          <w:rFonts w:hint="eastAsia" w:cs="Times New Roman"/>
          <w:b/>
          <w:snapToGrid w:val="0"/>
          <w:kern w:val="0"/>
          <w:sz w:val="28"/>
          <w:szCs w:val="28"/>
          <w:lang w:val="en-US" w:eastAsia="zh-CN" w:bidi="ar-SA"/>
        </w:rPr>
      </w:pPr>
    </w:p>
    <w:p>
      <w:pPr>
        <w:tabs>
          <w:tab w:val="left" w:pos="851"/>
          <w:tab w:val="left" w:pos="1134"/>
          <w:tab w:val="left" w:pos="1276"/>
        </w:tabs>
        <w:spacing w:line="360" w:lineRule="atLeast"/>
        <w:rPr>
          <w:rFonts w:hint="eastAsia" w:cs="Times New Roman"/>
          <w:b/>
          <w:snapToGrid w:val="0"/>
          <w:kern w:val="0"/>
          <w:sz w:val="28"/>
          <w:szCs w:val="28"/>
          <w:lang w:val="en-US" w:eastAsia="zh-CN" w:bidi="ar-SA"/>
        </w:rPr>
      </w:pPr>
    </w:p>
    <w:p>
      <w:pPr>
        <w:tabs>
          <w:tab w:val="left" w:pos="851"/>
          <w:tab w:val="left" w:pos="1134"/>
          <w:tab w:val="left" w:pos="1276"/>
        </w:tabs>
        <w:spacing w:line="360" w:lineRule="atLeast"/>
        <w:rPr>
          <w:rFonts w:hint="eastAsia" w:cs="Times New Roman"/>
          <w:b/>
          <w:snapToGrid w:val="0"/>
          <w:kern w:val="0"/>
          <w:sz w:val="28"/>
          <w:szCs w:val="28"/>
          <w:lang w:val="en-US" w:eastAsia="zh-CN" w:bidi="ar-SA"/>
        </w:rPr>
      </w:pPr>
    </w:p>
    <w:p>
      <w:pPr>
        <w:tabs>
          <w:tab w:val="left" w:pos="851"/>
          <w:tab w:val="left" w:pos="1134"/>
          <w:tab w:val="left" w:pos="1276"/>
        </w:tabs>
        <w:spacing w:line="360" w:lineRule="atLeast"/>
        <w:rPr>
          <w:rFonts w:hint="eastAsia" w:cs="Times New Roman"/>
          <w:b/>
          <w:snapToGrid w:val="0"/>
          <w:kern w:val="0"/>
          <w:sz w:val="28"/>
          <w:szCs w:val="28"/>
          <w:lang w:val="en-US" w:eastAsia="zh-CN" w:bidi="ar-SA"/>
        </w:rPr>
      </w:pPr>
      <w:r>
        <w:rPr>
          <w:rFonts w:hint="eastAsia" w:cs="Times New Roman"/>
          <w:b/>
          <w:snapToGrid w:val="0"/>
          <w:kern w:val="0"/>
          <w:sz w:val="28"/>
          <w:szCs w:val="28"/>
          <w:lang w:val="en-US" w:eastAsia="zh-CN" w:bidi="ar-SA"/>
        </w:rPr>
        <w:t>功能表</w:t>
      </w:r>
    </w:p>
    <w:tbl>
      <w:tblPr>
        <w:tblStyle w:val="3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998"/>
        <w:gridCol w:w="66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851" w:type="dxa"/>
            <w:shd w:val="clear" w:color="auto" w:fill="DCD8C2" w:themeFill="background2" w:themeFillShade="E5"/>
            <w:vAlign w:val="center"/>
          </w:tcPr>
          <w:p>
            <w:pPr>
              <w:ind w:firstLine="180" w:firstLineChars="100"/>
              <w:jc w:val="center"/>
              <w:rPr>
                <w:rFonts w:ascii="微软雅黑" w:hAnsi="微软雅黑" w:eastAsia="微软雅黑"/>
                <w:sz w:val="18"/>
                <w:szCs w:val="18"/>
                <w:highlight w:val="none"/>
              </w:rPr>
            </w:pPr>
            <w:r>
              <w:rPr>
                <w:rFonts w:hint="eastAsia" w:ascii="微软雅黑" w:hAnsi="微软雅黑" w:eastAsia="微软雅黑"/>
                <w:sz w:val="18"/>
                <w:szCs w:val="18"/>
                <w:highlight w:val="none"/>
              </w:rPr>
              <w:t>序号</w:t>
            </w:r>
          </w:p>
        </w:tc>
        <w:tc>
          <w:tcPr>
            <w:tcW w:w="998" w:type="dxa"/>
            <w:shd w:val="clear" w:color="auto" w:fill="DCD8C2" w:themeFill="background2" w:themeFillShade="E5"/>
            <w:vAlign w:val="center"/>
          </w:tcPr>
          <w:p>
            <w:pPr>
              <w:jc w:val="center"/>
              <w:rPr>
                <w:rFonts w:ascii="微软雅黑" w:hAnsi="微软雅黑" w:eastAsia="微软雅黑"/>
                <w:sz w:val="18"/>
                <w:szCs w:val="18"/>
                <w:highlight w:val="none"/>
              </w:rPr>
            </w:pPr>
            <w:r>
              <w:rPr>
                <w:rFonts w:hint="eastAsia" w:ascii="微软雅黑" w:hAnsi="微软雅黑" w:eastAsia="微软雅黑"/>
                <w:sz w:val="18"/>
                <w:szCs w:val="18"/>
                <w:highlight w:val="none"/>
              </w:rPr>
              <w:t>产品功能</w:t>
            </w:r>
          </w:p>
        </w:tc>
        <w:tc>
          <w:tcPr>
            <w:tcW w:w="6673" w:type="dxa"/>
            <w:shd w:val="clear" w:color="auto" w:fill="DCD8C2" w:themeFill="background2" w:themeFillShade="E5"/>
            <w:vAlign w:val="center"/>
          </w:tcPr>
          <w:p>
            <w:pPr>
              <w:jc w:val="center"/>
              <w:rPr>
                <w:rFonts w:ascii="微软雅黑" w:hAnsi="微软雅黑" w:eastAsia="微软雅黑"/>
                <w:sz w:val="18"/>
                <w:szCs w:val="18"/>
                <w:highlight w:val="none"/>
              </w:rPr>
            </w:pPr>
            <w:r>
              <w:rPr>
                <w:rFonts w:hint="eastAsia" w:ascii="微软雅黑" w:hAnsi="微软雅黑" w:eastAsia="微软雅黑"/>
                <w:sz w:val="18"/>
                <w:szCs w:val="18"/>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851" w:type="dxa"/>
            <w:vMerge w:val="restart"/>
            <w:shd w:val="clear" w:color="auto" w:fill="FFFFFF"/>
            <w:vAlign w:val="center"/>
          </w:tcPr>
          <w:p>
            <w:pPr>
              <w:jc w:val="center"/>
              <w:rPr>
                <w:rFonts w:ascii="微软雅黑" w:hAnsi="微软雅黑" w:eastAsia="微软雅黑"/>
                <w:sz w:val="18"/>
                <w:szCs w:val="18"/>
                <w:highlight w:val="none"/>
              </w:rPr>
            </w:pPr>
            <w:r>
              <w:rPr>
                <w:rFonts w:hint="eastAsia" w:ascii="微软雅黑" w:hAnsi="微软雅黑" w:eastAsia="微软雅黑"/>
                <w:sz w:val="18"/>
                <w:szCs w:val="18"/>
                <w:highlight w:val="none"/>
              </w:rPr>
              <w:t>1</w:t>
            </w:r>
          </w:p>
        </w:tc>
        <w:tc>
          <w:tcPr>
            <w:tcW w:w="998" w:type="dxa"/>
            <w:vMerge w:val="restart"/>
            <w:shd w:val="clear" w:color="auto" w:fill="FFFFFF"/>
            <w:vAlign w:val="center"/>
          </w:tcPr>
          <w:p>
            <w:pPr>
              <w:jc w:val="left"/>
              <w:rPr>
                <w:rFonts w:ascii="微软雅黑" w:hAnsi="微软雅黑" w:eastAsia="微软雅黑"/>
                <w:sz w:val="18"/>
                <w:szCs w:val="18"/>
                <w:highlight w:val="none"/>
              </w:rPr>
            </w:pPr>
            <w:r>
              <w:rPr>
                <w:rFonts w:hint="eastAsia" w:ascii="微软雅黑" w:hAnsi="微软雅黑" w:eastAsia="微软雅黑"/>
                <w:sz w:val="18"/>
                <w:szCs w:val="18"/>
                <w:highlight w:val="none"/>
              </w:rPr>
              <w:t>网络监控</w:t>
            </w:r>
          </w:p>
        </w:tc>
        <w:tc>
          <w:tcPr>
            <w:tcW w:w="6673" w:type="dxa"/>
            <w:shd w:val="clear" w:color="auto" w:fill="FFFFFF"/>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提供跨厂商的网络设备监控管理。对网络设备的连接状态、链路状态、板卡状态、端口状态、链路连通性和性能指标越界等故障告警。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851" w:type="dxa"/>
            <w:vMerge w:val="continue"/>
            <w:shd w:val="clear" w:color="auto" w:fill="FFFFFF"/>
            <w:vAlign w:val="center"/>
          </w:tcPr>
          <w:p>
            <w:pPr>
              <w:jc w:val="center"/>
              <w:rPr>
                <w:rFonts w:ascii="微软雅黑" w:hAnsi="微软雅黑" w:eastAsia="微软雅黑"/>
                <w:sz w:val="18"/>
                <w:szCs w:val="18"/>
                <w:highlight w:val="none"/>
              </w:rPr>
            </w:pPr>
          </w:p>
        </w:tc>
        <w:tc>
          <w:tcPr>
            <w:tcW w:w="998" w:type="dxa"/>
            <w:vMerge w:val="continue"/>
            <w:shd w:val="clear" w:color="auto" w:fill="FFFFFF"/>
            <w:vAlign w:val="center"/>
          </w:tcPr>
          <w:p>
            <w:pPr>
              <w:jc w:val="left"/>
              <w:rPr>
                <w:rFonts w:ascii="微软雅黑" w:hAnsi="微软雅黑" w:eastAsia="微软雅黑"/>
                <w:sz w:val="18"/>
                <w:szCs w:val="18"/>
                <w:highlight w:val="none"/>
              </w:rPr>
            </w:pPr>
          </w:p>
        </w:tc>
        <w:tc>
          <w:tcPr>
            <w:tcW w:w="6673" w:type="dxa"/>
            <w:shd w:val="clear" w:color="auto" w:fill="FFFFFF"/>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实时展示网络设备的性能、端口利用率、端口输入、输出双向的使用情况端口流量，可以根据策略灵活定制关注的网络设备性能指标，以及性能指标的时间采集频率、以及各个指标的告警阈值。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851" w:type="dxa"/>
            <w:vMerge w:val="continue"/>
            <w:shd w:val="clear" w:color="auto" w:fill="FFFFFF"/>
            <w:vAlign w:val="center"/>
          </w:tcPr>
          <w:p>
            <w:pPr>
              <w:jc w:val="center"/>
              <w:rPr>
                <w:rFonts w:ascii="微软雅黑" w:hAnsi="微软雅黑" w:eastAsia="微软雅黑"/>
                <w:sz w:val="18"/>
                <w:szCs w:val="18"/>
                <w:highlight w:val="none"/>
              </w:rPr>
            </w:pPr>
          </w:p>
        </w:tc>
        <w:tc>
          <w:tcPr>
            <w:tcW w:w="998" w:type="dxa"/>
            <w:vMerge w:val="continue"/>
            <w:shd w:val="clear" w:color="auto" w:fill="FFFFFF"/>
            <w:vAlign w:val="center"/>
          </w:tcPr>
          <w:p>
            <w:pPr>
              <w:jc w:val="left"/>
              <w:rPr>
                <w:rFonts w:ascii="微软雅黑" w:hAnsi="微软雅黑" w:eastAsia="微软雅黑"/>
                <w:sz w:val="18"/>
                <w:szCs w:val="18"/>
                <w:highlight w:val="none"/>
              </w:rPr>
            </w:pPr>
          </w:p>
        </w:tc>
        <w:tc>
          <w:tcPr>
            <w:tcW w:w="6673" w:type="dxa"/>
            <w:shd w:val="clear" w:color="auto" w:fill="FFFFFF"/>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支持对主流厂商（Juniper、天融信、绿盟、趋势科技、H3C、网神、fortigate等）、主流安全设备(防火墙、入侵监测系统、入侵保护系统、审计认证系统、漏洞扫描系统、安全网闸、防病毒网关、VPN等)的监控。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851" w:type="dxa"/>
            <w:vMerge w:val="continue"/>
            <w:shd w:val="clear" w:color="auto" w:fill="FFFFFF"/>
            <w:vAlign w:val="center"/>
          </w:tcPr>
          <w:p>
            <w:pPr>
              <w:jc w:val="center"/>
              <w:rPr>
                <w:rFonts w:ascii="微软雅黑" w:hAnsi="微软雅黑" w:eastAsia="微软雅黑"/>
                <w:sz w:val="18"/>
                <w:szCs w:val="18"/>
                <w:highlight w:val="none"/>
              </w:rPr>
            </w:pPr>
          </w:p>
        </w:tc>
        <w:tc>
          <w:tcPr>
            <w:tcW w:w="998" w:type="dxa"/>
            <w:vMerge w:val="continue"/>
            <w:shd w:val="clear" w:color="auto" w:fill="FFFFFF"/>
            <w:vAlign w:val="center"/>
          </w:tcPr>
          <w:p>
            <w:pPr>
              <w:jc w:val="left"/>
              <w:rPr>
                <w:rFonts w:ascii="微软雅黑" w:hAnsi="微软雅黑" w:eastAsia="微软雅黑"/>
                <w:sz w:val="18"/>
                <w:szCs w:val="18"/>
                <w:highlight w:val="none"/>
              </w:rPr>
            </w:pPr>
          </w:p>
        </w:tc>
        <w:tc>
          <w:tcPr>
            <w:tcW w:w="6673" w:type="dxa"/>
            <w:shd w:val="clear" w:color="auto" w:fill="FFFFFF"/>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★通过SNMP、SSH、TELNET等协议将企业网管辖范围内的网络等重要设备的配置信息定期采集备份下来，摆脱了烦琐的定期人为操作，并且提供配置的</w:t>
            </w:r>
            <w:r>
              <w:rPr>
                <w:rFonts w:hint="eastAsia" w:ascii="微软雅黑" w:hAnsi="微软雅黑" w:eastAsia="微软雅黑"/>
                <w:sz w:val="18"/>
                <w:szCs w:val="18"/>
                <w:highlight w:val="none"/>
                <w:u w:val="single"/>
              </w:rPr>
              <w:t>图形化变更信息对比</w:t>
            </w:r>
            <w:r>
              <w:rPr>
                <w:rFonts w:hint="eastAsia" w:ascii="微软雅黑" w:hAnsi="微软雅黑" w:eastAsia="微软雅黑"/>
                <w:sz w:val="18"/>
                <w:szCs w:val="18"/>
                <w:highlight w:val="none"/>
              </w:rPr>
              <w:t>，支持定时采集策略和手工备份策略，支持配置发生变化时自动触发告警。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restart"/>
            <w:shd w:val="clear" w:color="auto" w:fill="auto"/>
            <w:vAlign w:val="center"/>
          </w:tcPr>
          <w:p>
            <w:pPr>
              <w:jc w:val="center"/>
              <w:rPr>
                <w:rFonts w:ascii="微软雅黑" w:hAnsi="微软雅黑" w:eastAsia="微软雅黑"/>
                <w:sz w:val="18"/>
                <w:szCs w:val="18"/>
                <w:highlight w:val="none"/>
              </w:rPr>
            </w:pPr>
            <w:r>
              <w:rPr>
                <w:rFonts w:hint="eastAsia" w:ascii="微软雅黑" w:hAnsi="微软雅黑" w:eastAsia="微软雅黑"/>
                <w:sz w:val="18"/>
                <w:szCs w:val="18"/>
                <w:highlight w:val="none"/>
              </w:rPr>
              <w:t>2</w:t>
            </w:r>
          </w:p>
        </w:tc>
        <w:tc>
          <w:tcPr>
            <w:tcW w:w="998" w:type="dxa"/>
            <w:vMerge w:val="restart"/>
            <w:shd w:val="clear" w:color="auto" w:fill="auto"/>
            <w:vAlign w:val="center"/>
          </w:tcPr>
          <w:p>
            <w:pPr>
              <w:jc w:val="left"/>
              <w:rPr>
                <w:rFonts w:ascii="微软雅黑" w:hAnsi="微软雅黑" w:eastAsia="微软雅黑"/>
                <w:sz w:val="18"/>
                <w:szCs w:val="18"/>
                <w:highlight w:val="none"/>
              </w:rPr>
            </w:pPr>
            <w:r>
              <w:rPr>
                <w:rFonts w:hint="eastAsia" w:ascii="微软雅黑" w:hAnsi="微软雅黑" w:eastAsia="微软雅黑"/>
                <w:sz w:val="18"/>
                <w:szCs w:val="18"/>
                <w:highlight w:val="none"/>
              </w:rPr>
              <w:t>主机运行监控</w:t>
            </w:r>
          </w:p>
        </w:tc>
        <w:tc>
          <w:tcPr>
            <w:tcW w:w="6673" w:type="dxa"/>
            <w:shd w:val="clear" w:color="auto" w:fill="auto"/>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★支持对Windows/Linux/AIX等主流类型的主机服务器进行统一监控和管理。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shd w:val="clear" w:color="auto" w:fill="auto"/>
            <w:vAlign w:val="center"/>
          </w:tcPr>
          <w:p>
            <w:pPr>
              <w:jc w:val="center"/>
              <w:rPr>
                <w:rFonts w:ascii="微软雅黑" w:hAnsi="微软雅黑" w:eastAsia="微软雅黑"/>
                <w:sz w:val="18"/>
                <w:szCs w:val="18"/>
                <w:highlight w:val="none"/>
              </w:rPr>
            </w:pPr>
          </w:p>
        </w:tc>
        <w:tc>
          <w:tcPr>
            <w:tcW w:w="998" w:type="dxa"/>
            <w:vMerge w:val="continue"/>
            <w:shd w:val="clear" w:color="auto" w:fill="auto"/>
            <w:vAlign w:val="center"/>
          </w:tcPr>
          <w:p>
            <w:pPr>
              <w:jc w:val="left"/>
              <w:rPr>
                <w:rFonts w:ascii="微软雅黑" w:hAnsi="微软雅黑" w:eastAsia="微软雅黑"/>
                <w:sz w:val="18"/>
                <w:szCs w:val="18"/>
                <w:highlight w:val="none"/>
              </w:rPr>
            </w:pPr>
          </w:p>
        </w:tc>
        <w:tc>
          <w:tcPr>
            <w:tcW w:w="6673" w:type="dxa"/>
            <w:shd w:val="clear" w:color="auto" w:fill="auto"/>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主机视图管理：提供主机、机柜的逻辑与物理视图，集中监控全部主机，能直观看到各点是否存在故障及报警。单台提供一个管理界面，方便的监控和管理服务器的性能、告警、配置信息。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shd w:val="clear" w:color="auto" w:fill="auto"/>
            <w:vAlign w:val="center"/>
          </w:tcPr>
          <w:p>
            <w:pPr>
              <w:jc w:val="center"/>
              <w:rPr>
                <w:rFonts w:ascii="微软雅黑" w:hAnsi="微软雅黑" w:eastAsia="微软雅黑"/>
                <w:sz w:val="18"/>
                <w:szCs w:val="18"/>
                <w:highlight w:val="none"/>
              </w:rPr>
            </w:pPr>
          </w:p>
        </w:tc>
        <w:tc>
          <w:tcPr>
            <w:tcW w:w="998" w:type="dxa"/>
            <w:vMerge w:val="continue"/>
            <w:shd w:val="clear" w:color="auto" w:fill="auto"/>
            <w:vAlign w:val="center"/>
          </w:tcPr>
          <w:p>
            <w:pPr>
              <w:jc w:val="left"/>
              <w:rPr>
                <w:rFonts w:ascii="微软雅黑" w:hAnsi="微软雅黑" w:eastAsia="微软雅黑"/>
                <w:sz w:val="18"/>
                <w:szCs w:val="18"/>
                <w:highlight w:val="none"/>
              </w:rPr>
            </w:pPr>
          </w:p>
        </w:tc>
        <w:tc>
          <w:tcPr>
            <w:tcW w:w="6673" w:type="dxa"/>
            <w:shd w:val="clear" w:color="auto" w:fill="auto"/>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主机连通性管理:提供直观的图形，显示主机各部分是否存在连通性方面的故障；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shd w:val="clear" w:color="auto" w:fill="auto"/>
            <w:vAlign w:val="center"/>
          </w:tcPr>
          <w:p>
            <w:pPr>
              <w:jc w:val="center"/>
              <w:rPr>
                <w:rFonts w:ascii="微软雅黑" w:hAnsi="微软雅黑" w:eastAsia="微软雅黑"/>
                <w:sz w:val="18"/>
                <w:szCs w:val="18"/>
                <w:highlight w:val="none"/>
              </w:rPr>
            </w:pPr>
          </w:p>
        </w:tc>
        <w:tc>
          <w:tcPr>
            <w:tcW w:w="998" w:type="dxa"/>
            <w:vMerge w:val="continue"/>
            <w:shd w:val="clear" w:color="auto" w:fill="auto"/>
            <w:vAlign w:val="center"/>
          </w:tcPr>
          <w:p>
            <w:pPr>
              <w:jc w:val="left"/>
              <w:rPr>
                <w:rFonts w:ascii="微软雅黑" w:hAnsi="微软雅黑" w:eastAsia="微软雅黑"/>
                <w:sz w:val="18"/>
                <w:szCs w:val="18"/>
                <w:highlight w:val="none"/>
              </w:rPr>
            </w:pPr>
          </w:p>
        </w:tc>
        <w:tc>
          <w:tcPr>
            <w:tcW w:w="6673" w:type="dxa"/>
            <w:shd w:val="clear" w:color="auto" w:fill="auto"/>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主机运行状况监视管理:提供监视主机的状态、网卡状态、机器温度和性能指标越界等故障告警；监测多平台上运行的系统进程和服务的运行状况；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shd w:val="clear" w:color="auto" w:fill="auto"/>
            <w:vAlign w:val="center"/>
          </w:tcPr>
          <w:p>
            <w:pPr>
              <w:jc w:val="center"/>
              <w:rPr>
                <w:rFonts w:ascii="微软雅黑" w:hAnsi="微软雅黑" w:eastAsia="微软雅黑"/>
                <w:sz w:val="18"/>
                <w:szCs w:val="18"/>
                <w:highlight w:val="none"/>
              </w:rPr>
            </w:pPr>
          </w:p>
        </w:tc>
        <w:tc>
          <w:tcPr>
            <w:tcW w:w="998" w:type="dxa"/>
            <w:vMerge w:val="continue"/>
            <w:shd w:val="clear" w:color="auto" w:fill="auto"/>
            <w:vAlign w:val="center"/>
          </w:tcPr>
          <w:p>
            <w:pPr>
              <w:jc w:val="left"/>
              <w:rPr>
                <w:rFonts w:ascii="微软雅黑" w:hAnsi="微软雅黑" w:eastAsia="微软雅黑"/>
                <w:sz w:val="18"/>
                <w:szCs w:val="18"/>
                <w:highlight w:val="none"/>
              </w:rPr>
            </w:pPr>
          </w:p>
        </w:tc>
        <w:tc>
          <w:tcPr>
            <w:tcW w:w="6673" w:type="dxa"/>
            <w:shd w:val="clear" w:color="auto" w:fill="auto"/>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主机性能管理:提供监视管理非常广泛的性能测量指标（如CPU使用率、内存使用率，磁盘空间、虚拟内存、换页空间、进程、I/O吞吐、事务响应时间、网络接口和服务端口等等），如果出现内存或CPU故障或者未识别的情况能够出现告警。支持对单个指标进行阈值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restart"/>
            <w:shd w:val="clear" w:color="auto" w:fill="auto"/>
            <w:vAlign w:val="center"/>
          </w:tcPr>
          <w:p>
            <w:pPr>
              <w:jc w:val="center"/>
              <w:rPr>
                <w:rFonts w:ascii="微软雅黑" w:hAnsi="微软雅黑" w:eastAsia="微软雅黑"/>
                <w:sz w:val="18"/>
                <w:szCs w:val="18"/>
                <w:highlight w:val="none"/>
              </w:rPr>
            </w:pPr>
            <w:r>
              <w:rPr>
                <w:rFonts w:hint="eastAsia" w:ascii="微软雅黑" w:hAnsi="微软雅黑" w:eastAsia="微软雅黑"/>
                <w:sz w:val="18"/>
                <w:szCs w:val="18"/>
                <w:highlight w:val="none"/>
              </w:rPr>
              <w:t>3</w:t>
            </w:r>
          </w:p>
        </w:tc>
        <w:tc>
          <w:tcPr>
            <w:tcW w:w="998" w:type="dxa"/>
            <w:vMerge w:val="restart"/>
            <w:shd w:val="clear" w:color="auto" w:fill="auto"/>
            <w:vAlign w:val="center"/>
          </w:tcPr>
          <w:p>
            <w:pPr>
              <w:jc w:val="left"/>
              <w:rPr>
                <w:rFonts w:ascii="微软雅黑" w:hAnsi="微软雅黑" w:eastAsia="微软雅黑"/>
                <w:sz w:val="18"/>
                <w:szCs w:val="18"/>
                <w:highlight w:val="none"/>
              </w:rPr>
            </w:pPr>
            <w:r>
              <w:rPr>
                <w:rFonts w:hint="eastAsia" w:ascii="微软雅黑" w:hAnsi="微软雅黑" w:eastAsia="微软雅黑"/>
                <w:sz w:val="18"/>
                <w:szCs w:val="18"/>
                <w:highlight w:val="none"/>
              </w:rPr>
              <w:t>★主机硬件监控</w:t>
            </w:r>
          </w:p>
        </w:tc>
        <w:tc>
          <w:tcPr>
            <w:tcW w:w="6673" w:type="dxa"/>
            <w:shd w:val="clear" w:color="auto" w:fill="auto"/>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提供多协议方式(如</w:t>
            </w:r>
            <w:r>
              <w:rPr>
                <w:rFonts w:ascii="微软雅黑" w:hAnsi="微软雅黑" w:eastAsia="微软雅黑"/>
                <w:sz w:val="18"/>
                <w:szCs w:val="18"/>
                <w:highlight w:val="none"/>
              </w:rPr>
              <w:t>SNMP</w:t>
            </w:r>
            <w:r>
              <w:rPr>
                <w:rFonts w:hint="eastAsia" w:ascii="微软雅黑" w:hAnsi="微软雅黑" w:eastAsia="微软雅黑"/>
                <w:sz w:val="18"/>
                <w:szCs w:val="18"/>
                <w:highlight w:val="none"/>
              </w:rPr>
              <w:t>、IPMI、Telnet、SSH等)对主流服务器厂商的服务器硬件进行监控，提供硬件报警故障管理（硬盘、电源、电池等信息</w:t>
            </w:r>
            <w:r>
              <w:rPr>
                <w:rFonts w:ascii="微软雅黑" w:hAnsi="微软雅黑" w:eastAsia="微软雅黑"/>
                <w:sz w:val="18"/>
                <w:szCs w:val="18"/>
                <w:highlight w:val="none"/>
              </w:rPr>
              <w:t>）</w:t>
            </w:r>
            <w:r>
              <w:rPr>
                <w:rFonts w:hint="eastAsia" w:ascii="微软雅黑" w:hAnsi="微软雅黑" w:eastAsia="微软雅黑"/>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shd w:val="clear" w:color="auto" w:fill="auto"/>
            <w:vAlign w:val="center"/>
          </w:tcPr>
          <w:p>
            <w:pPr>
              <w:jc w:val="center"/>
              <w:rPr>
                <w:rFonts w:ascii="微软雅黑" w:hAnsi="微软雅黑" w:eastAsia="微软雅黑"/>
                <w:sz w:val="18"/>
                <w:szCs w:val="18"/>
                <w:highlight w:val="none"/>
              </w:rPr>
            </w:pPr>
          </w:p>
        </w:tc>
        <w:tc>
          <w:tcPr>
            <w:tcW w:w="998" w:type="dxa"/>
            <w:vMerge w:val="continue"/>
            <w:shd w:val="clear" w:color="auto" w:fill="auto"/>
            <w:vAlign w:val="center"/>
          </w:tcPr>
          <w:p>
            <w:pPr>
              <w:jc w:val="left"/>
              <w:rPr>
                <w:rFonts w:ascii="微软雅黑" w:hAnsi="微软雅黑" w:eastAsia="微软雅黑"/>
                <w:sz w:val="18"/>
                <w:szCs w:val="18"/>
                <w:highlight w:val="none"/>
              </w:rPr>
            </w:pPr>
          </w:p>
        </w:tc>
        <w:tc>
          <w:tcPr>
            <w:tcW w:w="6673" w:type="dxa"/>
            <w:shd w:val="clear" w:color="auto" w:fill="auto"/>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可以使用预置账户进行发现。支持在已有的发现信息的基础上对资源进行重新发现并展示发现结果的内容，可以自行选择需要监控的子资源。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shd w:val="clear" w:color="auto" w:fill="auto"/>
            <w:vAlign w:val="center"/>
          </w:tcPr>
          <w:p>
            <w:pPr>
              <w:jc w:val="center"/>
              <w:rPr>
                <w:rFonts w:ascii="微软雅黑" w:hAnsi="微软雅黑" w:eastAsia="微软雅黑"/>
                <w:sz w:val="18"/>
                <w:szCs w:val="18"/>
                <w:highlight w:val="none"/>
              </w:rPr>
            </w:pPr>
          </w:p>
        </w:tc>
        <w:tc>
          <w:tcPr>
            <w:tcW w:w="998" w:type="dxa"/>
            <w:vMerge w:val="continue"/>
            <w:shd w:val="clear" w:color="auto" w:fill="auto"/>
            <w:vAlign w:val="center"/>
          </w:tcPr>
          <w:p>
            <w:pPr>
              <w:jc w:val="left"/>
              <w:rPr>
                <w:rFonts w:ascii="微软雅黑" w:hAnsi="微软雅黑" w:eastAsia="微软雅黑"/>
                <w:sz w:val="18"/>
                <w:szCs w:val="18"/>
                <w:highlight w:val="none"/>
              </w:rPr>
            </w:pPr>
          </w:p>
        </w:tc>
        <w:tc>
          <w:tcPr>
            <w:tcW w:w="6673" w:type="dxa"/>
            <w:shd w:val="clear" w:color="auto" w:fill="auto"/>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支持主流厂商服务器，支持IBM小机的HMC方式监控。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restart"/>
            <w:shd w:val="clear" w:color="auto" w:fill="auto"/>
            <w:vAlign w:val="center"/>
          </w:tcPr>
          <w:p>
            <w:pPr>
              <w:jc w:val="center"/>
              <w:rPr>
                <w:rFonts w:ascii="微软雅黑" w:hAnsi="微软雅黑" w:eastAsia="微软雅黑"/>
                <w:sz w:val="18"/>
                <w:szCs w:val="18"/>
                <w:highlight w:val="none"/>
              </w:rPr>
            </w:pPr>
            <w:r>
              <w:rPr>
                <w:rFonts w:hint="eastAsia" w:ascii="微软雅黑" w:hAnsi="微软雅黑" w:eastAsia="微软雅黑"/>
                <w:sz w:val="18"/>
                <w:szCs w:val="18"/>
                <w:highlight w:val="none"/>
              </w:rPr>
              <w:t>4</w:t>
            </w:r>
          </w:p>
        </w:tc>
        <w:tc>
          <w:tcPr>
            <w:tcW w:w="998" w:type="dxa"/>
            <w:vMerge w:val="restart"/>
            <w:shd w:val="clear" w:color="auto" w:fill="auto"/>
            <w:vAlign w:val="center"/>
          </w:tcPr>
          <w:p>
            <w:pPr>
              <w:jc w:val="left"/>
              <w:rPr>
                <w:rFonts w:ascii="微软雅黑" w:hAnsi="微软雅黑" w:eastAsia="微软雅黑"/>
                <w:sz w:val="18"/>
                <w:szCs w:val="18"/>
                <w:highlight w:val="none"/>
              </w:rPr>
            </w:pPr>
            <w:r>
              <w:rPr>
                <w:rFonts w:hint="eastAsia" w:ascii="微软雅黑" w:hAnsi="微软雅黑" w:eastAsia="微软雅黑"/>
                <w:sz w:val="18"/>
                <w:szCs w:val="18"/>
                <w:highlight w:val="none"/>
              </w:rPr>
              <w:t>主机日志监控</w:t>
            </w:r>
          </w:p>
        </w:tc>
        <w:tc>
          <w:tcPr>
            <w:tcW w:w="6673" w:type="dxa"/>
            <w:shd w:val="clear" w:color="auto" w:fill="auto"/>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将重要的操作系统、硬件设备的日志通过SYSLOG、SSH等协议收集下来，进行告警判定以及存储。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shd w:val="clear" w:color="auto" w:fill="auto"/>
            <w:vAlign w:val="center"/>
          </w:tcPr>
          <w:p>
            <w:pPr>
              <w:jc w:val="center"/>
              <w:rPr>
                <w:rFonts w:ascii="微软雅黑" w:hAnsi="微软雅黑" w:eastAsia="微软雅黑"/>
                <w:sz w:val="18"/>
                <w:szCs w:val="18"/>
                <w:highlight w:val="none"/>
              </w:rPr>
            </w:pPr>
          </w:p>
        </w:tc>
        <w:tc>
          <w:tcPr>
            <w:tcW w:w="998" w:type="dxa"/>
            <w:vMerge w:val="continue"/>
            <w:shd w:val="clear" w:color="auto" w:fill="auto"/>
            <w:vAlign w:val="center"/>
          </w:tcPr>
          <w:p>
            <w:pPr>
              <w:jc w:val="left"/>
              <w:rPr>
                <w:rFonts w:ascii="微软雅黑" w:hAnsi="微软雅黑" w:eastAsia="微软雅黑"/>
                <w:sz w:val="18"/>
                <w:szCs w:val="18"/>
                <w:highlight w:val="none"/>
              </w:rPr>
            </w:pPr>
          </w:p>
        </w:tc>
        <w:tc>
          <w:tcPr>
            <w:tcW w:w="6673" w:type="dxa"/>
            <w:shd w:val="clear" w:color="auto" w:fill="auto"/>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★支持的重要日志包括：Linux、AIX主机的ERRPT日志，以及Windows系统日志、ESX操作系统日志等。收集下来的日志可以根据关键字、级别等条件配置告警阀值，如果满足阀值则会生成日志告警。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851" w:type="dxa"/>
            <w:vMerge w:val="continue"/>
            <w:shd w:val="clear" w:color="auto" w:fill="auto"/>
            <w:vAlign w:val="center"/>
          </w:tcPr>
          <w:p>
            <w:pPr>
              <w:jc w:val="center"/>
              <w:rPr>
                <w:rFonts w:ascii="微软雅黑" w:hAnsi="微软雅黑" w:eastAsia="微软雅黑"/>
                <w:sz w:val="18"/>
                <w:szCs w:val="18"/>
                <w:highlight w:val="none"/>
              </w:rPr>
            </w:pPr>
          </w:p>
        </w:tc>
        <w:tc>
          <w:tcPr>
            <w:tcW w:w="998" w:type="dxa"/>
            <w:vMerge w:val="continue"/>
            <w:shd w:val="clear" w:color="auto" w:fill="auto"/>
            <w:vAlign w:val="center"/>
          </w:tcPr>
          <w:p>
            <w:pPr>
              <w:jc w:val="left"/>
              <w:rPr>
                <w:rFonts w:ascii="微软雅黑" w:hAnsi="微软雅黑" w:eastAsia="微软雅黑"/>
                <w:sz w:val="18"/>
                <w:szCs w:val="18"/>
                <w:highlight w:val="none"/>
              </w:rPr>
            </w:pPr>
          </w:p>
        </w:tc>
        <w:tc>
          <w:tcPr>
            <w:tcW w:w="6673" w:type="dxa"/>
            <w:shd w:val="clear" w:color="auto" w:fill="auto"/>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可以监测系统日志变化情况，而且对监测结果支持匹配查询、设置过滤条件等方式进行更深层次的分析，通过服务器系统日志监测功能，可以帮助管理员更为准确地掌握重要进程或操作系统的运行状况。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4" w:hRule="atLeast"/>
        </w:trPr>
        <w:tc>
          <w:tcPr>
            <w:tcW w:w="851" w:type="dxa"/>
            <w:vMerge w:val="continue"/>
            <w:shd w:val="clear" w:color="auto" w:fill="auto"/>
            <w:vAlign w:val="center"/>
          </w:tcPr>
          <w:p>
            <w:pPr>
              <w:jc w:val="center"/>
              <w:rPr>
                <w:rFonts w:ascii="微软雅黑" w:hAnsi="微软雅黑" w:eastAsia="微软雅黑"/>
                <w:sz w:val="18"/>
                <w:szCs w:val="18"/>
                <w:highlight w:val="none"/>
              </w:rPr>
            </w:pPr>
          </w:p>
        </w:tc>
        <w:tc>
          <w:tcPr>
            <w:tcW w:w="998" w:type="dxa"/>
            <w:vMerge w:val="continue"/>
            <w:shd w:val="clear" w:color="auto" w:fill="auto"/>
            <w:vAlign w:val="center"/>
          </w:tcPr>
          <w:p>
            <w:pPr>
              <w:jc w:val="left"/>
              <w:rPr>
                <w:rFonts w:ascii="微软雅黑" w:hAnsi="微软雅黑" w:eastAsia="微软雅黑"/>
                <w:sz w:val="18"/>
                <w:szCs w:val="18"/>
                <w:highlight w:val="none"/>
              </w:rPr>
            </w:pPr>
          </w:p>
        </w:tc>
        <w:tc>
          <w:tcPr>
            <w:tcW w:w="6673" w:type="dxa"/>
            <w:shd w:val="clear" w:color="auto" w:fill="auto"/>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日志管理还能够以业务为主视角对日志进行分组展示，可以通过IP、关键字、日志级别等条件进行结果集筛选和导出。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restart"/>
            <w:shd w:val="clear" w:color="auto" w:fill="auto"/>
            <w:vAlign w:val="center"/>
          </w:tcPr>
          <w:p>
            <w:pPr>
              <w:jc w:val="center"/>
              <w:rPr>
                <w:rFonts w:ascii="微软雅黑" w:hAnsi="微软雅黑" w:eastAsia="微软雅黑"/>
                <w:sz w:val="18"/>
                <w:szCs w:val="18"/>
                <w:highlight w:val="none"/>
              </w:rPr>
            </w:pPr>
            <w:r>
              <w:rPr>
                <w:rFonts w:hint="eastAsia" w:ascii="微软雅黑" w:hAnsi="微软雅黑" w:eastAsia="微软雅黑"/>
                <w:sz w:val="18"/>
                <w:szCs w:val="18"/>
                <w:highlight w:val="none"/>
              </w:rPr>
              <w:t>5</w:t>
            </w:r>
          </w:p>
        </w:tc>
        <w:tc>
          <w:tcPr>
            <w:tcW w:w="998" w:type="dxa"/>
            <w:vMerge w:val="restart"/>
            <w:shd w:val="clear" w:color="auto" w:fill="auto"/>
            <w:vAlign w:val="center"/>
          </w:tcPr>
          <w:p>
            <w:pPr>
              <w:jc w:val="left"/>
              <w:rPr>
                <w:rFonts w:ascii="微软雅黑" w:hAnsi="微软雅黑" w:eastAsia="微软雅黑"/>
                <w:sz w:val="18"/>
                <w:szCs w:val="18"/>
                <w:highlight w:val="none"/>
              </w:rPr>
            </w:pPr>
            <w:r>
              <w:rPr>
                <w:rFonts w:hint="eastAsia" w:ascii="微软雅黑" w:hAnsi="微软雅黑" w:eastAsia="微软雅黑"/>
                <w:sz w:val="18"/>
                <w:szCs w:val="18"/>
                <w:highlight w:val="none"/>
              </w:rPr>
              <w:t>数据库运行监控</w:t>
            </w:r>
          </w:p>
        </w:tc>
        <w:tc>
          <w:tcPr>
            <w:tcW w:w="6673" w:type="dxa"/>
            <w:shd w:val="clear" w:color="auto" w:fill="auto"/>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实现对Oracle、DB2、HANA、SQL Server、Mysql等主流商用和开源数据库的监控管理。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shd w:val="clear" w:color="auto" w:fill="auto"/>
            <w:vAlign w:val="center"/>
          </w:tcPr>
          <w:p>
            <w:pPr>
              <w:jc w:val="center"/>
              <w:rPr>
                <w:rFonts w:ascii="微软雅黑" w:hAnsi="微软雅黑" w:eastAsia="微软雅黑"/>
                <w:sz w:val="18"/>
                <w:szCs w:val="18"/>
                <w:highlight w:val="none"/>
              </w:rPr>
            </w:pPr>
          </w:p>
        </w:tc>
        <w:tc>
          <w:tcPr>
            <w:tcW w:w="998" w:type="dxa"/>
            <w:vMerge w:val="continue"/>
            <w:shd w:val="clear" w:color="auto" w:fill="auto"/>
            <w:vAlign w:val="center"/>
          </w:tcPr>
          <w:p>
            <w:pPr>
              <w:jc w:val="left"/>
              <w:rPr>
                <w:rFonts w:ascii="微软雅黑" w:hAnsi="微软雅黑" w:eastAsia="微软雅黑"/>
                <w:sz w:val="18"/>
                <w:szCs w:val="18"/>
                <w:highlight w:val="none"/>
              </w:rPr>
            </w:pPr>
          </w:p>
        </w:tc>
        <w:tc>
          <w:tcPr>
            <w:tcW w:w="6673" w:type="dxa"/>
            <w:shd w:val="clear" w:color="auto" w:fill="auto"/>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数据库运行状态管理：可以监控数据库运行状态，如数据库ID、数据库状态、数据库表空间（未分配、预留、索引、未使用）、连接数、回滚段、锁定总数、连接用户数、网络读取、写入等待、完成页面读取数、可用缓存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shd w:val="clear" w:color="auto" w:fill="auto"/>
            <w:vAlign w:val="center"/>
          </w:tcPr>
          <w:p>
            <w:pPr>
              <w:jc w:val="center"/>
              <w:rPr>
                <w:rFonts w:ascii="微软雅黑" w:hAnsi="微软雅黑" w:eastAsia="微软雅黑"/>
                <w:sz w:val="18"/>
                <w:szCs w:val="18"/>
                <w:highlight w:val="none"/>
              </w:rPr>
            </w:pPr>
          </w:p>
        </w:tc>
        <w:tc>
          <w:tcPr>
            <w:tcW w:w="998" w:type="dxa"/>
            <w:vMerge w:val="continue"/>
            <w:shd w:val="clear" w:color="auto" w:fill="auto"/>
            <w:vAlign w:val="center"/>
          </w:tcPr>
          <w:p>
            <w:pPr>
              <w:jc w:val="left"/>
              <w:rPr>
                <w:rFonts w:ascii="微软雅黑" w:hAnsi="微软雅黑" w:eastAsia="微软雅黑"/>
                <w:sz w:val="18"/>
                <w:szCs w:val="18"/>
                <w:highlight w:val="none"/>
              </w:rPr>
            </w:pPr>
          </w:p>
        </w:tc>
        <w:tc>
          <w:tcPr>
            <w:tcW w:w="6673" w:type="dxa"/>
            <w:shd w:val="clear" w:color="auto" w:fill="auto"/>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数据库性能及容量管理：可以对数据库的性能，包括内存、Cache、IO性能、碎片、SGA命中率、关键表空间增长情况等进行监控；能够设定相应阀值，实现相关报警。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shd w:val="clear" w:color="auto" w:fill="auto"/>
            <w:vAlign w:val="center"/>
          </w:tcPr>
          <w:p>
            <w:pPr>
              <w:jc w:val="center"/>
              <w:rPr>
                <w:rFonts w:ascii="微软雅黑" w:hAnsi="微软雅黑" w:eastAsia="微软雅黑"/>
                <w:sz w:val="18"/>
                <w:szCs w:val="18"/>
                <w:highlight w:val="none"/>
              </w:rPr>
            </w:pPr>
          </w:p>
        </w:tc>
        <w:tc>
          <w:tcPr>
            <w:tcW w:w="998" w:type="dxa"/>
            <w:vMerge w:val="continue"/>
            <w:shd w:val="clear" w:color="auto" w:fill="auto"/>
            <w:vAlign w:val="center"/>
          </w:tcPr>
          <w:p>
            <w:pPr>
              <w:jc w:val="left"/>
              <w:rPr>
                <w:rFonts w:ascii="微软雅黑" w:hAnsi="微软雅黑" w:eastAsia="微软雅黑"/>
                <w:sz w:val="18"/>
                <w:szCs w:val="18"/>
                <w:highlight w:val="none"/>
              </w:rPr>
            </w:pPr>
          </w:p>
        </w:tc>
        <w:tc>
          <w:tcPr>
            <w:tcW w:w="6673" w:type="dxa"/>
            <w:shd w:val="clear" w:color="auto" w:fill="auto"/>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★支持Oracle</w:t>
            </w:r>
            <w:r>
              <w:rPr>
                <w:rFonts w:ascii="微软雅黑" w:hAnsi="微软雅黑" w:eastAsia="微软雅黑"/>
                <w:sz w:val="18"/>
                <w:szCs w:val="18"/>
                <w:highlight w:val="none"/>
              </w:rPr>
              <w:t xml:space="preserve"> </w:t>
            </w:r>
            <w:r>
              <w:rPr>
                <w:rFonts w:hint="eastAsia" w:ascii="微软雅黑" w:hAnsi="微软雅黑" w:eastAsia="微软雅黑"/>
                <w:sz w:val="18"/>
                <w:szCs w:val="18"/>
                <w:highlight w:val="none"/>
              </w:rPr>
              <w:t>RAC的监控。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restart"/>
            <w:shd w:val="clear" w:color="auto" w:fill="auto"/>
            <w:vAlign w:val="center"/>
          </w:tcPr>
          <w:p>
            <w:pPr>
              <w:jc w:val="center"/>
              <w:rPr>
                <w:rFonts w:ascii="微软雅黑" w:hAnsi="微软雅黑" w:eastAsia="微软雅黑"/>
                <w:sz w:val="18"/>
                <w:szCs w:val="18"/>
                <w:highlight w:val="none"/>
              </w:rPr>
            </w:pPr>
            <w:r>
              <w:rPr>
                <w:rFonts w:ascii="微软雅黑" w:hAnsi="微软雅黑" w:eastAsia="微软雅黑"/>
                <w:sz w:val="18"/>
                <w:szCs w:val="18"/>
                <w:highlight w:val="none"/>
              </w:rPr>
              <w:t>6</w:t>
            </w:r>
          </w:p>
        </w:tc>
        <w:tc>
          <w:tcPr>
            <w:tcW w:w="998" w:type="dxa"/>
            <w:vMerge w:val="restart"/>
            <w:shd w:val="clear" w:color="auto" w:fill="auto"/>
            <w:vAlign w:val="center"/>
          </w:tcPr>
          <w:p>
            <w:pPr>
              <w:pStyle w:val="5"/>
              <w:jc w:val="left"/>
              <w:rPr>
                <w:rFonts w:ascii="微软雅黑" w:hAnsi="微软雅黑" w:eastAsia="微软雅黑"/>
                <w:b w:val="0"/>
                <w:sz w:val="18"/>
                <w:szCs w:val="18"/>
                <w:highlight w:val="none"/>
              </w:rPr>
            </w:pPr>
            <w:r>
              <w:rPr>
                <w:rFonts w:hint="eastAsia" w:ascii="微软雅黑" w:hAnsi="微软雅黑" w:eastAsia="微软雅黑"/>
                <w:b w:val="0"/>
                <w:sz w:val="18"/>
                <w:szCs w:val="18"/>
                <w:highlight w:val="none"/>
              </w:rPr>
              <w:t>虚拟化平台监控</w:t>
            </w:r>
          </w:p>
          <w:p>
            <w:pPr>
              <w:jc w:val="left"/>
              <w:rPr>
                <w:rFonts w:ascii="微软雅黑" w:hAnsi="微软雅黑" w:eastAsia="微软雅黑"/>
                <w:sz w:val="18"/>
                <w:szCs w:val="18"/>
                <w:highlight w:val="none"/>
              </w:rPr>
            </w:pPr>
          </w:p>
        </w:tc>
        <w:tc>
          <w:tcPr>
            <w:tcW w:w="6673" w:type="dxa"/>
            <w:shd w:val="clear" w:color="auto" w:fill="auto"/>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w:t>
            </w:r>
            <w:r>
              <w:rPr>
                <w:rFonts w:ascii="微软雅黑" w:hAnsi="微软雅黑" w:eastAsia="微软雅黑"/>
                <w:sz w:val="18"/>
                <w:szCs w:val="18"/>
                <w:highlight w:val="none"/>
              </w:rPr>
              <w:t>支持虚拟化平台</w:t>
            </w:r>
            <w:r>
              <w:rPr>
                <w:rFonts w:hint="eastAsia" w:ascii="微软雅黑" w:hAnsi="微软雅黑" w:eastAsia="微软雅黑"/>
                <w:sz w:val="18"/>
                <w:szCs w:val="18"/>
                <w:highlight w:val="none"/>
              </w:rPr>
              <w:t>的运行监控</w:t>
            </w:r>
            <w:r>
              <w:rPr>
                <w:rFonts w:ascii="微软雅黑" w:hAnsi="微软雅黑" w:eastAsia="微软雅黑"/>
                <w:sz w:val="18"/>
                <w:szCs w:val="18"/>
                <w:highlight w:val="none"/>
              </w:rPr>
              <w:t>，能够对其中</w:t>
            </w:r>
            <w:r>
              <w:rPr>
                <w:rFonts w:hint="eastAsia" w:ascii="微软雅黑" w:hAnsi="微软雅黑" w:eastAsia="微软雅黑"/>
                <w:sz w:val="18"/>
                <w:szCs w:val="18"/>
                <w:highlight w:val="none"/>
              </w:rPr>
              <w:t>宿主机</w:t>
            </w:r>
            <w:r>
              <w:rPr>
                <w:rFonts w:ascii="微软雅黑" w:hAnsi="微软雅黑" w:eastAsia="微软雅黑"/>
                <w:sz w:val="18"/>
                <w:szCs w:val="18"/>
                <w:highlight w:val="none"/>
              </w:rPr>
              <w:t>运行状态、盘阵逻辑卷挂载状态、虚拟服务器资源分配情况、资源剩余情况</w:t>
            </w:r>
            <w:r>
              <w:rPr>
                <w:rFonts w:hint="eastAsia" w:ascii="微软雅黑" w:hAnsi="微软雅黑" w:eastAsia="微软雅黑"/>
                <w:sz w:val="18"/>
                <w:szCs w:val="18"/>
                <w:highlight w:val="none"/>
              </w:rPr>
              <w:t>进行</w:t>
            </w:r>
            <w:r>
              <w:rPr>
                <w:rFonts w:ascii="微软雅黑" w:hAnsi="微软雅黑" w:eastAsia="微软雅黑"/>
                <w:sz w:val="18"/>
                <w:szCs w:val="18"/>
                <w:highlight w:val="none"/>
              </w:rPr>
              <w:t>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shd w:val="clear" w:color="auto" w:fill="auto"/>
            <w:vAlign w:val="center"/>
          </w:tcPr>
          <w:p>
            <w:pPr>
              <w:jc w:val="center"/>
              <w:rPr>
                <w:rFonts w:ascii="微软雅黑" w:hAnsi="微软雅黑" w:eastAsia="微软雅黑"/>
                <w:sz w:val="18"/>
                <w:szCs w:val="18"/>
                <w:highlight w:val="none"/>
              </w:rPr>
            </w:pPr>
          </w:p>
        </w:tc>
        <w:tc>
          <w:tcPr>
            <w:tcW w:w="998" w:type="dxa"/>
            <w:vMerge w:val="continue"/>
            <w:shd w:val="clear" w:color="auto" w:fill="auto"/>
            <w:vAlign w:val="center"/>
          </w:tcPr>
          <w:p>
            <w:pPr>
              <w:jc w:val="left"/>
              <w:rPr>
                <w:rFonts w:ascii="微软雅黑" w:hAnsi="微软雅黑" w:eastAsia="微软雅黑"/>
                <w:sz w:val="18"/>
                <w:szCs w:val="18"/>
                <w:highlight w:val="none"/>
              </w:rPr>
            </w:pPr>
          </w:p>
        </w:tc>
        <w:tc>
          <w:tcPr>
            <w:tcW w:w="6673" w:type="dxa"/>
            <w:shd w:val="clear" w:color="auto" w:fill="auto"/>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支持层级结构展示虚拟化资源结构，包含数据中心、集群、存储、宿主机、虚拟机；提供虚拟化总览视图，可查看虚拟化容量、cpu、内存、网络等资源的分配情况；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shd w:val="clear" w:color="auto" w:fill="auto"/>
            <w:vAlign w:val="center"/>
          </w:tcPr>
          <w:p>
            <w:pPr>
              <w:jc w:val="center"/>
              <w:rPr>
                <w:rFonts w:ascii="微软雅黑" w:hAnsi="微软雅黑" w:eastAsia="微软雅黑"/>
                <w:sz w:val="18"/>
                <w:szCs w:val="18"/>
                <w:highlight w:val="none"/>
              </w:rPr>
            </w:pPr>
          </w:p>
        </w:tc>
        <w:tc>
          <w:tcPr>
            <w:tcW w:w="998" w:type="dxa"/>
            <w:vMerge w:val="continue"/>
            <w:shd w:val="clear" w:color="auto" w:fill="auto"/>
            <w:vAlign w:val="center"/>
          </w:tcPr>
          <w:p>
            <w:pPr>
              <w:jc w:val="left"/>
              <w:rPr>
                <w:rFonts w:ascii="微软雅黑" w:hAnsi="微软雅黑" w:eastAsia="微软雅黑"/>
                <w:sz w:val="18"/>
                <w:szCs w:val="18"/>
                <w:highlight w:val="none"/>
              </w:rPr>
            </w:pPr>
          </w:p>
        </w:tc>
        <w:tc>
          <w:tcPr>
            <w:tcW w:w="6673" w:type="dxa"/>
            <w:shd w:val="clear" w:color="auto" w:fill="auto"/>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能够监控虚拟化所用存储状态、容量指标；能够监控宿主机连通状态、cpu、内存、网卡流量、硬件状态相关指标；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shd w:val="clear" w:color="auto" w:fill="auto"/>
            <w:vAlign w:val="center"/>
          </w:tcPr>
          <w:p>
            <w:pPr>
              <w:jc w:val="center"/>
              <w:rPr>
                <w:rFonts w:ascii="微软雅黑" w:hAnsi="微软雅黑" w:eastAsia="微软雅黑"/>
                <w:sz w:val="18"/>
                <w:szCs w:val="18"/>
                <w:highlight w:val="none"/>
              </w:rPr>
            </w:pPr>
          </w:p>
        </w:tc>
        <w:tc>
          <w:tcPr>
            <w:tcW w:w="998" w:type="dxa"/>
            <w:vMerge w:val="continue"/>
            <w:shd w:val="clear" w:color="auto" w:fill="auto"/>
            <w:vAlign w:val="center"/>
          </w:tcPr>
          <w:p>
            <w:pPr>
              <w:jc w:val="left"/>
              <w:rPr>
                <w:rFonts w:ascii="微软雅黑" w:hAnsi="微软雅黑" w:eastAsia="微软雅黑"/>
                <w:sz w:val="18"/>
                <w:szCs w:val="18"/>
                <w:highlight w:val="none"/>
              </w:rPr>
            </w:pPr>
          </w:p>
        </w:tc>
        <w:tc>
          <w:tcPr>
            <w:tcW w:w="6673" w:type="dxa"/>
            <w:shd w:val="clear" w:color="auto" w:fill="auto"/>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能够监控虚拟机的开机状态、连通状态、cpu、内存、虚拟网卡、硬件状态指标；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shd w:val="clear" w:color="auto" w:fill="auto"/>
            <w:vAlign w:val="center"/>
          </w:tcPr>
          <w:p>
            <w:pPr>
              <w:jc w:val="center"/>
              <w:rPr>
                <w:rFonts w:ascii="微软雅黑" w:hAnsi="微软雅黑" w:eastAsia="微软雅黑"/>
                <w:sz w:val="18"/>
                <w:szCs w:val="18"/>
                <w:highlight w:val="none"/>
              </w:rPr>
            </w:pPr>
          </w:p>
        </w:tc>
        <w:tc>
          <w:tcPr>
            <w:tcW w:w="998" w:type="dxa"/>
            <w:vMerge w:val="continue"/>
            <w:shd w:val="clear" w:color="auto" w:fill="auto"/>
            <w:vAlign w:val="center"/>
          </w:tcPr>
          <w:p>
            <w:pPr>
              <w:jc w:val="left"/>
              <w:rPr>
                <w:rFonts w:ascii="微软雅黑" w:hAnsi="微软雅黑" w:eastAsia="微软雅黑"/>
                <w:sz w:val="18"/>
                <w:szCs w:val="18"/>
                <w:highlight w:val="none"/>
              </w:rPr>
            </w:pPr>
          </w:p>
        </w:tc>
        <w:tc>
          <w:tcPr>
            <w:tcW w:w="6673" w:type="dxa"/>
            <w:shd w:val="clear" w:color="auto" w:fill="auto"/>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支持存储、宿主机、虚拟机状态总览查看；支持宿主机关键kpi指标top排名；针对存储、宿主机、虚拟机关键指标的告警策略配置，超出阀值可产生告警；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shd w:val="clear" w:color="auto" w:fill="auto"/>
            <w:vAlign w:val="center"/>
          </w:tcPr>
          <w:p>
            <w:pPr>
              <w:jc w:val="center"/>
              <w:rPr>
                <w:rFonts w:ascii="微软雅黑" w:hAnsi="微软雅黑" w:eastAsia="微软雅黑"/>
                <w:sz w:val="18"/>
                <w:szCs w:val="18"/>
                <w:highlight w:val="none"/>
              </w:rPr>
            </w:pPr>
            <w:r>
              <w:rPr>
                <w:rFonts w:hint="eastAsia" w:ascii="微软雅黑" w:hAnsi="微软雅黑" w:eastAsia="微软雅黑"/>
                <w:sz w:val="18"/>
                <w:szCs w:val="18"/>
                <w:highlight w:val="none"/>
              </w:rPr>
              <w:t>7</w:t>
            </w:r>
          </w:p>
        </w:tc>
        <w:tc>
          <w:tcPr>
            <w:tcW w:w="998" w:type="dxa"/>
            <w:shd w:val="clear" w:color="auto" w:fill="auto"/>
            <w:vAlign w:val="center"/>
          </w:tcPr>
          <w:p>
            <w:pPr>
              <w:jc w:val="left"/>
              <w:rPr>
                <w:rFonts w:ascii="微软雅黑" w:hAnsi="微软雅黑" w:eastAsia="微软雅黑"/>
                <w:sz w:val="18"/>
                <w:szCs w:val="18"/>
                <w:highlight w:val="none"/>
              </w:rPr>
            </w:pPr>
            <w:r>
              <w:rPr>
                <w:rFonts w:hint="eastAsia" w:ascii="微软雅黑" w:hAnsi="微软雅黑" w:eastAsia="微软雅黑"/>
                <w:sz w:val="18"/>
                <w:szCs w:val="18"/>
                <w:highlight w:val="none"/>
              </w:rPr>
              <w:t>存储监控</w:t>
            </w:r>
          </w:p>
        </w:tc>
        <w:tc>
          <w:tcPr>
            <w:tcW w:w="6673" w:type="dxa"/>
            <w:shd w:val="clear" w:color="auto" w:fill="auto"/>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支持丰富的san网采集协议包含snmp、cli、smi，可对光纤交换机、磁带库、磁盘阵列进行深入监控。系统</w:t>
            </w:r>
            <w:r>
              <w:rPr>
                <w:rFonts w:ascii="微软雅黑" w:hAnsi="微软雅黑" w:eastAsia="微软雅黑"/>
                <w:sz w:val="18"/>
                <w:szCs w:val="18"/>
                <w:highlight w:val="none"/>
              </w:rPr>
              <w:t>支持</w:t>
            </w:r>
            <w:r>
              <w:rPr>
                <w:rFonts w:hint="eastAsia" w:ascii="微软雅黑" w:hAnsi="微软雅黑" w:eastAsia="微软雅黑"/>
                <w:sz w:val="18"/>
                <w:szCs w:val="18"/>
                <w:highlight w:val="none"/>
              </w:rPr>
              <w:t>对SAN网主流存储产品、虚拟化存储设备进行有效监控和管理。包括：EMC、IBM、HP等，其支持的设备类型主要包括：光纤交换机、磁盘阵列(FC协议的磁盘阵列、iSCSI协议的磁盘阵列)、磁带设备（FC协议的磁带库或自动加载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restart"/>
            <w:shd w:val="clear" w:color="auto" w:fill="auto"/>
            <w:vAlign w:val="center"/>
          </w:tcPr>
          <w:p>
            <w:pPr>
              <w:jc w:val="center"/>
              <w:rPr>
                <w:rFonts w:ascii="微软雅黑" w:hAnsi="微软雅黑" w:eastAsia="微软雅黑"/>
                <w:sz w:val="18"/>
                <w:szCs w:val="18"/>
                <w:highlight w:val="none"/>
              </w:rPr>
            </w:pPr>
            <w:r>
              <w:rPr>
                <w:rFonts w:hint="eastAsia" w:ascii="微软雅黑" w:hAnsi="微软雅黑" w:eastAsia="微软雅黑"/>
                <w:sz w:val="18"/>
                <w:szCs w:val="18"/>
                <w:highlight w:val="none"/>
              </w:rPr>
              <w:t>8</w:t>
            </w:r>
          </w:p>
        </w:tc>
        <w:tc>
          <w:tcPr>
            <w:tcW w:w="998" w:type="dxa"/>
            <w:vMerge w:val="restart"/>
            <w:shd w:val="clear" w:color="auto" w:fill="auto"/>
            <w:vAlign w:val="center"/>
          </w:tcPr>
          <w:p>
            <w:pPr>
              <w:jc w:val="left"/>
              <w:rPr>
                <w:rFonts w:ascii="微软雅黑" w:hAnsi="微软雅黑" w:eastAsia="微软雅黑"/>
                <w:sz w:val="18"/>
                <w:szCs w:val="18"/>
                <w:highlight w:val="none"/>
              </w:rPr>
            </w:pPr>
            <w:r>
              <w:rPr>
                <w:rFonts w:hint="eastAsia" w:ascii="微软雅黑" w:hAnsi="微软雅黑" w:eastAsia="微软雅黑"/>
                <w:sz w:val="18"/>
                <w:szCs w:val="18"/>
                <w:highlight w:val="none"/>
              </w:rPr>
              <w:t>应用系统监控</w:t>
            </w:r>
          </w:p>
        </w:tc>
        <w:tc>
          <w:tcPr>
            <w:tcW w:w="6673" w:type="dxa"/>
            <w:shd w:val="clear" w:color="auto" w:fill="auto"/>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★支持各类主流Web服务、中间件的信息监测，包括：Apache、Tomcat、Nginx、</w:t>
            </w:r>
            <w:r>
              <w:rPr>
                <w:rFonts w:ascii="微软雅黑" w:hAnsi="微软雅黑" w:eastAsia="微软雅黑"/>
                <w:sz w:val="18"/>
                <w:szCs w:val="18"/>
                <w:highlight w:val="none"/>
              </w:rPr>
              <w:t>Weblogic、</w:t>
            </w:r>
            <w:r>
              <w:rPr>
                <w:rFonts w:hint="eastAsia" w:ascii="微软雅黑" w:hAnsi="微软雅黑" w:eastAsia="微软雅黑"/>
                <w:sz w:val="18"/>
                <w:szCs w:val="18"/>
                <w:highlight w:val="none"/>
              </w:rPr>
              <w:t>WebSphere AS、WebSphere Portal Server、Oracle AS、Sun JES AS、JBoss AS、Resin、TongWeb等；支持对邮件服务、文件服务、DNS服务等基础软件的监控；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shd w:val="clear" w:color="auto" w:fill="auto"/>
            <w:vAlign w:val="center"/>
          </w:tcPr>
          <w:p>
            <w:pPr>
              <w:jc w:val="center"/>
              <w:rPr>
                <w:rFonts w:ascii="微软雅黑" w:hAnsi="微软雅黑" w:eastAsia="微软雅黑"/>
                <w:sz w:val="18"/>
                <w:szCs w:val="18"/>
                <w:highlight w:val="none"/>
              </w:rPr>
            </w:pPr>
          </w:p>
        </w:tc>
        <w:tc>
          <w:tcPr>
            <w:tcW w:w="998" w:type="dxa"/>
            <w:vMerge w:val="continue"/>
            <w:shd w:val="clear" w:color="auto" w:fill="auto"/>
            <w:vAlign w:val="center"/>
          </w:tcPr>
          <w:p>
            <w:pPr>
              <w:jc w:val="left"/>
              <w:rPr>
                <w:rFonts w:ascii="微软雅黑" w:hAnsi="微软雅黑" w:eastAsia="微软雅黑"/>
                <w:sz w:val="18"/>
                <w:szCs w:val="18"/>
                <w:highlight w:val="none"/>
              </w:rPr>
            </w:pPr>
          </w:p>
        </w:tc>
        <w:tc>
          <w:tcPr>
            <w:tcW w:w="6673" w:type="dxa"/>
            <w:shd w:val="clear" w:color="auto" w:fill="auto"/>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可对应用系统页面进行模拟拨测，监控是否正常访问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shd w:val="clear" w:color="auto" w:fill="auto"/>
            <w:vAlign w:val="center"/>
          </w:tcPr>
          <w:p>
            <w:pPr>
              <w:jc w:val="center"/>
              <w:rPr>
                <w:rFonts w:ascii="微软雅黑" w:hAnsi="微软雅黑" w:eastAsia="微软雅黑"/>
                <w:sz w:val="18"/>
                <w:szCs w:val="18"/>
                <w:highlight w:val="none"/>
              </w:rPr>
            </w:pPr>
          </w:p>
        </w:tc>
        <w:tc>
          <w:tcPr>
            <w:tcW w:w="998" w:type="dxa"/>
            <w:vMerge w:val="continue"/>
            <w:shd w:val="clear" w:color="auto" w:fill="auto"/>
            <w:vAlign w:val="center"/>
          </w:tcPr>
          <w:p>
            <w:pPr>
              <w:jc w:val="left"/>
              <w:rPr>
                <w:rFonts w:ascii="微软雅黑" w:hAnsi="微软雅黑" w:eastAsia="微软雅黑"/>
                <w:sz w:val="18"/>
                <w:szCs w:val="18"/>
                <w:highlight w:val="none"/>
              </w:rPr>
            </w:pPr>
          </w:p>
        </w:tc>
        <w:tc>
          <w:tcPr>
            <w:tcW w:w="6673" w:type="dxa"/>
            <w:shd w:val="clear" w:color="auto" w:fill="auto"/>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应用服务的性能管理，对应用服务各种性能指标设定阀值，实现告警管理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restart"/>
            <w:shd w:val="clear" w:color="auto" w:fill="auto"/>
            <w:vAlign w:val="center"/>
          </w:tcPr>
          <w:p>
            <w:pPr>
              <w:jc w:val="center"/>
              <w:rPr>
                <w:rFonts w:ascii="微软雅黑" w:hAnsi="微软雅黑" w:eastAsia="微软雅黑"/>
                <w:sz w:val="18"/>
                <w:szCs w:val="18"/>
                <w:highlight w:val="none"/>
              </w:rPr>
            </w:pPr>
            <w:r>
              <w:rPr>
                <w:rFonts w:hint="eastAsia" w:ascii="微软雅黑" w:hAnsi="微软雅黑" w:eastAsia="微软雅黑"/>
                <w:sz w:val="18"/>
                <w:szCs w:val="18"/>
                <w:highlight w:val="none"/>
              </w:rPr>
              <w:t>9</w:t>
            </w:r>
          </w:p>
        </w:tc>
        <w:tc>
          <w:tcPr>
            <w:tcW w:w="998" w:type="dxa"/>
            <w:vMerge w:val="restart"/>
            <w:shd w:val="clear" w:color="auto" w:fill="auto"/>
            <w:vAlign w:val="center"/>
          </w:tcPr>
          <w:p>
            <w:pPr>
              <w:jc w:val="left"/>
              <w:rPr>
                <w:rFonts w:ascii="微软雅黑" w:hAnsi="微软雅黑" w:eastAsia="微软雅黑"/>
                <w:sz w:val="18"/>
                <w:szCs w:val="18"/>
                <w:highlight w:val="none"/>
              </w:rPr>
            </w:pPr>
            <w:r>
              <w:rPr>
                <w:rFonts w:hint="eastAsia" w:ascii="微软雅黑" w:hAnsi="微软雅黑" w:eastAsia="微软雅黑"/>
                <w:sz w:val="18"/>
                <w:szCs w:val="18"/>
                <w:highlight w:val="none"/>
              </w:rPr>
              <w:t>业务运行监控</w:t>
            </w:r>
          </w:p>
        </w:tc>
        <w:tc>
          <w:tcPr>
            <w:tcW w:w="6673" w:type="dxa"/>
            <w:shd w:val="clear" w:color="auto" w:fill="auto"/>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w:t>
            </w:r>
            <w:r>
              <w:rPr>
                <w:rFonts w:ascii="微软雅黑" w:hAnsi="微软雅黑" w:eastAsia="微软雅黑"/>
                <w:sz w:val="18"/>
                <w:szCs w:val="18"/>
                <w:highlight w:val="none"/>
              </w:rPr>
              <w:t xml:space="preserve"> </w:t>
            </w:r>
            <w:r>
              <w:rPr>
                <w:rFonts w:hint="eastAsia" w:ascii="微软雅黑" w:hAnsi="微软雅黑" w:eastAsia="微软雅黑"/>
                <w:sz w:val="18"/>
                <w:szCs w:val="18"/>
                <w:highlight w:val="none"/>
              </w:rPr>
              <w:t>支持业务系统结构建模，通过关联分析实现业务与其支撑的服务器、数据库、中间件等的映射关系，并以图形化呈现出其层次结构。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shd w:val="clear" w:color="auto" w:fill="auto"/>
            <w:vAlign w:val="center"/>
          </w:tcPr>
          <w:p>
            <w:pPr>
              <w:jc w:val="center"/>
              <w:rPr>
                <w:rFonts w:ascii="微软雅黑" w:hAnsi="微软雅黑" w:eastAsia="微软雅黑"/>
                <w:sz w:val="18"/>
                <w:szCs w:val="18"/>
                <w:highlight w:val="none"/>
              </w:rPr>
            </w:pPr>
          </w:p>
        </w:tc>
        <w:tc>
          <w:tcPr>
            <w:tcW w:w="998" w:type="dxa"/>
            <w:vMerge w:val="continue"/>
            <w:shd w:val="clear" w:color="auto" w:fill="auto"/>
            <w:vAlign w:val="center"/>
          </w:tcPr>
          <w:p>
            <w:pPr>
              <w:jc w:val="left"/>
              <w:rPr>
                <w:rFonts w:ascii="微软雅黑" w:hAnsi="微软雅黑" w:eastAsia="微软雅黑"/>
                <w:sz w:val="18"/>
                <w:szCs w:val="18"/>
                <w:highlight w:val="none"/>
              </w:rPr>
            </w:pPr>
          </w:p>
        </w:tc>
        <w:tc>
          <w:tcPr>
            <w:tcW w:w="6673" w:type="dxa"/>
            <w:shd w:val="clear" w:color="auto" w:fill="auto"/>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★支持业务繁忙度的分析，能够分析出在集群状态下，系统的实时在线用户情况、请实时求处理数量及其变化趋势；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shd w:val="clear" w:color="auto" w:fill="auto"/>
            <w:vAlign w:val="center"/>
          </w:tcPr>
          <w:p>
            <w:pPr>
              <w:jc w:val="center"/>
              <w:rPr>
                <w:rFonts w:ascii="微软雅黑" w:hAnsi="微软雅黑" w:eastAsia="微软雅黑"/>
                <w:sz w:val="18"/>
                <w:szCs w:val="18"/>
                <w:highlight w:val="none"/>
              </w:rPr>
            </w:pPr>
          </w:p>
        </w:tc>
        <w:tc>
          <w:tcPr>
            <w:tcW w:w="998" w:type="dxa"/>
            <w:vMerge w:val="continue"/>
            <w:shd w:val="clear" w:color="auto" w:fill="auto"/>
            <w:vAlign w:val="center"/>
          </w:tcPr>
          <w:p>
            <w:pPr>
              <w:jc w:val="left"/>
              <w:rPr>
                <w:rFonts w:ascii="微软雅黑" w:hAnsi="微软雅黑" w:eastAsia="微软雅黑"/>
                <w:sz w:val="18"/>
                <w:szCs w:val="18"/>
                <w:highlight w:val="none"/>
              </w:rPr>
            </w:pPr>
          </w:p>
        </w:tc>
        <w:tc>
          <w:tcPr>
            <w:tcW w:w="6673" w:type="dxa"/>
            <w:shd w:val="clear" w:color="auto" w:fill="auto"/>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★支持业务关联慢SQL的分析，能够随时查看关联的sql的语句、执行时间等信息；</w:t>
            </w:r>
          </w:p>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支持业务容量分析，能够实现业务集群关联的所有网元的存储容量、计算容量的变化趋势；</w:t>
            </w:r>
          </w:p>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★支持业务整体分析和视图，从用户趋势、请求处理趋势、容量趋势等方面对业务间的横向差异进行对比；支持业务卡片视图、业务面板视图；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restart"/>
            <w:shd w:val="clear" w:color="auto" w:fill="auto"/>
            <w:vAlign w:val="center"/>
          </w:tcPr>
          <w:p>
            <w:pPr>
              <w:jc w:val="center"/>
              <w:rPr>
                <w:rFonts w:ascii="微软雅黑" w:hAnsi="微软雅黑" w:eastAsia="微软雅黑"/>
                <w:sz w:val="18"/>
                <w:szCs w:val="18"/>
                <w:highlight w:val="none"/>
              </w:rPr>
            </w:pPr>
            <w:r>
              <w:rPr>
                <w:rFonts w:hint="eastAsia" w:ascii="微软雅黑" w:hAnsi="微软雅黑" w:eastAsia="微软雅黑"/>
                <w:sz w:val="18"/>
                <w:szCs w:val="18"/>
                <w:highlight w:val="none"/>
              </w:rPr>
              <w:t>10</w:t>
            </w:r>
          </w:p>
        </w:tc>
        <w:tc>
          <w:tcPr>
            <w:tcW w:w="998" w:type="dxa"/>
            <w:vMerge w:val="restart"/>
            <w:shd w:val="clear" w:color="auto" w:fill="auto"/>
            <w:vAlign w:val="center"/>
          </w:tcPr>
          <w:p>
            <w:pPr>
              <w:jc w:val="left"/>
              <w:rPr>
                <w:rFonts w:ascii="微软雅黑" w:hAnsi="微软雅黑" w:eastAsia="微软雅黑"/>
                <w:sz w:val="18"/>
                <w:szCs w:val="18"/>
                <w:highlight w:val="none"/>
              </w:rPr>
            </w:pPr>
            <w:bookmarkStart w:id="133" w:name="_Toc299108247"/>
            <w:bookmarkStart w:id="134" w:name="_Toc278040291"/>
            <w:bookmarkStart w:id="135" w:name="_Toc304721611"/>
            <w:r>
              <w:rPr>
                <w:rFonts w:hint="eastAsia" w:ascii="微软雅黑" w:hAnsi="微软雅黑" w:eastAsia="微软雅黑"/>
                <w:sz w:val="18"/>
                <w:szCs w:val="18"/>
                <w:highlight w:val="none"/>
              </w:rPr>
              <w:t>告警预警管理</w:t>
            </w:r>
            <w:bookmarkEnd w:id="133"/>
            <w:bookmarkEnd w:id="134"/>
            <w:bookmarkEnd w:id="135"/>
          </w:p>
        </w:tc>
        <w:tc>
          <w:tcPr>
            <w:tcW w:w="6673" w:type="dxa"/>
            <w:shd w:val="clear" w:color="auto" w:fill="auto"/>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数据的分析处理支持灵活的参数和阈值设置、通过灵活的告警公式进行复杂的告警逻辑判断、提供告警和故障的直接处理、对于关键性的故障信息支持自动升级为事件处理流程，与第三方IT流程管理系统直接对接，形成告警故障的闭环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shd w:val="clear" w:color="auto" w:fill="auto"/>
            <w:vAlign w:val="center"/>
          </w:tcPr>
          <w:p>
            <w:pPr>
              <w:jc w:val="center"/>
              <w:rPr>
                <w:rFonts w:ascii="微软雅黑" w:hAnsi="微软雅黑" w:eastAsia="微软雅黑"/>
                <w:sz w:val="18"/>
                <w:szCs w:val="18"/>
                <w:highlight w:val="none"/>
              </w:rPr>
            </w:pPr>
          </w:p>
        </w:tc>
        <w:tc>
          <w:tcPr>
            <w:tcW w:w="998" w:type="dxa"/>
            <w:vMerge w:val="continue"/>
            <w:shd w:val="clear" w:color="auto" w:fill="auto"/>
            <w:vAlign w:val="center"/>
          </w:tcPr>
          <w:p>
            <w:pPr>
              <w:jc w:val="left"/>
              <w:rPr>
                <w:rFonts w:ascii="微软雅黑" w:hAnsi="微软雅黑" w:eastAsia="微软雅黑"/>
                <w:sz w:val="18"/>
                <w:szCs w:val="18"/>
                <w:highlight w:val="none"/>
              </w:rPr>
            </w:pPr>
          </w:p>
        </w:tc>
        <w:tc>
          <w:tcPr>
            <w:tcW w:w="6673" w:type="dxa"/>
            <w:shd w:val="clear" w:color="auto" w:fill="auto"/>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★支持告警公式的定义功能</w:t>
            </w:r>
            <w:r>
              <w:rPr>
                <w:rFonts w:ascii="微软雅黑" w:hAnsi="微软雅黑" w:eastAsia="微软雅黑"/>
                <w:sz w:val="18"/>
                <w:szCs w:val="18"/>
                <w:highlight w:val="none"/>
              </w:rPr>
              <w:t>，</w:t>
            </w:r>
            <w:r>
              <w:rPr>
                <w:rFonts w:hint="eastAsia" w:ascii="微软雅黑" w:hAnsi="微软雅黑" w:eastAsia="微软雅黑"/>
                <w:sz w:val="18"/>
                <w:szCs w:val="18"/>
                <w:highlight w:val="none"/>
              </w:rPr>
              <w:t>用</w:t>
            </w:r>
            <w:r>
              <w:rPr>
                <w:rFonts w:ascii="微软雅黑" w:hAnsi="微软雅黑" w:eastAsia="微软雅黑"/>
                <w:sz w:val="18"/>
                <w:szCs w:val="18"/>
                <w:highlight w:val="none"/>
              </w:rPr>
              <w:t>逻辑表达式的</w:t>
            </w:r>
            <w:r>
              <w:rPr>
                <w:rFonts w:hint="eastAsia" w:ascii="微软雅黑" w:hAnsi="微软雅黑" w:eastAsia="微软雅黑"/>
                <w:sz w:val="18"/>
                <w:szCs w:val="18"/>
                <w:highlight w:val="none"/>
              </w:rPr>
              <w:t>方式</w:t>
            </w:r>
            <w:r>
              <w:rPr>
                <w:rFonts w:ascii="微软雅黑" w:hAnsi="微软雅黑" w:eastAsia="微软雅黑"/>
                <w:sz w:val="18"/>
                <w:szCs w:val="18"/>
                <w:highlight w:val="none"/>
              </w:rPr>
              <w:t>描述</w:t>
            </w:r>
            <w:r>
              <w:rPr>
                <w:rFonts w:hint="eastAsia" w:ascii="微软雅黑" w:hAnsi="微软雅黑" w:eastAsia="微软雅黑"/>
                <w:sz w:val="18"/>
                <w:szCs w:val="18"/>
                <w:highlight w:val="none"/>
              </w:rPr>
              <w:t>对</w:t>
            </w:r>
            <w:r>
              <w:rPr>
                <w:rFonts w:ascii="微软雅黑" w:hAnsi="微软雅黑" w:eastAsia="微软雅黑"/>
                <w:sz w:val="18"/>
                <w:szCs w:val="18"/>
                <w:highlight w:val="none"/>
              </w:rPr>
              <w:t>特定故障场景的定义；</w:t>
            </w:r>
            <w:r>
              <w:rPr>
                <w:rFonts w:hint="eastAsia" w:ascii="微软雅黑" w:hAnsi="微软雅黑" w:eastAsia="微软雅黑"/>
                <w:sz w:val="18"/>
                <w:szCs w:val="18"/>
                <w:highlight w:val="none"/>
              </w:rPr>
              <w:t>告警阈值可通过</w:t>
            </w:r>
            <w:r>
              <w:rPr>
                <w:rFonts w:ascii="微软雅黑" w:hAnsi="微软雅黑" w:eastAsia="微软雅黑"/>
                <w:sz w:val="18"/>
                <w:szCs w:val="18"/>
                <w:highlight w:val="none"/>
              </w:rPr>
              <w:t>对历史趋势的分析判断，以</w:t>
            </w:r>
            <w:r>
              <w:rPr>
                <w:rFonts w:hint="eastAsia" w:ascii="微软雅黑" w:hAnsi="微软雅黑" w:eastAsia="微软雅黑"/>
                <w:sz w:val="18"/>
                <w:szCs w:val="18"/>
                <w:highlight w:val="none"/>
              </w:rPr>
              <w:t>提高</w:t>
            </w:r>
            <w:r>
              <w:rPr>
                <w:rFonts w:ascii="微软雅黑" w:hAnsi="微软雅黑" w:eastAsia="微软雅黑"/>
                <w:sz w:val="18"/>
                <w:szCs w:val="18"/>
                <w:highlight w:val="none"/>
              </w:rPr>
              <w:t>告警的准确性</w:t>
            </w:r>
            <w:r>
              <w:rPr>
                <w:rFonts w:hint="eastAsia" w:ascii="微软雅黑" w:hAnsi="微软雅黑" w:eastAsia="微软雅黑"/>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shd w:val="clear" w:color="auto" w:fill="auto"/>
            <w:vAlign w:val="center"/>
          </w:tcPr>
          <w:p>
            <w:pPr>
              <w:jc w:val="center"/>
              <w:rPr>
                <w:rFonts w:ascii="微软雅黑" w:hAnsi="微软雅黑" w:eastAsia="微软雅黑"/>
                <w:sz w:val="18"/>
                <w:szCs w:val="18"/>
                <w:highlight w:val="none"/>
              </w:rPr>
            </w:pPr>
          </w:p>
        </w:tc>
        <w:tc>
          <w:tcPr>
            <w:tcW w:w="998" w:type="dxa"/>
            <w:vMerge w:val="continue"/>
            <w:shd w:val="clear" w:color="auto" w:fill="auto"/>
            <w:vAlign w:val="center"/>
          </w:tcPr>
          <w:p>
            <w:pPr>
              <w:jc w:val="left"/>
              <w:rPr>
                <w:rFonts w:ascii="微软雅黑" w:hAnsi="微软雅黑" w:eastAsia="微软雅黑"/>
                <w:sz w:val="18"/>
                <w:szCs w:val="18"/>
                <w:highlight w:val="none"/>
              </w:rPr>
            </w:pPr>
          </w:p>
        </w:tc>
        <w:tc>
          <w:tcPr>
            <w:tcW w:w="6673" w:type="dxa"/>
            <w:shd w:val="clear" w:color="auto" w:fill="auto"/>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支持</w:t>
            </w:r>
            <w:r>
              <w:rPr>
                <w:rFonts w:ascii="微软雅黑" w:hAnsi="微软雅黑" w:eastAsia="微软雅黑"/>
                <w:sz w:val="18"/>
                <w:szCs w:val="18"/>
                <w:highlight w:val="none"/>
              </w:rPr>
              <w:t>告警的压缩、排重、升降级等策略</w:t>
            </w:r>
            <w:r>
              <w:rPr>
                <w:rFonts w:hint="eastAsia" w:ascii="微软雅黑" w:hAnsi="微软雅黑" w:eastAsia="微软雅黑"/>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shd w:val="clear" w:color="auto" w:fill="auto"/>
            <w:vAlign w:val="center"/>
          </w:tcPr>
          <w:p>
            <w:pPr>
              <w:jc w:val="center"/>
              <w:rPr>
                <w:rFonts w:ascii="微软雅黑" w:hAnsi="微软雅黑" w:eastAsia="微软雅黑"/>
                <w:sz w:val="18"/>
                <w:szCs w:val="18"/>
                <w:highlight w:val="none"/>
              </w:rPr>
            </w:pPr>
          </w:p>
        </w:tc>
        <w:tc>
          <w:tcPr>
            <w:tcW w:w="998" w:type="dxa"/>
            <w:vMerge w:val="continue"/>
            <w:shd w:val="clear" w:color="auto" w:fill="auto"/>
            <w:vAlign w:val="center"/>
          </w:tcPr>
          <w:p>
            <w:pPr>
              <w:jc w:val="left"/>
              <w:rPr>
                <w:rFonts w:ascii="微软雅黑" w:hAnsi="微软雅黑" w:eastAsia="微软雅黑"/>
                <w:sz w:val="18"/>
                <w:szCs w:val="18"/>
                <w:highlight w:val="none"/>
              </w:rPr>
            </w:pPr>
          </w:p>
        </w:tc>
        <w:tc>
          <w:tcPr>
            <w:tcW w:w="6673" w:type="dxa"/>
            <w:shd w:val="clear" w:color="auto" w:fill="auto"/>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系统应有非常良好的故障表达方式，可以将复杂晦涩的技术术语转化为通俗易懂的语言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shd w:val="clear" w:color="auto" w:fill="auto"/>
            <w:vAlign w:val="center"/>
          </w:tcPr>
          <w:p>
            <w:pPr>
              <w:jc w:val="center"/>
              <w:rPr>
                <w:rFonts w:ascii="微软雅黑" w:hAnsi="微软雅黑" w:eastAsia="微软雅黑"/>
                <w:sz w:val="18"/>
                <w:szCs w:val="18"/>
                <w:highlight w:val="none"/>
              </w:rPr>
            </w:pPr>
          </w:p>
        </w:tc>
        <w:tc>
          <w:tcPr>
            <w:tcW w:w="998" w:type="dxa"/>
            <w:vMerge w:val="continue"/>
            <w:shd w:val="clear" w:color="auto" w:fill="auto"/>
            <w:vAlign w:val="center"/>
          </w:tcPr>
          <w:p>
            <w:pPr>
              <w:jc w:val="left"/>
              <w:rPr>
                <w:rFonts w:ascii="微软雅黑" w:hAnsi="微软雅黑" w:eastAsia="微软雅黑"/>
                <w:sz w:val="18"/>
                <w:szCs w:val="18"/>
                <w:highlight w:val="none"/>
              </w:rPr>
            </w:pPr>
          </w:p>
        </w:tc>
        <w:tc>
          <w:tcPr>
            <w:tcW w:w="6673" w:type="dxa"/>
            <w:shd w:val="clear" w:color="auto" w:fill="auto"/>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 xml:space="preserve">将告警信息以短信、邮件等方式通知相关的运维人员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restart"/>
            <w:shd w:val="clear" w:color="auto" w:fill="auto"/>
            <w:vAlign w:val="center"/>
          </w:tcPr>
          <w:p>
            <w:pPr>
              <w:jc w:val="center"/>
              <w:rPr>
                <w:rFonts w:ascii="微软雅黑" w:hAnsi="微软雅黑" w:eastAsia="微软雅黑"/>
                <w:sz w:val="18"/>
                <w:szCs w:val="18"/>
                <w:highlight w:val="none"/>
              </w:rPr>
            </w:pPr>
            <w:r>
              <w:rPr>
                <w:rFonts w:ascii="微软雅黑" w:hAnsi="微软雅黑" w:eastAsia="微软雅黑"/>
                <w:sz w:val="18"/>
                <w:szCs w:val="18"/>
                <w:highlight w:val="none"/>
              </w:rPr>
              <w:t>11</w:t>
            </w:r>
          </w:p>
        </w:tc>
        <w:tc>
          <w:tcPr>
            <w:tcW w:w="998" w:type="dxa"/>
            <w:vMerge w:val="restart"/>
            <w:shd w:val="clear" w:color="auto" w:fill="auto"/>
            <w:vAlign w:val="center"/>
          </w:tcPr>
          <w:p>
            <w:pPr>
              <w:jc w:val="left"/>
              <w:rPr>
                <w:rFonts w:ascii="微软雅黑" w:hAnsi="微软雅黑" w:eastAsia="微软雅黑"/>
                <w:sz w:val="18"/>
                <w:szCs w:val="18"/>
                <w:highlight w:val="none"/>
              </w:rPr>
            </w:pPr>
            <w:bookmarkStart w:id="136" w:name="_Toc299108249"/>
            <w:bookmarkStart w:id="137" w:name="_Toc304721613"/>
            <w:r>
              <w:rPr>
                <w:rFonts w:hint="eastAsia" w:ascii="微软雅黑" w:hAnsi="微软雅黑" w:eastAsia="微软雅黑"/>
                <w:sz w:val="18"/>
                <w:szCs w:val="18"/>
                <w:highlight w:val="none"/>
              </w:rPr>
              <w:t>监控呈现视图</w:t>
            </w:r>
            <w:bookmarkEnd w:id="136"/>
            <w:bookmarkEnd w:id="137"/>
          </w:p>
        </w:tc>
        <w:tc>
          <w:tcPr>
            <w:tcW w:w="6673" w:type="dxa"/>
            <w:shd w:val="clear" w:color="auto" w:fill="auto"/>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系统提供多种不同角度的全景监控视图，直观地、综合性地、全面地反映系统管理对象的运行状态和告警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shd w:val="clear" w:color="auto" w:fill="auto"/>
            <w:vAlign w:val="center"/>
          </w:tcPr>
          <w:p>
            <w:pPr>
              <w:jc w:val="center"/>
              <w:rPr>
                <w:rFonts w:ascii="微软雅黑" w:hAnsi="微软雅黑" w:eastAsia="微软雅黑"/>
                <w:sz w:val="18"/>
                <w:szCs w:val="18"/>
                <w:highlight w:val="none"/>
              </w:rPr>
            </w:pPr>
          </w:p>
        </w:tc>
        <w:tc>
          <w:tcPr>
            <w:tcW w:w="998" w:type="dxa"/>
            <w:vMerge w:val="continue"/>
            <w:shd w:val="clear" w:color="auto" w:fill="auto"/>
            <w:vAlign w:val="center"/>
          </w:tcPr>
          <w:p>
            <w:pPr>
              <w:jc w:val="left"/>
              <w:rPr>
                <w:rFonts w:ascii="微软雅黑" w:hAnsi="微软雅黑" w:eastAsia="微软雅黑"/>
                <w:sz w:val="18"/>
                <w:szCs w:val="18"/>
                <w:highlight w:val="none"/>
              </w:rPr>
            </w:pPr>
          </w:p>
        </w:tc>
        <w:tc>
          <w:tcPr>
            <w:tcW w:w="6673" w:type="dxa"/>
            <w:shd w:val="clear" w:color="auto" w:fill="auto"/>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★系统提供丰富的设备图形化面板展示、大屏视图、链路视图等。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restart"/>
            <w:shd w:val="clear" w:color="auto" w:fill="auto"/>
            <w:vAlign w:val="center"/>
          </w:tcPr>
          <w:p>
            <w:pPr>
              <w:jc w:val="center"/>
              <w:rPr>
                <w:rFonts w:ascii="微软雅黑" w:hAnsi="微软雅黑" w:eastAsia="微软雅黑"/>
                <w:sz w:val="18"/>
                <w:szCs w:val="18"/>
                <w:highlight w:val="none"/>
              </w:rPr>
            </w:pPr>
            <w:r>
              <w:rPr>
                <w:rFonts w:ascii="微软雅黑" w:hAnsi="微软雅黑" w:eastAsia="微软雅黑"/>
                <w:sz w:val="18"/>
                <w:szCs w:val="18"/>
                <w:highlight w:val="none"/>
              </w:rPr>
              <w:t>12</w:t>
            </w:r>
          </w:p>
        </w:tc>
        <w:tc>
          <w:tcPr>
            <w:tcW w:w="998" w:type="dxa"/>
            <w:vMerge w:val="restart"/>
            <w:shd w:val="clear" w:color="auto" w:fill="auto"/>
            <w:vAlign w:val="center"/>
          </w:tcPr>
          <w:p>
            <w:pPr>
              <w:jc w:val="left"/>
              <w:rPr>
                <w:rFonts w:ascii="微软雅黑" w:hAnsi="微软雅黑" w:eastAsia="微软雅黑"/>
                <w:sz w:val="18"/>
                <w:szCs w:val="18"/>
                <w:highlight w:val="none"/>
              </w:rPr>
            </w:pPr>
            <w:r>
              <w:rPr>
                <w:rFonts w:hint="eastAsia" w:ascii="微软雅黑" w:hAnsi="微软雅黑" w:eastAsia="微软雅黑"/>
                <w:sz w:val="18"/>
                <w:szCs w:val="18"/>
                <w:highlight w:val="none"/>
              </w:rPr>
              <w:t>数据挖掘与分析</w:t>
            </w:r>
          </w:p>
        </w:tc>
        <w:tc>
          <w:tcPr>
            <w:tcW w:w="6673" w:type="dxa"/>
            <w:shd w:val="clear" w:color="auto" w:fill="auto"/>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通过对系统性能、容量的直观分析，挖掘出IT设施的瓶颈所在。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shd w:val="clear" w:color="auto" w:fill="auto"/>
            <w:vAlign w:val="center"/>
          </w:tcPr>
          <w:p>
            <w:pPr>
              <w:jc w:val="center"/>
              <w:rPr>
                <w:rFonts w:ascii="微软雅黑" w:hAnsi="微软雅黑" w:eastAsia="微软雅黑"/>
                <w:sz w:val="18"/>
                <w:szCs w:val="18"/>
                <w:highlight w:val="none"/>
              </w:rPr>
            </w:pPr>
          </w:p>
        </w:tc>
        <w:tc>
          <w:tcPr>
            <w:tcW w:w="998" w:type="dxa"/>
            <w:vMerge w:val="continue"/>
            <w:shd w:val="clear" w:color="auto" w:fill="auto"/>
            <w:vAlign w:val="center"/>
          </w:tcPr>
          <w:p>
            <w:pPr>
              <w:jc w:val="left"/>
              <w:rPr>
                <w:rFonts w:ascii="微软雅黑" w:hAnsi="微软雅黑" w:eastAsia="微软雅黑"/>
                <w:sz w:val="18"/>
                <w:szCs w:val="18"/>
                <w:highlight w:val="none"/>
              </w:rPr>
            </w:pPr>
          </w:p>
        </w:tc>
        <w:tc>
          <w:tcPr>
            <w:tcW w:w="6673" w:type="dxa"/>
            <w:shd w:val="clear" w:color="auto" w:fill="auto"/>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分析报表均采用全中文的界面，并能根据不同的用户角色定义不同的报表，通过浏览器查看报表；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shd w:val="clear" w:color="auto" w:fill="auto"/>
            <w:vAlign w:val="center"/>
          </w:tcPr>
          <w:p>
            <w:pPr>
              <w:jc w:val="center"/>
              <w:rPr>
                <w:rFonts w:ascii="微软雅黑" w:hAnsi="微软雅黑" w:eastAsia="微软雅黑"/>
                <w:sz w:val="18"/>
                <w:szCs w:val="18"/>
                <w:highlight w:val="none"/>
              </w:rPr>
            </w:pPr>
          </w:p>
        </w:tc>
        <w:tc>
          <w:tcPr>
            <w:tcW w:w="998" w:type="dxa"/>
            <w:vMerge w:val="continue"/>
            <w:shd w:val="clear" w:color="auto" w:fill="auto"/>
            <w:vAlign w:val="center"/>
          </w:tcPr>
          <w:p>
            <w:pPr>
              <w:jc w:val="left"/>
              <w:rPr>
                <w:rFonts w:ascii="微软雅黑" w:hAnsi="微软雅黑" w:eastAsia="微软雅黑"/>
                <w:sz w:val="18"/>
                <w:szCs w:val="18"/>
                <w:highlight w:val="none"/>
              </w:rPr>
            </w:pPr>
          </w:p>
        </w:tc>
        <w:tc>
          <w:tcPr>
            <w:tcW w:w="6673" w:type="dxa"/>
            <w:shd w:val="clear" w:color="auto" w:fill="auto"/>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★能够提供柱状图、柄图、折线图、数据列表等多种灵活、形象的分析图表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shd w:val="clear" w:color="auto" w:fill="auto"/>
            <w:vAlign w:val="center"/>
          </w:tcPr>
          <w:p>
            <w:pPr>
              <w:jc w:val="center"/>
              <w:rPr>
                <w:rFonts w:ascii="微软雅黑" w:hAnsi="微软雅黑" w:eastAsia="微软雅黑"/>
                <w:sz w:val="18"/>
                <w:szCs w:val="18"/>
                <w:highlight w:val="none"/>
              </w:rPr>
            </w:pPr>
            <w:r>
              <w:rPr>
                <w:rFonts w:hint="eastAsia" w:ascii="微软雅黑" w:hAnsi="微软雅黑" w:eastAsia="微软雅黑"/>
                <w:sz w:val="18"/>
                <w:szCs w:val="18"/>
                <w:highlight w:val="none"/>
              </w:rPr>
              <w:t>1</w:t>
            </w:r>
            <w:r>
              <w:rPr>
                <w:rFonts w:ascii="微软雅黑" w:hAnsi="微软雅黑" w:eastAsia="微软雅黑"/>
                <w:sz w:val="18"/>
                <w:szCs w:val="18"/>
                <w:highlight w:val="none"/>
              </w:rPr>
              <w:t>3</w:t>
            </w:r>
          </w:p>
        </w:tc>
        <w:tc>
          <w:tcPr>
            <w:tcW w:w="998" w:type="dxa"/>
            <w:shd w:val="clear" w:color="auto" w:fill="auto"/>
            <w:vAlign w:val="center"/>
          </w:tcPr>
          <w:p>
            <w:pPr>
              <w:jc w:val="left"/>
              <w:rPr>
                <w:rFonts w:ascii="微软雅黑" w:hAnsi="微软雅黑" w:eastAsia="微软雅黑"/>
                <w:sz w:val="18"/>
                <w:szCs w:val="18"/>
                <w:highlight w:val="none"/>
              </w:rPr>
            </w:pPr>
            <w:r>
              <w:rPr>
                <w:rFonts w:hint="eastAsia" w:ascii="微软雅黑" w:hAnsi="微软雅黑" w:eastAsia="微软雅黑"/>
                <w:sz w:val="18"/>
                <w:szCs w:val="18"/>
                <w:highlight w:val="none"/>
              </w:rPr>
              <w:t>★系统升级机制</w:t>
            </w:r>
          </w:p>
        </w:tc>
        <w:tc>
          <w:tcPr>
            <w:tcW w:w="6673" w:type="dxa"/>
            <w:shd w:val="clear" w:color="auto" w:fill="auto"/>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系统支持以补丁包的形式进行自动升级，在服务期内如果遇到系统BUG等问题能够迅速得到解决，同时厂商定期发送的功能更新也可以无缝升级到最新版本。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shd w:val="clear" w:color="auto" w:fill="auto"/>
            <w:vAlign w:val="center"/>
          </w:tcPr>
          <w:p>
            <w:pPr>
              <w:jc w:val="center"/>
              <w:rPr>
                <w:rFonts w:ascii="微软雅黑" w:hAnsi="微软雅黑" w:eastAsia="微软雅黑"/>
                <w:sz w:val="18"/>
                <w:szCs w:val="18"/>
                <w:highlight w:val="none"/>
              </w:rPr>
            </w:pPr>
            <w:r>
              <w:rPr>
                <w:rFonts w:hint="eastAsia" w:ascii="微软雅黑" w:hAnsi="微软雅黑" w:eastAsia="微软雅黑"/>
                <w:sz w:val="18"/>
                <w:szCs w:val="18"/>
                <w:highlight w:val="none"/>
              </w:rPr>
              <w:t>1</w:t>
            </w:r>
            <w:r>
              <w:rPr>
                <w:rFonts w:ascii="微软雅黑" w:hAnsi="微软雅黑" w:eastAsia="微软雅黑"/>
                <w:sz w:val="18"/>
                <w:szCs w:val="18"/>
                <w:highlight w:val="none"/>
              </w:rPr>
              <w:t>4</w:t>
            </w:r>
          </w:p>
        </w:tc>
        <w:tc>
          <w:tcPr>
            <w:tcW w:w="998" w:type="dxa"/>
            <w:shd w:val="clear" w:color="auto" w:fill="auto"/>
            <w:vAlign w:val="center"/>
          </w:tcPr>
          <w:p>
            <w:pPr>
              <w:jc w:val="left"/>
              <w:rPr>
                <w:rFonts w:ascii="微软雅黑" w:hAnsi="微软雅黑" w:eastAsia="微软雅黑"/>
                <w:sz w:val="18"/>
                <w:szCs w:val="18"/>
                <w:highlight w:val="none"/>
              </w:rPr>
            </w:pPr>
            <w:r>
              <w:rPr>
                <w:rFonts w:hint="eastAsia" w:ascii="微软雅黑" w:hAnsi="微软雅黑" w:eastAsia="微软雅黑"/>
                <w:sz w:val="18"/>
                <w:szCs w:val="18"/>
                <w:highlight w:val="none"/>
              </w:rPr>
              <w:t>★系统的容量</w:t>
            </w:r>
          </w:p>
        </w:tc>
        <w:tc>
          <w:tcPr>
            <w:tcW w:w="6673" w:type="dxa"/>
            <w:shd w:val="clear" w:color="auto" w:fill="auto"/>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产品要能够满足甲方目前IT设施的监控要求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restart"/>
            <w:shd w:val="clear" w:color="auto" w:fill="auto"/>
            <w:vAlign w:val="center"/>
          </w:tcPr>
          <w:p>
            <w:pPr>
              <w:jc w:val="center"/>
              <w:rPr>
                <w:rFonts w:ascii="微软雅黑" w:hAnsi="微软雅黑" w:eastAsia="微软雅黑"/>
                <w:sz w:val="18"/>
                <w:szCs w:val="18"/>
                <w:highlight w:val="none"/>
              </w:rPr>
            </w:pPr>
            <w:r>
              <w:rPr>
                <w:rFonts w:hint="eastAsia" w:ascii="微软雅黑" w:hAnsi="微软雅黑" w:eastAsia="微软雅黑"/>
                <w:sz w:val="18"/>
                <w:szCs w:val="18"/>
                <w:highlight w:val="none"/>
              </w:rPr>
              <w:t>1</w:t>
            </w:r>
            <w:r>
              <w:rPr>
                <w:rFonts w:ascii="微软雅黑" w:hAnsi="微软雅黑" w:eastAsia="微软雅黑"/>
                <w:sz w:val="18"/>
                <w:szCs w:val="18"/>
                <w:highlight w:val="none"/>
              </w:rPr>
              <w:t>5</w:t>
            </w:r>
          </w:p>
        </w:tc>
        <w:tc>
          <w:tcPr>
            <w:tcW w:w="998" w:type="dxa"/>
            <w:vMerge w:val="restart"/>
            <w:shd w:val="clear" w:color="auto" w:fill="auto"/>
            <w:vAlign w:val="center"/>
          </w:tcPr>
          <w:p>
            <w:pPr>
              <w:jc w:val="left"/>
              <w:rPr>
                <w:rFonts w:ascii="微软雅黑" w:hAnsi="微软雅黑" w:eastAsia="微软雅黑"/>
                <w:sz w:val="18"/>
                <w:szCs w:val="18"/>
                <w:highlight w:val="none"/>
              </w:rPr>
            </w:pPr>
            <w:r>
              <w:rPr>
                <w:rFonts w:hint="eastAsia" w:ascii="微软雅黑" w:hAnsi="微软雅黑" w:eastAsia="微软雅黑"/>
                <w:sz w:val="18"/>
                <w:szCs w:val="18"/>
                <w:highlight w:val="none"/>
              </w:rPr>
              <w:t>★系统二次开发</w:t>
            </w:r>
          </w:p>
        </w:tc>
        <w:tc>
          <w:tcPr>
            <w:tcW w:w="6673" w:type="dxa"/>
            <w:shd w:val="clear" w:color="auto" w:fill="auto"/>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按照招标人要求实现项目要求的类型范围内的特殊型号设备、应用软件的监控二次开发。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shd w:val="clear" w:color="auto" w:fill="auto"/>
            <w:vAlign w:val="center"/>
          </w:tcPr>
          <w:p>
            <w:pPr>
              <w:jc w:val="center"/>
              <w:rPr>
                <w:rFonts w:ascii="微软雅黑" w:hAnsi="微软雅黑" w:eastAsia="微软雅黑"/>
                <w:sz w:val="18"/>
                <w:szCs w:val="18"/>
                <w:highlight w:val="none"/>
              </w:rPr>
            </w:pPr>
          </w:p>
        </w:tc>
        <w:tc>
          <w:tcPr>
            <w:tcW w:w="998" w:type="dxa"/>
            <w:vMerge w:val="continue"/>
            <w:shd w:val="clear" w:color="auto" w:fill="auto"/>
            <w:vAlign w:val="center"/>
          </w:tcPr>
          <w:p>
            <w:pPr>
              <w:jc w:val="left"/>
              <w:rPr>
                <w:rFonts w:ascii="微软雅黑" w:hAnsi="微软雅黑" w:eastAsia="微软雅黑"/>
                <w:sz w:val="18"/>
                <w:szCs w:val="18"/>
                <w:highlight w:val="none"/>
              </w:rPr>
            </w:pPr>
          </w:p>
        </w:tc>
        <w:tc>
          <w:tcPr>
            <w:tcW w:w="6673" w:type="dxa"/>
            <w:shd w:val="clear" w:color="auto" w:fill="auto"/>
            <w:vAlign w:val="center"/>
          </w:tcPr>
          <w:p>
            <w:pPr>
              <w:spacing w:line="276" w:lineRule="auto"/>
              <w:rPr>
                <w:rFonts w:ascii="微软雅黑" w:hAnsi="微软雅黑" w:eastAsia="微软雅黑"/>
                <w:sz w:val="18"/>
                <w:szCs w:val="18"/>
                <w:highlight w:val="none"/>
              </w:rPr>
            </w:pPr>
            <w:r>
              <w:rPr>
                <w:rFonts w:hint="eastAsia" w:ascii="微软雅黑" w:hAnsi="微软雅黑" w:eastAsia="微软雅黑"/>
                <w:sz w:val="18"/>
                <w:szCs w:val="18"/>
                <w:highlight w:val="none"/>
              </w:rPr>
              <w:t>根据甲方现状，实现与其他现有管理系统直接对接，形成告警故障的闭环处理。</w:t>
            </w:r>
          </w:p>
        </w:tc>
      </w:tr>
    </w:tbl>
    <w:p>
      <w:pPr>
        <w:tabs>
          <w:tab w:val="left" w:pos="851"/>
          <w:tab w:val="left" w:pos="1134"/>
          <w:tab w:val="left" w:pos="1276"/>
        </w:tabs>
        <w:spacing w:line="360" w:lineRule="atLeast"/>
        <w:rPr>
          <w:rFonts w:hint="eastAsia" w:cs="Times New Roman"/>
          <w:b/>
          <w:snapToGrid w:val="0"/>
          <w:kern w:val="0"/>
          <w:sz w:val="28"/>
          <w:szCs w:val="28"/>
          <w:lang w:val="en-US" w:eastAsia="zh-CN" w:bidi="ar-SA"/>
        </w:rPr>
      </w:pPr>
    </w:p>
    <w:sectPr>
      <w:type w:val="continuous"/>
      <w:pgSz w:w="11907" w:h="16840"/>
      <w:pgMar w:top="1418" w:right="1418" w:bottom="1134" w:left="1134" w:header="850" w:footer="567" w:gutter="284"/>
      <w:pgNumType w:start="1"/>
      <w:cols w:space="425" w:num="1"/>
      <w:docGrid w:type="lines" w:linePitch="380" w:charSpace="104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Palatino Linotype">
    <w:panose1 w:val="02040502050505030304"/>
    <w:charset w:val="00"/>
    <w:family w:val="roman"/>
    <w:pitch w:val="default"/>
    <w:sig w:usb0="E0000287" w:usb1="40000013" w:usb2="00000000" w:usb3="00000000" w:csb0="2000019F" w:csb1="00000000"/>
  </w:font>
  <w:font w:name="微软雅黑">
    <w:panose1 w:val="020B0503020204020204"/>
    <w:charset w:val="86"/>
    <w:family w:val="auto"/>
    <w:pitch w:val="default"/>
    <w:sig w:usb0="80000287" w:usb1="2ACF3C5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仿宋_GB2312"/>
      </w:rPr>
    </w:pPr>
    <w:r>
      <w:rPr>
        <w:rFonts w:hint="eastAsia" w:ascii="仿宋_GB2312"/>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jc w:val="center"/>
      <w:rPr>
        <w:rFonts w:ascii="仿宋_GB2312"/>
        <w:sz w:val="18"/>
        <w:szCs w:val="18"/>
      </w:rPr>
    </w:pPr>
    <w:r>
      <w:rPr>
        <w:rFonts w:hint="eastAsia" w:ascii="仿宋_GB2312"/>
        <w:lang w:val="zh-CN"/>
      </w:rPr>
      <w:t>第</w:t>
    </w:r>
    <w:r>
      <w:fldChar w:fldCharType="begin"/>
    </w:r>
    <w:r>
      <w:instrText xml:space="preserve"> PAGE </w:instrText>
    </w:r>
    <w:r>
      <w:fldChar w:fldCharType="separate"/>
    </w:r>
    <w:r>
      <w:t>7</w:t>
    </w:r>
    <w:r>
      <w:fldChar w:fldCharType="end"/>
    </w:r>
    <w:r>
      <w:rPr>
        <w:rFonts w:hint="eastAsia" w:ascii="仿宋_GB2312"/>
      </w:rPr>
      <w:t>页</w:t>
    </w:r>
    <w:r>
      <w:rPr>
        <w:rFonts w:hint="eastAsia" w:ascii="仿宋_GB2312"/>
        <w:lang w:val="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12" w:space="1"/>
      </w:pBdr>
      <w:spacing w:line="240" w:lineRule="auto"/>
      <w:jc w:val="left"/>
      <w:rPr>
        <w:szCs w:val="18"/>
      </w:rPr>
    </w:pPr>
    <w:r>
      <w:rPr>
        <w:szCs w:val="18"/>
      </w:rPr>
      <mc:AlternateContent>
        <mc:Choice Requires="wps">
          <w:drawing>
            <wp:anchor distT="0" distB="0" distL="114300" distR="114300" simplePos="0" relativeHeight="251657216" behindDoc="0" locked="0" layoutInCell="1" allowOverlap="1">
              <wp:simplePos x="0" y="0"/>
              <wp:positionH relativeFrom="column">
                <wp:posOffset>4182745</wp:posOffset>
              </wp:positionH>
              <wp:positionV relativeFrom="paragraph">
                <wp:posOffset>-36830</wp:posOffset>
              </wp:positionV>
              <wp:extent cx="1828800" cy="343535"/>
              <wp:effectExtent l="0" t="0" r="3810" b="1270"/>
              <wp:wrapNone/>
              <wp:docPr id="2" name="Text Box 11"/>
              <wp:cNvGraphicFramePr/>
              <a:graphic xmlns:a="http://schemas.openxmlformats.org/drawingml/2006/main">
                <a:graphicData uri="http://schemas.microsoft.com/office/word/2010/wordprocessingShape">
                  <wps:wsp>
                    <wps:cNvSpPr txBox="1">
                      <a:spLocks noChangeArrowheads="1"/>
                    </wps:cNvSpPr>
                    <wps:spPr bwMode="auto">
                      <a:xfrm>
                        <a:off x="0" y="0"/>
                        <a:ext cx="1828800" cy="343535"/>
                      </a:xfrm>
                      <a:prstGeom prst="rect">
                        <a:avLst/>
                      </a:prstGeom>
                      <a:noFill/>
                      <a:ln>
                        <a:noFill/>
                      </a:ln>
                    </wps:spPr>
                    <wps:txbx>
                      <w:txbxContent>
                        <w:p>
                          <w:pPr>
                            <w:rPr>
                              <w:szCs w:val="18"/>
                            </w:rPr>
                          </w:pPr>
                        </w:p>
                      </w:txbxContent>
                    </wps:txbx>
                    <wps:bodyPr rot="0" vert="horz" wrap="square" lIns="91440" tIns="45720" rIns="91440" bIns="45720" anchor="t" anchorCtr="0" upright="1">
                      <a:noAutofit/>
                    </wps:bodyPr>
                  </wps:wsp>
                </a:graphicData>
              </a:graphic>
            </wp:anchor>
          </w:drawing>
        </mc:Choice>
        <mc:Fallback>
          <w:pict>
            <v:shape id="Text Box 11" o:spid="_x0000_s1026" o:spt="202" type="#_x0000_t202" style="position:absolute;left:0pt;margin-left:329.35pt;margin-top:-2.9pt;height:27.05pt;width:144pt;z-index:251657216;mso-width-relative:page;mso-height-relative:page;" filled="f" stroked="f" coordsize="21600,21600" o:gfxdata="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NFV&#10;f9cAAAAJAQAADwAAAAAAAAABACAAAAAiAAAAZHJzL2Rvd25yZXYueG1sUEsBAhQAFAAAAAgAh07i&#10;QCuc50LqAQAAxwMAAA4AAAAAAAAAAQAgAAAAJgEAAGRycy9lMm9Eb2MueG1sUEsFBgAAAAAGAAYA&#10;WQEAAIIFAAAAAA==&#10;">
              <v:fill on="f" focussize="0,0"/>
              <v:stroke on="f"/>
              <v:imagedata o:title=""/>
              <o:lock v:ext="edit" aspectratio="f"/>
              <v:textbox>
                <w:txbxContent>
                  <w:p>
                    <w:pPr>
                      <w:rPr>
                        <w:szCs w:val="18"/>
                      </w:rPr>
                    </w:pPr>
                  </w:p>
                </w:txbxContent>
              </v:textbox>
            </v:shape>
          </w:pict>
        </mc:Fallback>
      </mc:AlternateContent>
    </w:r>
    <w:r>
      <w:rPr>
        <w:rFonts w:hint="eastAsia" w:ascii="仿宋_GB2312" w:hAnsi="宋体"/>
        <w:szCs w:val="18"/>
      </w:rPr>
      <w:t>北京创联致信科技有限公司                                                        产品销售合同书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E5C89"/>
    <w:multiLevelType w:val="multilevel"/>
    <w:tmpl w:val="1B7E5C89"/>
    <w:lvl w:ilvl="0" w:tentative="0">
      <w:start w:val="1"/>
      <w:numFmt w:val="bullet"/>
      <w:pStyle w:val="46"/>
      <w:lvlText w:val=""/>
      <w:lvlJc w:val="left"/>
      <w:pPr>
        <w:ind w:left="962" w:hanging="420"/>
      </w:pPr>
      <w:rPr>
        <w:rFonts w:hint="default" w:ascii="Wingdings" w:hAnsi="Wingdings"/>
      </w:rPr>
    </w:lvl>
    <w:lvl w:ilvl="1" w:tentative="0">
      <w:start w:val="1"/>
      <w:numFmt w:val="bullet"/>
      <w:lvlText w:val=""/>
      <w:lvlJc w:val="left"/>
      <w:pPr>
        <w:ind w:left="1382" w:hanging="420"/>
      </w:pPr>
      <w:rPr>
        <w:rFonts w:hint="default" w:ascii="Wingdings" w:hAnsi="Wingdings"/>
      </w:rPr>
    </w:lvl>
    <w:lvl w:ilvl="2" w:tentative="0">
      <w:start w:val="1"/>
      <w:numFmt w:val="bullet"/>
      <w:lvlText w:val=""/>
      <w:lvlJc w:val="left"/>
      <w:pPr>
        <w:ind w:left="1802" w:hanging="420"/>
      </w:pPr>
      <w:rPr>
        <w:rFonts w:hint="default" w:ascii="Wingdings" w:hAnsi="Wingdings"/>
      </w:rPr>
    </w:lvl>
    <w:lvl w:ilvl="3" w:tentative="0">
      <w:start w:val="1"/>
      <w:numFmt w:val="bullet"/>
      <w:lvlText w:val=""/>
      <w:lvlJc w:val="left"/>
      <w:pPr>
        <w:ind w:left="2222" w:hanging="420"/>
      </w:pPr>
      <w:rPr>
        <w:rFonts w:hint="default" w:ascii="Wingdings" w:hAnsi="Wingdings"/>
      </w:rPr>
    </w:lvl>
    <w:lvl w:ilvl="4" w:tentative="0">
      <w:start w:val="1"/>
      <w:numFmt w:val="bullet"/>
      <w:lvlText w:val=""/>
      <w:lvlJc w:val="left"/>
      <w:pPr>
        <w:ind w:left="2642" w:hanging="420"/>
      </w:pPr>
      <w:rPr>
        <w:rFonts w:hint="default" w:ascii="Wingdings" w:hAnsi="Wingdings"/>
      </w:rPr>
    </w:lvl>
    <w:lvl w:ilvl="5" w:tentative="0">
      <w:start w:val="1"/>
      <w:numFmt w:val="bullet"/>
      <w:lvlText w:val=""/>
      <w:lvlJc w:val="left"/>
      <w:pPr>
        <w:ind w:left="3062" w:hanging="420"/>
      </w:pPr>
      <w:rPr>
        <w:rFonts w:hint="default" w:ascii="Wingdings" w:hAnsi="Wingdings"/>
      </w:rPr>
    </w:lvl>
    <w:lvl w:ilvl="6" w:tentative="0">
      <w:start w:val="1"/>
      <w:numFmt w:val="bullet"/>
      <w:lvlText w:val=""/>
      <w:lvlJc w:val="left"/>
      <w:pPr>
        <w:ind w:left="3482" w:hanging="420"/>
      </w:pPr>
      <w:rPr>
        <w:rFonts w:hint="default" w:ascii="Wingdings" w:hAnsi="Wingdings"/>
      </w:rPr>
    </w:lvl>
    <w:lvl w:ilvl="7" w:tentative="0">
      <w:start w:val="1"/>
      <w:numFmt w:val="bullet"/>
      <w:lvlText w:val=""/>
      <w:lvlJc w:val="left"/>
      <w:pPr>
        <w:ind w:left="3902" w:hanging="420"/>
      </w:pPr>
      <w:rPr>
        <w:rFonts w:hint="default" w:ascii="Wingdings" w:hAnsi="Wingdings"/>
      </w:rPr>
    </w:lvl>
    <w:lvl w:ilvl="8" w:tentative="0">
      <w:start w:val="1"/>
      <w:numFmt w:val="bullet"/>
      <w:lvlText w:val=""/>
      <w:lvlJc w:val="left"/>
      <w:pPr>
        <w:ind w:left="4322" w:hanging="420"/>
      </w:pPr>
      <w:rPr>
        <w:rFonts w:hint="default" w:ascii="Wingdings" w:hAnsi="Wingdings"/>
      </w:rPr>
    </w:lvl>
  </w:abstractNum>
  <w:abstractNum w:abstractNumId="1">
    <w:nsid w:val="2522311A"/>
    <w:multiLevelType w:val="multilevel"/>
    <w:tmpl w:val="2522311A"/>
    <w:lvl w:ilvl="0" w:tentative="0">
      <w:start w:val="1"/>
      <w:numFmt w:val="chineseCountingThousand"/>
      <w:suff w:val="nothing"/>
      <w:lvlText w:val="第%1章"/>
      <w:lvlJc w:val="left"/>
      <w:pPr>
        <w:ind w:left="0" w:firstLine="0"/>
      </w:pPr>
    </w:lvl>
    <w:lvl w:ilvl="1" w:tentative="0">
      <w:start w:val="1"/>
      <w:numFmt w:val="none"/>
      <w:pStyle w:val="3"/>
      <w:suff w:val="nothing"/>
      <w:lvlText w:val=""/>
      <w:lvlJc w:val="left"/>
      <w:pPr>
        <w:ind w:left="0" w:firstLine="0"/>
      </w:pPr>
    </w:lvl>
    <w:lvl w:ilvl="2" w:tentative="0">
      <w:start w:val="1"/>
      <w:numFmt w:val="none"/>
      <w:pStyle w:val="5"/>
      <w:suff w:val="nothing"/>
      <w:lvlText w:val=""/>
      <w:lvlJc w:val="left"/>
      <w:pPr>
        <w:ind w:left="0" w:firstLine="0"/>
      </w:pPr>
    </w:lvl>
    <w:lvl w:ilvl="3" w:tentative="0">
      <w:start w:val="1"/>
      <w:numFmt w:val="none"/>
      <w:pStyle w:val="6"/>
      <w:suff w:val="nothing"/>
      <w:lvlText w:val=""/>
      <w:lvlJc w:val="left"/>
      <w:pPr>
        <w:ind w:left="0" w:firstLine="0"/>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abstractNum w:abstractNumId="2">
    <w:nsid w:val="333F2FC8"/>
    <w:multiLevelType w:val="multilevel"/>
    <w:tmpl w:val="333F2FC8"/>
    <w:lvl w:ilvl="0" w:tentative="0">
      <w:start w:val="1"/>
      <w:numFmt w:val="bullet"/>
      <w:lvlText w:val=""/>
      <w:lvlJc w:val="left"/>
      <w:pPr>
        <w:ind w:left="964" w:hanging="420"/>
      </w:pPr>
      <w:rPr>
        <w:rFonts w:hint="default" w:ascii="Wingdings" w:hAnsi="Wingdings"/>
      </w:rPr>
    </w:lvl>
    <w:lvl w:ilvl="1" w:tentative="0">
      <w:start w:val="1"/>
      <w:numFmt w:val="bullet"/>
      <w:lvlText w:val=""/>
      <w:lvlJc w:val="left"/>
      <w:pPr>
        <w:ind w:left="1384" w:hanging="420"/>
      </w:pPr>
      <w:rPr>
        <w:rFonts w:hint="default" w:ascii="Wingdings" w:hAnsi="Wingdings"/>
      </w:rPr>
    </w:lvl>
    <w:lvl w:ilvl="2" w:tentative="0">
      <w:start w:val="1"/>
      <w:numFmt w:val="bullet"/>
      <w:lvlText w:val=""/>
      <w:lvlJc w:val="left"/>
      <w:pPr>
        <w:ind w:left="1804" w:hanging="420"/>
      </w:pPr>
      <w:rPr>
        <w:rFonts w:hint="default" w:ascii="Wingdings" w:hAnsi="Wingdings"/>
      </w:rPr>
    </w:lvl>
    <w:lvl w:ilvl="3" w:tentative="0">
      <w:start w:val="1"/>
      <w:numFmt w:val="bullet"/>
      <w:lvlText w:val=""/>
      <w:lvlJc w:val="left"/>
      <w:pPr>
        <w:ind w:left="2224" w:hanging="420"/>
      </w:pPr>
      <w:rPr>
        <w:rFonts w:hint="default" w:ascii="Wingdings" w:hAnsi="Wingdings"/>
      </w:rPr>
    </w:lvl>
    <w:lvl w:ilvl="4" w:tentative="0">
      <w:start w:val="1"/>
      <w:numFmt w:val="bullet"/>
      <w:lvlText w:val=""/>
      <w:lvlJc w:val="left"/>
      <w:pPr>
        <w:ind w:left="2644" w:hanging="420"/>
      </w:pPr>
      <w:rPr>
        <w:rFonts w:hint="default" w:ascii="Wingdings" w:hAnsi="Wingdings"/>
      </w:rPr>
    </w:lvl>
    <w:lvl w:ilvl="5" w:tentative="0">
      <w:start w:val="1"/>
      <w:numFmt w:val="bullet"/>
      <w:lvlText w:val=""/>
      <w:lvlJc w:val="left"/>
      <w:pPr>
        <w:ind w:left="3064" w:hanging="420"/>
      </w:pPr>
      <w:rPr>
        <w:rFonts w:hint="default" w:ascii="Wingdings" w:hAnsi="Wingdings"/>
      </w:rPr>
    </w:lvl>
    <w:lvl w:ilvl="6" w:tentative="0">
      <w:start w:val="1"/>
      <w:numFmt w:val="bullet"/>
      <w:lvlText w:val=""/>
      <w:lvlJc w:val="left"/>
      <w:pPr>
        <w:ind w:left="3484" w:hanging="420"/>
      </w:pPr>
      <w:rPr>
        <w:rFonts w:hint="default" w:ascii="Wingdings" w:hAnsi="Wingdings"/>
      </w:rPr>
    </w:lvl>
    <w:lvl w:ilvl="7" w:tentative="0">
      <w:start w:val="1"/>
      <w:numFmt w:val="bullet"/>
      <w:lvlText w:val=""/>
      <w:lvlJc w:val="left"/>
      <w:pPr>
        <w:ind w:left="3904" w:hanging="420"/>
      </w:pPr>
      <w:rPr>
        <w:rFonts w:hint="default" w:ascii="Wingdings" w:hAnsi="Wingdings"/>
      </w:rPr>
    </w:lvl>
    <w:lvl w:ilvl="8" w:tentative="0">
      <w:start w:val="1"/>
      <w:numFmt w:val="bullet"/>
      <w:lvlText w:val=""/>
      <w:lvlJc w:val="left"/>
      <w:pPr>
        <w:ind w:left="4324" w:hanging="420"/>
      </w:pPr>
      <w:rPr>
        <w:rFonts w:hint="default" w:ascii="Wingdings" w:hAnsi="Wingdings"/>
      </w:rPr>
    </w:lvl>
  </w:abstractNum>
  <w:abstractNum w:abstractNumId="3">
    <w:nsid w:val="380960D3"/>
    <w:multiLevelType w:val="multilevel"/>
    <w:tmpl w:val="380960D3"/>
    <w:lvl w:ilvl="0" w:tentative="0">
      <w:start w:val="1"/>
      <w:numFmt w:val="decimal"/>
      <w:lvlText w:val="%1"/>
      <w:lvlJc w:val="left"/>
      <w:pPr>
        <w:tabs>
          <w:tab w:val="left" w:pos="720"/>
        </w:tabs>
        <w:ind w:left="720" w:hanging="720"/>
      </w:pPr>
      <w:rPr>
        <w:rFonts w:hint="default"/>
      </w:rPr>
    </w:lvl>
    <w:lvl w:ilvl="1" w:tentative="0">
      <w:start w:val="1"/>
      <w:numFmt w:val="decimal"/>
      <w:lvlText w:val="%1.%2"/>
      <w:lvlJc w:val="left"/>
      <w:pPr>
        <w:tabs>
          <w:tab w:val="left" w:pos="1035"/>
        </w:tabs>
        <w:ind w:left="1035" w:hanging="720"/>
      </w:pPr>
      <w:rPr>
        <w:rFonts w:hint="default" w:ascii="Times New Roman" w:hAnsi="Times New Roman" w:eastAsia="仿宋_GB2312" w:cs="Times New Roman"/>
      </w:rPr>
    </w:lvl>
    <w:lvl w:ilvl="2" w:tentative="0">
      <w:start w:val="1"/>
      <w:numFmt w:val="decimal"/>
      <w:lvlText w:val="%1.%2.%3"/>
      <w:lvlJc w:val="left"/>
      <w:pPr>
        <w:tabs>
          <w:tab w:val="left" w:pos="720"/>
        </w:tabs>
        <w:ind w:left="720" w:hanging="720"/>
      </w:pPr>
      <w:rPr>
        <w:rFonts w:hint="default" w:ascii="Times New Roman" w:hAnsi="Times New Roman" w:eastAsia="仿宋_GB2312" w:cs="Times New Roman"/>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720"/>
        </w:tabs>
        <w:ind w:left="720" w:hanging="720"/>
      </w:pPr>
      <w:rPr>
        <w:rFonts w:hint="default"/>
      </w:rPr>
    </w:lvl>
    <w:lvl w:ilvl="5" w:tentative="0">
      <w:start w:val="1"/>
      <w:numFmt w:val="decimal"/>
      <w:lvlText w:val="%1.%2.%3.%4.%5.%6"/>
      <w:lvlJc w:val="left"/>
      <w:pPr>
        <w:tabs>
          <w:tab w:val="left" w:pos="720"/>
        </w:tabs>
        <w:ind w:left="720" w:hanging="720"/>
      </w:pPr>
      <w:rPr>
        <w:rFonts w:hint="default"/>
      </w:rPr>
    </w:lvl>
    <w:lvl w:ilvl="6" w:tentative="0">
      <w:start w:val="1"/>
      <w:numFmt w:val="decimal"/>
      <w:lvlText w:val="%1.%2.%3.%4.%5.%6.%7"/>
      <w:lvlJc w:val="left"/>
      <w:pPr>
        <w:tabs>
          <w:tab w:val="left" w:pos="720"/>
        </w:tabs>
        <w:ind w:left="720" w:hanging="720"/>
      </w:pPr>
      <w:rPr>
        <w:rFonts w:hint="default"/>
      </w:rPr>
    </w:lvl>
    <w:lvl w:ilvl="7" w:tentative="0">
      <w:start w:val="1"/>
      <w:numFmt w:val="decimal"/>
      <w:lvlText w:val="%1.%2.%3.%4.%5.%6.%7.%8"/>
      <w:lvlJc w:val="left"/>
      <w:pPr>
        <w:tabs>
          <w:tab w:val="left" w:pos="720"/>
        </w:tabs>
        <w:ind w:left="720" w:hanging="720"/>
      </w:pPr>
      <w:rPr>
        <w:rFonts w:hint="default"/>
      </w:rPr>
    </w:lvl>
    <w:lvl w:ilvl="8" w:tentative="0">
      <w:start w:val="1"/>
      <w:numFmt w:val="decimal"/>
      <w:lvlText w:val="%1.%2.%3.%4.%5.%6.%7.%8.%9"/>
      <w:lvlJc w:val="left"/>
      <w:pPr>
        <w:tabs>
          <w:tab w:val="left" w:pos="720"/>
        </w:tabs>
        <w:ind w:left="720" w:hanging="720"/>
      </w:pPr>
      <w:rPr>
        <w:rFonts w:hint="default"/>
      </w:rPr>
    </w:lvl>
  </w:abstractNum>
  <w:abstractNum w:abstractNumId="4">
    <w:nsid w:val="77A241E6"/>
    <w:multiLevelType w:val="multilevel"/>
    <w:tmpl w:val="77A241E6"/>
    <w:lvl w:ilvl="0" w:tentative="0">
      <w:start w:val="4"/>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Times New Roman" w:hAnsi="Times New Roman" w:eastAsia="宋体" w:cs="Times New Roman"/>
        <w:b w:val="0"/>
        <w:i w:val="0"/>
        <w:color w:val="000000"/>
        <w:sz w:val="24"/>
      </w:rPr>
    </w:lvl>
    <w:lvl w:ilvl="2" w:tentative="0">
      <w:start w:val="1"/>
      <w:numFmt w:val="decimal"/>
      <w:lvlText w:val="%1.%2.%3"/>
      <w:lvlJc w:val="left"/>
      <w:pPr>
        <w:tabs>
          <w:tab w:val="left" w:pos="964"/>
        </w:tabs>
        <w:ind w:left="964" w:hanging="680"/>
      </w:pPr>
      <w:rPr>
        <w:rFonts w:hint="default" w:ascii="Times New Roman" w:hAnsi="Times New Roman" w:eastAsia="宋体" w:cs="Times New Roman"/>
        <w:b w:val="0"/>
        <w:i w:val="0"/>
        <w:color w:val="000000"/>
        <w:sz w:val="24"/>
      </w:rPr>
    </w:lvl>
    <w:lvl w:ilvl="3" w:tentative="0">
      <w:start w:val="1"/>
      <w:numFmt w:val="decimal"/>
      <w:lvlText w:val="%1.%2.%3.%4."/>
      <w:lvlJc w:val="left"/>
      <w:pPr>
        <w:tabs>
          <w:tab w:val="left" w:pos="1080"/>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7F0838FD"/>
    <w:multiLevelType w:val="multilevel"/>
    <w:tmpl w:val="7F0838FD"/>
    <w:lvl w:ilvl="0" w:tentative="0">
      <w:start w:val="1"/>
      <w:numFmt w:val="chineseCountingThousand"/>
      <w:pStyle w:val="50"/>
      <w:lvlText w:val="第%1章"/>
      <w:lvlJc w:val="left"/>
      <w:pPr>
        <w:tabs>
          <w:tab w:val="left" w:pos="1701"/>
        </w:tabs>
        <w:ind w:left="1701" w:hanging="1701"/>
      </w:pPr>
      <w:rPr>
        <w:rFonts w:hint="eastAsia"/>
        <w:b/>
        <w:i w:val="0"/>
        <w:color w:val="FF0000"/>
        <w:sz w:val="32"/>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4"/>
  <w:drawingGridHorizontalSpacing w:val="261"/>
  <w:drawingGridVerticalSpacing w:val="190"/>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2A"/>
    <w:rsid w:val="000008DF"/>
    <w:rsid w:val="000029D5"/>
    <w:rsid w:val="00005AB5"/>
    <w:rsid w:val="00005BDF"/>
    <w:rsid w:val="000069D3"/>
    <w:rsid w:val="00007547"/>
    <w:rsid w:val="00007F91"/>
    <w:rsid w:val="000122FF"/>
    <w:rsid w:val="00013B85"/>
    <w:rsid w:val="00013F91"/>
    <w:rsid w:val="000147D1"/>
    <w:rsid w:val="00015B3E"/>
    <w:rsid w:val="000172AA"/>
    <w:rsid w:val="00022E5E"/>
    <w:rsid w:val="000235FF"/>
    <w:rsid w:val="00023AE6"/>
    <w:rsid w:val="00026F11"/>
    <w:rsid w:val="00032B01"/>
    <w:rsid w:val="00033718"/>
    <w:rsid w:val="00037AF6"/>
    <w:rsid w:val="000419B0"/>
    <w:rsid w:val="00041AE5"/>
    <w:rsid w:val="00043040"/>
    <w:rsid w:val="00045861"/>
    <w:rsid w:val="00054CCC"/>
    <w:rsid w:val="00055385"/>
    <w:rsid w:val="00055990"/>
    <w:rsid w:val="0006490E"/>
    <w:rsid w:val="0006525C"/>
    <w:rsid w:val="00065701"/>
    <w:rsid w:val="000670E4"/>
    <w:rsid w:val="00070F6A"/>
    <w:rsid w:val="00071F9A"/>
    <w:rsid w:val="00073045"/>
    <w:rsid w:val="00073FEE"/>
    <w:rsid w:val="00076A0A"/>
    <w:rsid w:val="00077A21"/>
    <w:rsid w:val="00083319"/>
    <w:rsid w:val="00092654"/>
    <w:rsid w:val="00092E6F"/>
    <w:rsid w:val="00095AD7"/>
    <w:rsid w:val="000A0A29"/>
    <w:rsid w:val="000A1AD4"/>
    <w:rsid w:val="000A2D50"/>
    <w:rsid w:val="000A4BD2"/>
    <w:rsid w:val="000A59FB"/>
    <w:rsid w:val="000B0BA7"/>
    <w:rsid w:val="000C1AB7"/>
    <w:rsid w:val="000C3ECF"/>
    <w:rsid w:val="000C7691"/>
    <w:rsid w:val="000E6BD3"/>
    <w:rsid w:val="000F1411"/>
    <w:rsid w:val="000F3D32"/>
    <w:rsid w:val="000F753D"/>
    <w:rsid w:val="00104667"/>
    <w:rsid w:val="00113510"/>
    <w:rsid w:val="00113708"/>
    <w:rsid w:val="00113D20"/>
    <w:rsid w:val="00114864"/>
    <w:rsid w:val="00114EBA"/>
    <w:rsid w:val="00116FB0"/>
    <w:rsid w:val="00120CEE"/>
    <w:rsid w:val="00121534"/>
    <w:rsid w:val="001261BC"/>
    <w:rsid w:val="0012789A"/>
    <w:rsid w:val="00130B9D"/>
    <w:rsid w:val="0013529D"/>
    <w:rsid w:val="0014431E"/>
    <w:rsid w:val="00144FA8"/>
    <w:rsid w:val="00150345"/>
    <w:rsid w:val="00153E59"/>
    <w:rsid w:val="0016399F"/>
    <w:rsid w:val="0016666E"/>
    <w:rsid w:val="0017419D"/>
    <w:rsid w:val="0017722E"/>
    <w:rsid w:val="00177FE0"/>
    <w:rsid w:val="00181001"/>
    <w:rsid w:val="00184EBD"/>
    <w:rsid w:val="00191C8D"/>
    <w:rsid w:val="00192F7A"/>
    <w:rsid w:val="00197390"/>
    <w:rsid w:val="001A146A"/>
    <w:rsid w:val="001A6B24"/>
    <w:rsid w:val="001B1CBD"/>
    <w:rsid w:val="001B63CB"/>
    <w:rsid w:val="001C5344"/>
    <w:rsid w:val="001D19FF"/>
    <w:rsid w:val="001E2669"/>
    <w:rsid w:val="001E4C77"/>
    <w:rsid w:val="001F0C51"/>
    <w:rsid w:val="0020264C"/>
    <w:rsid w:val="00203150"/>
    <w:rsid w:val="00211040"/>
    <w:rsid w:val="00213694"/>
    <w:rsid w:val="0022255D"/>
    <w:rsid w:val="00241C90"/>
    <w:rsid w:val="0024436B"/>
    <w:rsid w:val="0025411A"/>
    <w:rsid w:val="00255E1C"/>
    <w:rsid w:val="00256321"/>
    <w:rsid w:val="00257254"/>
    <w:rsid w:val="002678FB"/>
    <w:rsid w:val="00274174"/>
    <w:rsid w:val="00276047"/>
    <w:rsid w:val="0027608B"/>
    <w:rsid w:val="00277467"/>
    <w:rsid w:val="00281274"/>
    <w:rsid w:val="0028340B"/>
    <w:rsid w:val="0028667D"/>
    <w:rsid w:val="00292B57"/>
    <w:rsid w:val="002A2862"/>
    <w:rsid w:val="002A2938"/>
    <w:rsid w:val="002A30BA"/>
    <w:rsid w:val="002A4DF2"/>
    <w:rsid w:val="002B1C0E"/>
    <w:rsid w:val="002B2C82"/>
    <w:rsid w:val="002B5CEB"/>
    <w:rsid w:val="002B5FB6"/>
    <w:rsid w:val="002B68B5"/>
    <w:rsid w:val="002C1C5A"/>
    <w:rsid w:val="002C4949"/>
    <w:rsid w:val="002D00D9"/>
    <w:rsid w:val="002E7B58"/>
    <w:rsid w:val="002E7E3B"/>
    <w:rsid w:val="002F1ABD"/>
    <w:rsid w:val="002F1F20"/>
    <w:rsid w:val="002F2E72"/>
    <w:rsid w:val="002F4C4E"/>
    <w:rsid w:val="002F6762"/>
    <w:rsid w:val="00306454"/>
    <w:rsid w:val="00307336"/>
    <w:rsid w:val="00307799"/>
    <w:rsid w:val="003079C5"/>
    <w:rsid w:val="003122F1"/>
    <w:rsid w:val="00312323"/>
    <w:rsid w:val="00315CBA"/>
    <w:rsid w:val="003217E8"/>
    <w:rsid w:val="00322080"/>
    <w:rsid w:val="0032492E"/>
    <w:rsid w:val="0032584E"/>
    <w:rsid w:val="00327326"/>
    <w:rsid w:val="003338FC"/>
    <w:rsid w:val="00334CD9"/>
    <w:rsid w:val="00341385"/>
    <w:rsid w:val="003419CB"/>
    <w:rsid w:val="0034306A"/>
    <w:rsid w:val="00345908"/>
    <w:rsid w:val="003505F7"/>
    <w:rsid w:val="003576E0"/>
    <w:rsid w:val="00357FC0"/>
    <w:rsid w:val="00372053"/>
    <w:rsid w:val="00372724"/>
    <w:rsid w:val="00375F8A"/>
    <w:rsid w:val="0037684C"/>
    <w:rsid w:val="0038071C"/>
    <w:rsid w:val="003860FD"/>
    <w:rsid w:val="00392A6D"/>
    <w:rsid w:val="0039343C"/>
    <w:rsid w:val="003943E3"/>
    <w:rsid w:val="003A3060"/>
    <w:rsid w:val="003A61DC"/>
    <w:rsid w:val="003B0248"/>
    <w:rsid w:val="003B3219"/>
    <w:rsid w:val="003B41C5"/>
    <w:rsid w:val="003C0690"/>
    <w:rsid w:val="003D04DC"/>
    <w:rsid w:val="003D06C0"/>
    <w:rsid w:val="003D23A6"/>
    <w:rsid w:val="003D40BC"/>
    <w:rsid w:val="003E0C6E"/>
    <w:rsid w:val="003E1C0A"/>
    <w:rsid w:val="003E67C5"/>
    <w:rsid w:val="004007DD"/>
    <w:rsid w:val="0040139C"/>
    <w:rsid w:val="00407EB6"/>
    <w:rsid w:val="00410EBA"/>
    <w:rsid w:val="00413D11"/>
    <w:rsid w:val="0042341B"/>
    <w:rsid w:val="00423D35"/>
    <w:rsid w:val="004251EE"/>
    <w:rsid w:val="004262AF"/>
    <w:rsid w:val="0042780C"/>
    <w:rsid w:val="00427A7B"/>
    <w:rsid w:val="004311C1"/>
    <w:rsid w:val="004312AC"/>
    <w:rsid w:val="0044078B"/>
    <w:rsid w:val="00447CAA"/>
    <w:rsid w:val="00462039"/>
    <w:rsid w:val="0047347D"/>
    <w:rsid w:val="00473C1D"/>
    <w:rsid w:val="004759EC"/>
    <w:rsid w:val="00475AFE"/>
    <w:rsid w:val="004810B2"/>
    <w:rsid w:val="004860E8"/>
    <w:rsid w:val="00493513"/>
    <w:rsid w:val="004A2830"/>
    <w:rsid w:val="004A499B"/>
    <w:rsid w:val="004A7CC3"/>
    <w:rsid w:val="004B3176"/>
    <w:rsid w:val="004B5632"/>
    <w:rsid w:val="004C1D16"/>
    <w:rsid w:val="004C3BC6"/>
    <w:rsid w:val="004C7FA7"/>
    <w:rsid w:val="004D535F"/>
    <w:rsid w:val="004D6443"/>
    <w:rsid w:val="004E042C"/>
    <w:rsid w:val="004E0A34"/>
    <w:rsid w:val="004E48AF"/>
    <w:rsid w:val="004F1496"/>
    <w:rsid w:val="004F236B"/>
    <w:rsid w:val="004F453A"/>
    <w:rsid w:val="004F5B58"/>
    <w:rsid w:val="004F5D2C"/>
    <w:rsid w:val="00503F96"/>
    <w:rsid w:val="005063AF"/>
    <w:rsid w:val="00510860"/>
    <w:rsid w:val="00512709"/>
    <w:rsid w:val="00514B8C"/>
    <w:rsid w:val="00515BF5"/>
    <w:rsid w:val="00516478"/>
    <w:rsid w:val="0052040C"/>
    <w:rsid w:val="00521053"/>
    <w:rsid w:val="005265FD"/>
    <w:rsid w:val="005271C6"/>
    <w:rsid w:val="005329D4"/>
    <w:rsid w:val="00535C4B"/>
    <w:rsid w:val="00536B3C"/>
    <w:rsid w:val="00543FE7"/>
    <w:rsid w:val="00561B2E"/>
    <w:rsid w:val="0056342F"/>
    <w:rsid w:val="0056380B"/>
    <w:rsid w:val="00572977"/>
    <w:rsid w:val="00575388"/>
    <w:rsid w:val="00591831"/>
    <w:rsid w:val="00593F0D"/>
    <w:rsid w:val="00595B84"/>
    <w:rsid w:val="005A0EE9"/>
    <w:rsid w:val="005A27DA"/>
    <w:rsid w:val="005B45D4"/>
    <w:rsid w:val="005B6862"/>
    <w:rsid w:val="005C0515"/>
    <w:rsid w:val="005D0D0B"/>
    <w:rsid w:val="005D48E6"/>
    <w:rsid w:val="005E0E4D"/>
    <w:rsid w:val="005E3434"/>
    <w:rsid w:val="005E3C06"/>
    <w:rsid w:val="005E7623"/>
    <w:rsid w:val="005F3B9A"/>
    <w:rsid w:val="00607F59"/>
    <w:rsid w:val="0062275A"/>
    <w:rsid w:val="00623CA6"/>
    <w:rsid w:val="00633061"/>
    <w:rsid w:val="00633B26"/>
    <w:rsid w:val="00634C2B"/>
    <w:rsid w:val="006362A7"/>
    <w:rsid w:val="006400C8"/>
    <w:rsid w:val="00642FEF"/>
    <w:rsid w:val="00645371"/>
    <w:rsid w:val="00650A3D"/>
    <w:rsid w:val="00657628"/>
    <w:rsid w:val="006645A5"/>
    <w:rsid w:val="00666F3E"/>
    <w:rsid w:val="00667726"/>
    <w:rsid w:val="00675AF9"/>
    <w:rsid w:val="0067650B"/>
    <w:rsid w:val="00681B06"/>
    <w:rsid w:val="00697032"/>
    <w:rsid w:val="006A02D6"/>
    <w:rsid w:val="006A1490"/>
    <w:rsid w:val="006A16D2"/>
    <w:rsid w:val="006A398F"/>
    <w:rsid w:val="006B1AF1"/>
    <w:rsid w:val="006B6AA3"/>
    <w:rsid w:val="006C015C"/>
    <w:rsid w:val="006C082A"/>
    <w:rsid w:val="006C5E66"/>
    <w:rsid w:val="006D29A0"/>
    <w:rsid w:val="006D736D"/>
    <w:rsid w:val="006E097E"/>
    <w:rsid w:val="006E4FC8"/>
    <w:rsid w:val="006F0A95"/>
    <w:rsid w:val="006F0DF9"/>
    <w:rsid w:val="006F7D85"/>
    <w:rsid w:val="00705956"/>
    <w:rsid w:val="00705DEC"/>
    <w:rsid w:val="007116EB"/>
    <w:rsid w:val="0071319C"/>
    <w:rsid w:val="00721595"/>
    <w:rsid w:val="00724455"/>
    <w:rsid w:val="00724FAD"/>
    <w:rsid w:val="00731330"/>
    <w:rsid w:val="007315D1"/>
    <w:rsid w:val="00745172"/>
    <w:rsid w:val="00753A53"/>
    <w:rsid w:val="0075632C"/>
    <w:rsid w:val="007667EC"/>
    <w:rsid w:val="00775288"/>
    <w:rsid w:val="00777929"/>
    <w:rsid w:val="00781C7D"/>
    <w:rsid w:val="0079001F"/>
    <w:rsid w:val="0079223E"/>
    <w:rsid w:val="007930C1"/>
    <w:rsid w:val="0079710D"/>
    <w:rsid w:val="007A329D"/>
    <w:rsid w:val="007A438C"/>
    <w:rsid w:val="007A51D7"/>
    <w:rsid w:val="007A5404"/>
    <w:rsid w:val="007A7CCA"/>
    <w:rsid w:val="007B3A06"/>
    <w:rsid w:val="007C140C"/>
    <w:rsid w:val="007C3E98"/>
    <w:rsid w:val="007C5331"/>
    <w:rsid w:val="007D19B2"/>
    <w:rsid w:val="007D1C1B"/>
    <w:rsid w:val="007D219C"/>
    <w:rsid w:val="007D5402"/>
    <w:rsid w:val="007D5693"/>
    <w:rsid w:val="007F0C3A"/>
    <w:rsid w:val="007F34BE"/>
    <w:rsid w:val="007F4835"/>
    <w:rsid w:val="007F5A81"/>
    <w:rsid w:val="007F788F"/>
    <w:rsid w:val="008009E6"/>
    <w:rsid w:val="00805292"/>
    <w:rsid w:val="00806224"/>
    <w:rsid w:val="0081266E"/>
    <w:rsid w:val="00813DE3"/>
    <w:rsid w:val="00817502"/>
    <w:rsid w:val="0082471C"/>
    <w:rsid w:val="0082584C"/>
    <w:rsid w:val="00830497"/>
    <w:rsid w:val="008346A2"/>
    <w:rsid w:val="00835B96"/>
    <w:rsid w:val="00841D2E"/>
    <w:rsid w:val="00843CB2"/>
    <w:rsid w:val="00844811"/>
    <w:rsid w:val="008456C2"/>
    <w:rsid w:val="00847264"/>
    <w:rsid w:val="008625E7"/>
    <w:rsid w:val="00865FBD"/>
    <w:rsid w:val="0086763E"/>
    <w:rsid w:val="00867E55"/>
    <w:rsid w:val="00873386"/>
    <w:rsid w:val="00883999"/>
    <w:rsid w:val="00884AAC"/>
    <w:rsid w:val="00886F1E"/>
    <w:rsid w:val="00893501"/>
    <w:rsid w:val="008949EA"/>
    <w:rsid w:val="00895E8D"/>
    <w:rsid w:val="008A42CA"/>
    <w:rsid w:val="008A4A8C"/>
    <w:rsid w:val="008A5670"/>
    <w:rsid w:val="008A56CD"/>
    <w:rsid w:val="008A6A82"/>
    <w:rsid w:val="008B1866"/>
    <w:rsid w:val="008B361A"/>
    <w:rsid w:val="008B5471"/>
    <w:rsid w:val="008C5935"/>
    <w:rsid w:val="008C73AD"/>
    <w:rsid w:val="008D75E4"/>
    <w:rsid w:val="008F19D6"/>
    <w:rsid w:val="008F5DA5"/>
    <w:rsid w:val="00925445"/>
    <w:rsid w:val="00925CF0"/>
    <w:rsid w:val="00926F35"/>
    <w:rsid w:val="009321ED"/>
    <w:rsid w:val="00933833"/>
    <w:rsid w:val="00935A1C"/>
    <w:rsid w:val="00937C7B"/>
    <w:rsid w:val="009449F8"/>
    <w:rsid w:val="00951772"/>
    <w:rsid w:val="009603AD"/>
    <w:rsid w:val="00963F4B"/>
    <w:rsid w:val="00967614"/>
    <w:rsid w:val="00970248"/>
    <w:rsid w:val="00975A89"/>
    <w:rsid w:val="0097648F"/>
    <w:rsid w:val="00984962"/>
    <w:rsid w:val="00984E6B"/>
    <w:rsid w:val="00985FB4"/>
    <w:rsid w:val="00991857"/>
    <w:rsid w:val="00993E89"/>
    <w:rsid w:val="009A11EE"/>
    <w:rsid w:val="009A4362"/>
    <w:rsid w:val="009A56A0"/>
    <w:rsid w:val="009C5EF4"/>
    <w:rsid w:val="009D297D"/>
    <w:rsid w:val="009D3701"/>
    <w:rsid w:val="009D73FF"/>
    <w:rsid w:val="009D7FFA"/>
    <w:rsid w:val="009E06EC"/>
    <w:rsid w:val="009E1877"/>
    <w:rsid w:val="009E2F50"/>
    <w:rsid w:val="009E61BE"/>
    <w:rsid w:val="009E75C5"/>
    <w:rsid w:val="009F36E9"/>
    <w:rsid w:val="00A0145A"/>
    <w:rsid w:val="00A02628"/>
    <w:rsid w:val="00A111D5"/>
    <w:rsid w:val="00A11F6A"/>
    <w:rsid w:val="00A12750"/>
    <w:rsid w:val="00A13AF8"/>
    <w:rsid w:val="00A20547"/>
    <w:rsid w:val="00A226C0"/>
    <w:rsid w:val="00A258D5"/>
    <w:rsid w:val="00A429A1"/>
    <w:rsid w:val="00A557AE"/>
    <w:rsid w:val="00A5708E"/>
    <w:rsid w:val="00A62AD9"/>
    <w:rsid w:val="00A631E2"/>
    <w:rsid w:val="00A63B40"/>
    <w:rsid w:val="00A671CB"/>
    <w:rsid w:val="00A67282"/>
    <w:rsid w:val="00A7384D"/>
    <w:rsid w:val="00A741A1"/>
    <w:rsid w:val="00A76AEF"/>
    <w:rsid w:val="00A8011B"/>
    <w:rsid w:val="00A81EA8"/>
    <w:rsid w:val="00A8275C"/>
    <w:rsid w:val="00A83821"/>
    <w:rsid w:val="00A85027"/>
    <w:rsid w:val="00A86465"/>
    <w:rsid w:val="00A928A4"/>
    <w:rsid w:val="00A92F85"/>
    <w:rsid w:val="00A96A8A"/>
    <w:rsid w:val="00AA0FCF"/>
    <w:rsid w:val="00AA1D6F"/>
    <w:rsid w:val="00AA3A86"/>
    <w:rsid w:val="00AA4EED"/>
    <w:rsid w:val="00AA58CD"/>
    <w:rsid w:val="00AA74CC"/>
    <w:rsid w:val="00AB6527"/>
    <w:rsid w:val="00AC0C14"/>
    <w:rsid w:val="00AC348E"/>
    <w:rsid w:val="00AD0FC7"/>
    <w:rsid w:val="00AD4D1B"/>
    <w:rsid w:val="00AE52FA"/>
    <w:rsid w:val="00AE65B9"/>
    <w:rsid w:val="00AE6F04"/>
    <w:rsid w:val="00AF54F4"/>
    <w:rsid w:val="00B12EAA"/>
    <w:rsid w:val="00B20B65"/>
    <w:rsid w:val="00B22A81"/>
    <w:rsid w:val="00B25C1B"/>
    <w:rsid w:val="00B5002D"/>
    <w:rsid w:val="00B531B3"/>
    <w:rsid w:val="00B539A4"/>
    <w:rsid w:val="00B54C42"/>
    <w:rsid w:val="00B54C6E"/>
    <w:rsid w:val="00B6287D"/>
    <w:rsid w:val="00B67B40"/>
    <w:rsid w:val="00B67F86"/>
    <w:rsid w:val="00B70F66"/>
    <w:rsid w:val="00B71696"/>
    <w:rsid w:val="00B73824"/>
    <w:rsid w:val="00B76BB3"/>
    <w:rsid w:val="00B77AA5"/>
    <w:rsid w:val="00B84166"/>
    <w:rsid w:val="00B9042D"/>
    <w:rsid w:val="00B93F26"/>
    <w:rsid w:val="00BA03D6"/>
    <w:rsid w:val="00BA15EB"/>
    <w:rsid w:val="00BA1823"/>
    <w:rsid w:val="00BA26B8"/>
    <w:rsid w:val="00BA326F"/>
    <w:rsid w:val="00BA4F97"/>
    <w:rsid w:val="00BA5454"/>
    <w:rsid w:val="00BA7FB6"/>
    <w:rsid w:val="00BB0083"/>
    <w:rsid w:val="00BB406B"/>
    <w:rsid w:val="00BB47C0"/>
    <w:rsid w:val="00BB4A1E"/>
    <w:rsid w:val="00BC140D"/>
    <w:rsid w:val="00BC18D0"/>
    <w:rsid w:val="00BC2819"/>
    <w:rsid w:val="00BC7457"/>
    <w:rsid w:val="00BD7E8F"/>
    <w:rsid w:val="00BE0AC4"/>
    <w:rsid w:val="00BE5767"/>
    <w:rsid w:val="00BE6172"/>
    <w:rsid w:val="00BF2D2A"/>
    <w:rsid w:val="00C0164E"/>
    <w:rsid w:val="00C11CA7"/>
    <w:rsid w:val="00C1439E"/>
    <w:rsid w:val="00C2114E"/>
    <w:rsid w:val="00C260EB"/>
    <w:rsid w:val="00C32558"/>
    <w:rsid w:val="00C3721C"/>
    <w:rsid w:val="00C400E5"/>
    <w:rsid w:val="00C4078D"/>
    <w:rsid w:val="00C46FBB"/>
    <w:rsid w:val="00C603CB"/>
    <w:rsid w:val="00C612B8"/>
    <w:rsid w:val="00C6634E"/>
    <w:rsid w:val="00C66CA8"/>
    <w:rsid w:val="00C73550"/>
    <w:rsid w:val="00C77EED"/>
    <w:rsid w:val="00C81AD6"/>
    <w:rsid w:val="00C81ED6"/>
    <w:rsid w:val="00C968AD"/>
    <w:rsid w:val="00CA47DE"/>
    <w:rsid w:val="00CA66C4"/>
    <w:rsid w:val="00CB7B4D"/>
    <w:rsid w:val="00CC025C"/>
    <w:rsid w:val="00CC03DD"/>
    <w:rsid w:val="00CC5B5F"/>
    <w:rsid w:val="00CD1CE8"/>
    <w:rsid w:val="00CD636E"/>
    <w:rsid w:val="00CF3CE5"/>
    <w:rsid w:val="00D015DC"/>
    <w:rsid w:val="00D041E1"/>
    <w:rsid w:val="00D07BE1"/>
    <w:rsid w:val="00D1016A"/>
    <w:rsid w:val="00D20F8C"/>
    <w:rsid w:val="00D25758"/>
    <w:rsid w:val="00D26444"/>
    <w:rsid w:val="00D30FD9"/>
    <w:rsid w:val="00D34A8F"/>
    <w:rsid w:val="00D35886"/>
    <w:rsid w:val="00D411C7"/>
    <w:rsid w:val="00D4615E"/>
    <w:rsid w:val="00D512D9"/>
    <w:rsid w:val="00D52413"/>
    <w:rsid w:val="00D54786"/>
    <w:rsid w:val="00D5573B"/>
    <w:rsid w:val="00D55F25"/>
    <w:rsid w:val="00D56314"/>
    <w:rsid w:val="00D56A12"/>
    <w:rsid w:val="00D57AC6"/>
    <w:rsid w:val="00D66BD1"/>
    <w:rsid w:val="00D72D9B"/>
    <w:rsid w:val="00D7325C"/>
    <w:rsid w:val="00D75B13"/>
    <w:rsid w:val="00D80DEE"/>
    <w:rsid w:val="00D82989"/>
    <w:rsid w:val="00D831C0"/>
    <w:rsid w:val="00D86C42"/>
    <w:rsid w:val="00D90D39"/>
    <w:rsid w:val="00D95BA2"/>
    <w:rsid w:val="00D972A4"/>
    <w:rsid w:val="00D9760B"/>
    <w:rsid w:val="00D97B53"/>
    <w:rsid w:val="00DA183F"/>
    <w:rsid w:val="00DC1E62"/>
    <w:rsid w:val="00DC4A9E"/>
    <w:rsid w:val="00DD3C12"/>
    <w:rsid w:val="00DD4374"/>
    <w:rsid w:val="00DD5268"/>
    <w:rsid w:val="00DD7D76"/>
    <w:rsid w:val="00DE0A88"/>
    <w:rsid w:val="00DE1A42"/>
    <w:rsid w:val="00DE2A12"/>
    <w:rsid w:val="00DE3826"/>
    <w:rsid w:val="00DE4F9A"/>
    <w:rsid w:val="00DE500C"/>
    <w:rsid w:val="00DF0710"/>
    <w:rsid w:val="00DF5EFB"/>
    <w:rsid w:val="00E025DE"/>
    <w:rsid w:val="00E05EE0"/>
    <w:rsid w:val="00E13E85"/>
    <w:rsid w:val="00E16A93"/>
    <w:rsid w:val="00E17877"/>
    <w:rsid w:val="00E24DC1"/>
    <w:rsid w:val="00E2684D"/>
    <w:rsid w:val="00E26A78"/>
    <w:rsid w:val="00E350ED"/>
    <w:rsid w:val="00E35E84"/>
    <w:rsid w:val="00E439C2"/>
    <w:rsid w:val="00E50933"/>
    <w:rsid w:val="00E50E20"/>
    <w:rsid w:val="00E550E8"/>
    <w:rsid w:val="00E610DB"/>
    <w:rsid w:val="00E61CB6"/>
    <w:rsid w:val="00E63F5F"/>
    <w:rsid w:val="00E67898"/>
    <w:rsid w:val="00E7295A"/>
    <w:rsid w:val="00E76635"/>
    <w:rsid w:val="00E768F1"/>
    <w:rsid w:val="00E76D51"/>
    <w:rsid w:val="00E82B7A"/>
    <w:rsid w:val="00E845C9"/>
    <w:rsid w:val="00E869D9"/>
    <w:rsid w:val="00E86A2B"/>
    <w:rsid w:val="00E929FB"/>
    <w:rsid w:val="00EA2687"/>
    <w:rsid w:val="00EA4F35"/>
    <w:rsid w:val="00EA4F51"/>
    <w:rsid w:val="00EB597F"/>
    <w:rsid w:val="00EC3611"/>
    <w:rsid w:val="00EC4536"/>
    <w:rsid w:val="00EC4AE3"/>
    <w:rsid w:val="00EC4C5B"/>
    <w:rsid w:val="00EC523B"/>
    <w:rsid w:val="00ED008E"/>
    <w:rsid w:val="00ED4BF2"/>
    <w:rsid w:val="00ED5B70"/>
    <w:rsid w:val="00EE314C"/>
    <w:rsid w:val="00EE3614"/>
    <w:rsid w:val="00EE4C47"/>
    <w:rsid w:val="00EE5F6F"/>
    <w:rsid w:val="00EE6052"/>
    <w:rsid w:val="00F00691"/>
    <w:rsid w:val="00F0350C"/>
    <w:rsid w:val="00F110FA"/>
    <w:rsid w:val="00F17AB3"/>
    <w:rsid w:val="00F207B1"/>
    <w:rsid w:val="00F20F90"/>
    <w:rsid w:val="00F223BA"/>
    <w:rsid w:val="00F244F3"/>
    <w:rsid w:val="00F31265"/>
    <w:rsid w:val="00F42A26"/>
    <w:rsid w:val="00F47102"/>
    <w:rsid w:val="00F502EE"/>
    <w:rsid w:val="00F53EAB"/>
    <w:rsid w:val="00F55482"/>
    <w:rsid w:val="00F55B5D"/>
    <w:rsid w:val="00F56024"/>
    <w:rsid w:val="00F56035"/>
    <w:rsid w:val="00F720B2"/>
    <w:rsid w:val="00F749D6"/>
    <w:rsid w:val="00F77C41"/>
    <w:rsid w:val="00F80B70"/>
    <w:rsid w:val="00F83B72"/>
    <w:rsid w:val="00F84D60"/>
    <w:rsid w:val="00F8701D"/>
    <w:rsid w:val="00F87BE4"/>
    <w:rsid w:val="00F900E0"/>
    <w:rsid w:val="00F909A0"/>
    <w:rsid w:val="00F94357"/>
    <w:rsid w:val="00FA6EFB"/>
    <w:rsid w:val="00FC4B99"/>
    <w:rsid w:val="00FC4CD7"/>
    <w:rsid w:val="00FD11C7"/>
    <w:rsid w:val="00FD289C"/>
    <w:rsid w:val="00FD2E65"/>
    <w:rsid w:val="00FD5405"/>
    <w:rsid w:val="00FD617C"/>
    <w:rsid w:val="00FD6C98"/>
    <w:rsid w:val="00FD7765"/>
    <w:rsid w:val="00FE1E29"/>
    <w:rsid w:val="00FE3169"/>
    <w:rsid w:val="00FE64DF"/>
    <w:rsid w:val="00FF2C37"/>
    <w:rsid w:val="00FF4D63"/>
    <w:rsid w:val="00FF5DDB"/>
    <w:rsid w:val="09AE5702"/>
    <w:rsid w:val="15E553A6"/>
    <w:rsid w:val="16BC4BF2"/>
    <w:rsid w:val="19E232AB"/>
    <w:rsid w:val="312B2BF4"/>
    <w:rsid w:val="3FF42DF9"/>
    <w:rsid w:val="5D0E241F"/>
    <w:rsid w:val="651C52F6"/>
    <w:rsid w:val="6DBF0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Times New Roman" w:hAnsi="Times New Roman" w:eastAsia="仿宋_GB2312"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4"/>
    <w:qFormat/>
    <w:uiPriority w:val="0"/>
    <w:pPr>
      <w:keepNext/>
      <w:keepLines/>
      <w:numPr>
        <w:ilvl w:val="1"/>
        <w:numId w:val="1"/>
      </w:numPr>
      <w:spacing w:before="240" w:after="240"/>
      <w:outlineLvl w:val="1"/>
    </w:pPr>
    <w:rPr>
      <w:rFonts w:ascii="Arial" w:hAnsi="Arial"/>
      <w:b/>
      <w:sz w:val="28"/>
    </w:rPr>
  </w:style>
  <w:style w:type="paragraph" w:styleId="5">
    <w:name w:val="heading 3"/>
    <w:basedOn w:val="1"/>
    <w:next w:val="1"/>
    <w:qFormat/>
    <w:uiPriority w:val="0"/>
    <w:pPr>
      <w:keepNext/>
      <w:keepLines/>
      <w:numPr>
        <w:ilvl w:val="2"/>
        <w:numId w:val="1"/>
      </w:numPr>
      <w:spacing w:before="260" w:after="260" w:line="416" w:lineRule="auto"/>
      <w:outlineLvl w:val="2"/>
    </w:pPr>
    <w:rPr>
      <w:b/>
      <w:sz w:val="28"/>
    </w:rPr>
  </w:style>
  <w:style w:type="paragraph" w:styleId="6">
    <w:name w:val="heading 4"/>
    <w:basedOn w:val="1"/>
    <w:next w:val="4"/>
    <w:qFormat/>
    <w:uiPriority w:val="0"/>
    <w:pPr>
      <w:keepNext/>
      <w:keepLines/>
      <w:numPr>
        <w:ilvl w:val="3"/>
        <w:numId w:val="1"/>
      </w:numPr>
      <w:spacing w:before="280" w:after="290" w:line="376" w:lineRule="auto"/>
      <w:outlineLvl w:val="3"/>
    </w:pPr>
    <w:rPr>
      <w:rFonts w:ascii="Arial" w:hAnsi="Arial" w:eastAsia="黑体"/>
      <w:b/>
      <w:sz w:val="28"/>
    </w:rPr>
  </w:style>
  <w:style w:type="paragraph" w:styleId="7">
    <w:name w:val="heading 5"/>
    <w:basedOn w:val="1"/>
    <w:next w:val="4"/>
    <w:qFormat/>
    <w:uiPriority w:val="0"/>
    <w:pPr>
      <w:keepNext/>
      <w:keepLines/>
      <w:numPr>
        <w:ilvl w:val="4"/>
        <w:numId w:val="1"/>
      </w:numPr>
      <w:spacing w:before="280" w:after="290" w:line="376" w:lineRule="auto"/>
      <w:outlineLvl w:val="4"/>
    </w:pPr>
    <w:rPr>
      <w:b/>
      <w:sz w:val="24"/>
      <w:lang w:val="en-GB"/>
    </w:rPr>
  </w:style>
  <w:style w:type="paragraph" w:styleId="8">
    <w:name w:val="heading 6"/>
    <w:basedOn w:val="1"/>
    <w:next w:val="4"/>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4"/>
    <w:qFormat/>
    <w:uiPriority w:val="0"/>
    <w:pPr>
      <w:keepNext/>
      <w:keepLines/>
      <w:numPr>
        <w:ilvl w:val="6"/>
        <w:numId w:val="1"/>
      </w:numPr>
      <w:spacing w:before="240" w:after="64" w:line="320" w:lineRule="auto"/>
      <w:outlineLvl w:val="6"/>
    </w:pPr>
    <w:rPr>
      <w:b/>
      <w:sz w:val="24"/>
    </w:rPr>
  </w:style>
  <w:style w:type="paragraph" w:styleId="10">
    <w:name w:val="heading 8"/>
    <w:basedOn w:val="1"/>
    <w:next w:val="4"/>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4"/>
    <w:qFormat/>
    <w:uiPriority w:val="0"/>
    <w:pPr>
      <w:keepNext/>
      <w:keepLines/>
      <w:numPr>
        <w:ilvl w:val="8"/>
        <w:numId w:val="1"/>
      </w:numPr>
      <w:spacing w:before="240" w:after="64" w:line="320" w:lineRule="auto"/>
      <w:outlineLvl w:val="8"/>
    </w:pPr>
    <w:rPr>
      <w:rFonts w:ascii="Arial" w:hAnsi="Arial" w:eastAsia="黑体"/>
      <w:sz w:val="28"/>
    </w:rPr>
  </w:style>
  <w:style w:type="character" w:default="1" w:styleId="36">
    <w:name w:val="Default Paragraph Font"/>
    <w:unhideWhenUsed/>
    <w:qFormat/>
    <w:uiPriority w:val="1"/>
  </w:style>
  <w:style w:type="table" w:default="1" w:styleId="34">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widowControl/>
      <w:ind w:firstLine="420"/>
      <w:jc w:val="left"/>
    </w:pPr>
    <w:rPr>
      <w:kern w:val="0"/>
    </w:rPr>
  </w:style>
  <w:style w:type="paragraph" w:styleId="12">
    <w:name w:val="toc 7"/>
    <w:basedOn w:val="1"/>
    <w:next w:val="1"/>
    <w:semiHidden/>
    <w:qFormat/>
    <w:uiPriority w:val="0"/>
    <w:pPr>
      <w:ind w:left="1260"/>
      <w:jc w:val="left"/>
    </w:pPr>
    <w:rPr>
      <w:sz w:val="18"/>
    </w:rPr>
  </w:style>
  <w:style w:type="paragraph" w:styleId="13">
    <w:name w:val="Document Map"/>
    <w:basedOn w:val="1"/>
    <w:semiHidden/>
    <w:qFormat/>
    <w:uiPriority w:val="0"/>
    <w:pPr>
      <w:shd w:val="clear" w:color="auto" w:fill="000080"/>
    </w:pPr>
  </w:style>
  <w:style w:type="paragraph" w:styleId="14">
    <w:name w:val="annotation text"/>
    <w:basedOn w:val="1"/>
    <w:link w:val="53"/>
    <w:unhideWhenUsed/>
    <w:qFormat/>
    <w:uiPriority w:val="0"/>
    <w:pPr>
      <w:jc w:val="left"/>
    </w:pPr>
  </w:style>
  <w:style w:type="paragraph" w:styleId="15">
    <w:name w:val="Body Text 3"/>
    <w:basedOn w:val="1"/>
    <w:qFormat/>
    <w:uiPriority w:val="0"/>
    <w:pPr>
      <w:spacing w:before="120"/>
    </w:pPr>
    <w:rPr>
      <w:rFonts w:ascii="宋体"/>
      <w:b/>
      <w:sz w:val="28"/>
    </w:rPr>
  </w:style>
  <w:style w:type="paragraph" w:styleId="16">
    <w:name w:val="Body Text"/>
    <w:basedOn w:val="1"/>
    <w:qFormat/>
    <w:uiPriority w:val="0"/>
    <w:pPr>
      <w:spacing w:before="120"/>
    </w:pPr>
    <w:rPr>
      <w:sz w:val="28"/>
    </w:rPr>
  </w:style>
  <w:style w:type="paragraph" w:styleId="17">
    <w:name w:val="Body Text Indent"/>
    <w:basedOn w:val="1"/>
    <w:qFormat/>
    <w:uiPriority w:val="0"/>
    <w:pPr>
      <w:spacing w:before="120"/>
      <w:ind w:firstLine="675"/>
    </w:pPr>
    <w:rPr>
      <w:sz w:val="28"/>
    </w:rPr>
  </w:style>
  <w:style w:type="paragraph" w:styleId="18">
    <w:name w:val="toc 5"/>
    <w:basedOn w:val="1"/>
    <w:next w:val="1"/>
    <w:semiHidden/>
    <w:qFormat/>
    <w:uiPriority w:val="0"/>
    <w:pPr>
      <w:ind w:left="840"/>
      <w:jc w:val="left"/>
    </w:pPr>
    <w:rPr>
      <w:sz w:val="18"/>
    </w:rPr>
  </w:style>
  <w:style w:type="paragraph" w:styleId="19">
    <w:name w:val="toc 3"/>
    <w:basedOn w:val="1"/>
    <w:next w:val="1"/>
    <w:semiHidden/>
    <w:qFormat/>
    <w:uiPriority w:val="0"/>
    <w:pPr>
      <w:ind w:left="420"/>
      <w:jc w:val="left"/>
    </w:pPr>
    <w:rPr>
      <w:i/>
      <w:sz w:val="20"/>
    </w:rPr>
  </w:style>
  <w:style w:type="paragraph" w:styleId="20">
    <w:name w:val="toc 8"/>
    <w:basedOn w:val="1"/>
    <w:next w:val="1"/>
    <w:semiHidden/>
    <w:qFormat/>
    <w:uiPriority w:val="0"/>
    <w:pPr>
      <w:ind w:left="1470"/>
      <w:jc w:val="left"/>
    </w:pPr>
    <w:rPr>
      <w:sz w:val="18"/>
    </w:rPr>
  </w:style>
  <w:style w:type="paragraph" w:styleId="21">
    <w:name w:val="Date"/>
    <w:basedOn w:val="1"/>
    <w:next w:val="1"/>
    <w:qFormat/>
    <w:uiPriority w:val="0"/>
    <w:pPr>
      <w:ind w:left="100" w:leftChars="2500"/>
    </w:pPr>
  </w:style>
  <w:style w:type="paragraph" w:styleId="22">
    <w:name w:val="Body Text Indent 2"/>
    <w:basedOn w:val="1"/>
    <w:qFormat/>
    <w:uiPriority w:val="0"/>
    <w:pPr>
      <w:spacing w:before="60" w:after="60"/>
      <w:ind w:left="1350"/>
    </w:pPr>
    <w:rPr>
      <w:rFonts w:ascii="楷体_GB2312" w:eastAsia="楷体_GB2312"/>
    </w:rPr>
  </w:style>
  <w:style w:type="paragraph" w:styleId="23">
    <w:name w:val="Balloon Text"/>
    <w:basedOn w:val="1"/>
    <w:semiHidden/>
    <w:qFormat/>
    <w:uiPriority w:val="0"/>
    <w:rPr>
      <w:sz w:val="18"/>
      <w:szCs w:val="18"/>
    </w:rPr>
  </w:style>
  <w:style w:type="paragraph" w:styleId="24">
    <w:name w:val="footer"/>
    <w:basedOn w:val="1"/>
    <w:link w:val="48"/>
    <w:qFormat/>
    <w:uiPriority w:val="99"/>
    <w:pPr>
      <w:tabs>
        <w:tab w:val="center" w:pos="4153"/>
        <w:tab w:val="right" w:pos="8306"/>
      </w:tabs>
      <w:jc w:val="left"/>
    </w:pPr>
    <w:rPr>
      <w:sz w:val="18"/>
    </w:rPr>
  </w:style>
  <w:style w:type="paragraph" w:styleId="25">
    <w:name w:val="header"/>
    <w:basedOn w:val="1"/>
    <w:qFormat/>
    <w:uiPriority w:val="0"/>
    <w:pPr>
      <w:pBdr>
        <w:bottom w:val="single" w:color="auto" w:sz="6" w:space="1"/>
      </w:pBdr>
      <w:tabs>
        <w:tab w:val="center" w:pos="4153"/>
        <w:tab w:val="right" w:pos="8306"/>
      </w:tabs>
      <w:jc w:val="center"/>
    </w:pPr>
    <w:rPr>
      <w:sz w:val="18"/>
    </w:rPr>
  </w:style>
  <w:style w:type="paragraph" w:styleId="26">
    <w:name w:val="toc 1"/>
    <w:basedOn w:val="1"/>
    <w:next w:val="1"/>
    <w:qFormat/>
    <w:uiPriority w:val="39"/>
    <w:pPr>
      <w:tabs>
        <w:tab w:val="left" w:pos="1260"/>
        <w:tab w:val="right" w:leader="dot" w:pos="9061"/>
      </w:tabs>
      <w:spacing w:before="120" w:after="120"/>
      <w:jc w:val="left"/>
    </w:pPr>
    <w:rPr>
      <w:sz w:val="24"/>
      <w:szCs w:val="24"/>
    </w:rPr>
  </w:style>
  <w:style w:type="paragraph" w:styleId="27">
    <w:name w:val="toc 4"/>
    <w:basedOn w:val="1"/>
    <w:next w:val="1"/>
    <w:semiHidden/>
    <w:qFormat/>
    <w:uiPriority w:val="0"/>
    <w:pPr>
      <w:ind w:left="630"/>
      <w:jc w:val="left"/>
    </w:pPr>
    <w:rPr>
      <w:sz w:val="18"/>
    </w:rPr>
  </w:style>
  <w:style w:type="paragraph" w:styleId="28">
    <w:name w:val="toc 6"/>
    <w:basedOn w:val="1"/>
    <w:next w:val="1"/>
    <w:semiHidden/>
    <w:qFormat/>
    <w:uiPriority w:val="0"/>
    <w:pPr>
      <w:ind w:left="1050"/>
      <w:jc w:val="left"/>
    </w:pPr>
    <w:rPr>
      <w:sz w:val="18"/>
    </w:rPr>
  </w:style>
  <w:style w:type="paragraph" w:styleId="29">
    <w:name w:val="toc 2"/>
    <w:basedOn w:val="1"/>
    <w:next w:val="1"/>
    <w:semiHidden/>
    <w:qFormat/>
    <w:uiPriority w:val="0"/>
    <w:pPr>
      <w:ind w:left="210"/>
      <w:jc w:val="left"/>
    </w:pPr>
    <w:rPr>
      <w:smallCaps/>
      <w:sz w:val="20"/>
    </w:rPr>
  </w:style>
  <w:style w:type="paragraph" w:styleId="30">
    <w:name w:val="toc 9"/>
    <w:basedOn w:val="1"/>
    <w:next w:val="1"/>
    <w:semiHidden/>
    <w:qFormat/>
    <w:uiPriority w:val="0"/>
    <w:pPr>
      <w:ind w:left="1680"/>
      <w:jc w:val="left"/>
    </w:pPr>
    <w:rPr>
      <w:sz w:val="18"/>
    </w:rPr>
  </w:style>
  <w:style w:type="paragraph" w:styleId="31">
    <w:name w:val="Body Text 2"/>
    <w:basedOn w:val="1"/>
    <w:qFormat/>
    <w:uiPriority w:val="0"/>
    <w:rPr>
      <w:rFonts w:ascii="宋体" w:hAnsi="宋体"/>
      <w:sz w:val="24"/>
    </w:rPr>
  </w:style>
  <w:style w:type="paragraph" w:styleId="32">
    <w:name w:val="Title"/>
    <w:basedOn w:val="1"/>
    <w:link w:val="51"/>
    <w:qFormat/>
    <w:uiPriority w:val="0"/>
    <w:pPr>
      <w:widowControl/>
      <w:spacing w:before="240" w:after="60"/>
      <w:jc w:val="center"/>
      <w:outlineLvl w:val="0"/>
    </w:pPr>
    <w:rPr>
      <w:rFonts w:ascii="Arial" w:hAnsi="Arial"/>
      <w:b/>
      <w:kern w:val="0"/>
      <w:sz w:val="32"/>
    </w:rPr>
  </w:style>
  <w:style w:type="paragraph" w:styleId="33">
    <w:name w:val="annotation subject"/>
    <w:basedOn w:val="14"/>
    <w:next w:val="14"/>
    <w:link w:val="54"/>
    <w:unhideWhenUsed/>
    <w:qFormat/>
    <w:uiPriority w:val="0"/>
    <w:rPr>
      <w:b/>
      <w:bCs/>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7">
    <w:name w:val="Strong"/>
    <w:basedOn w:val="36"/>
    <w:qFormat/>
    <w:uiPriority w:val="0"/>
    <w:rPr>
      <w:b/>
      <w:bCs/>
    </w:rPr>
  </w:style>
  <w:style w:type="character" w:styleId="38">
    <w:name w:val="page number"/>
    <w:basedOn w:val="36"/>
    <w:qFormat/>
    <w:uiPriority w:val="0"/>
  </w:style>
  <w:style w:type="character" w:styleId="39">
    <w:name w:val="FollowedHyperlink"/>
    <w:basedOn w:val="36"/>
    <w:qFormat/>
    <w:uiPriority w:val="0"/>
    <w:rPr>
      <w:color w:val="800080"/>
      <w:u w:val="single"/>
    </w:rPr>
  </w:style>
  <w:style w:type="character" w:styleId="40">
    <w:name w:val="Hyperlink"/>
    <w:basedOn w:val="36"/>
    <w:qFormat/>
    <w:uiPriority w:val="99"/>
    <w:rPr>
      <w:color w:val="0000FF"/>
      <w:u w:val="single"/>
    </w:rPr>
  </w:style>
  <w:style w:type="character" w:styleId="41">
    <w:name w:val="annotation reference"/>
    <w:basedOn w:val="36"/>
    <w:unhideWhenUsed/>
    <w:qFormat/>
    <w:uiPriority w:val="0"/>
    <w:rPr>
      <w:sz w:val="21"/>
      <w:szCs w:val="21"/>
    </w:rPr>
  </w:style>
  <w:style w:type="paragraph" w:customStyle="1" w:styleId="42">
    <w:name w:val="Char Char Char Char"/>
    <w:basedOn w:val="1"/>
    <w:qFormat/>
    <w:uiPriority w:val="0"/>
    <w:pPr>
      <w:spacing w:line="240" w:lineRule="atLeast"/>
      <w:ind w:left="420" w:firstLine="420"/>
    </w:pPr>
    <w:rPr>
      <w:kern w:val="0"/>
      <w:szCs w:val="21"/>
    </w:rPr>
  </w:style>
  <w:style w:type="paragraph" w:customStyle="1" w:styleId="43">
    <w:name w:val="Text"/>
    <w:qFormat/>
    <w:uiPriority w:val="0"/>
    <w:pPr>
      <w:tabs>
        <w:tab w:val="left" w:pos="420"/>
        <w:tab w:val="left" w:pos="840"/>
        <w:tab w:val="left" w:pos="1260"/>
      </w:tabs>
      <w:adjustRightInd w:val="0"/>
      <w:snapToGrid w:val="0"/>
      <w:spacing w:afterLines="50" w:line="300" w:lineRule="auto"/>
      <w:ind w:firstLine="200" w:firstLineChars="200"/>
      <w:jc w:val="both"/>
    </w:pPr>
    <w:rPr>
      <w:rFonts w:ascii="Times New Roman" w:hAnsi="Times New Roman" w:eastAsia="仿宋_GB2312" w:cs="Times New Roman"/>
      <w:sz w:val="22"/>
      <w:szCs w:val="21"/>
      <w:lang w:val="en-US" w:eastAsia="zh-CN" w:bidi="ar-SA"/>
    </w:rPr>
  </w:style>
  <w:style w:type="paragraph" w:customStyle="1" w:styleId="44">
    <w:name w:val="Char"/>
    <w:basedOn w:val="1"/>
    <w:qFormat/>
    <w:uiPriority w:val="0"/>
    <w:pPr>
      <w:spacing w:line="240" w:lineRule="atLeast"/>
      <w:ind w:left="420" w:firstLine="420"/>
    </w:pPr>
    <w:rPr>
      <w:kern w:val="0"/>
      <w:szCs w:val="21"/>
    </w:rPr>
  </w:style>
  <w:style w:type="paragraph" w:customStyle="1" w:styleId="45">
    <w:name w:val="无间隔1"/>
    <w:qFormat/>
    <w:uiPriority w:val="1"/>
    <w:pPr>
      <w:widowControl w:val="0"/>
      <w:adjustRightInd w:val="0"/>
      <w:snapToGrid w:val="0"/>
      <w:spacing w:line="300" w:lineRule="auto"/>
      <w:jc w:val="both"/>
    </w:pPr>
    <w:rPr>
      <w:rFonts w:ascii="Palatino Linotype" w:hAnsi="Palatino Linotype" w:eastAsia="仿宋_GB2312" w:cs="Times New Roman"/>
      <w:kern w:val="2"/>
      <w:sz w:val="21"/>
      <w:lang w:val="en-US" w:eastAsia="zh-CN" w:bidi="ar-SA"/>
    </w:rPr>
  </w:style>
  <w:style w:type="paragraph" w:customStyle="1" w:styleId="46">
    <w:name w:val="Dot Text"/>
    <w:basedOn w:val="1"/>
    <w:qFormat/>
    <w:uiPriority w:val="0"/>
    <w:pPr>
      <w:numPr>
        <w:ilvl w:val="0"/>
        <w:numId w:val="2"/>
      </w:numPr>
      <w:ind w:left="964"/>
    </w:pPr>
    <w:rPr>
      <w:snapToGrid w:val="0"/>
      <w:sz w:val="24"/>
    </w:rPr>
  </w:style>
  <w:style w:type="paragraph" w:customStyle="1" w:styleId="47">
    <w:name w:val="List Paragraph"/>
    <w:basedOn w:val="1"/>
    <w:qFormat/>
    <w:uiPriority w:val="34"/>
    <w:pPr>
      <w:ind w:firstLine="420" w:firstLineChars="200"/>
    </w:pPr>
  </w:style>
  <w:style w:type="character" w:customStyle="1" w:styleId="48">
    <w:name w:val="页脚 Char"/>
    <w:basedOn w:val="36"/>
    <w:link w:val="24"/>
    <w:qFormat/>
    <w:uiPriority w:val="99"/>
    <w:rPr>
      <w:rFonts w:ascii="Palatino Linotype" w:hAnsi="Palatino Linotype" w:eastAsia="仿宋_GB2312"/>
      <w:kern w:val="2"/>
      <w:sz w:val="18"/>
    </w:rPr>
  </w:style>
  <w:style w:type="character" w:customStyle="1" w:styleId="49">
    <w:name w:val="封面甲乙方 仿宋_GB2312 小四 加粗 黑色"/>
    <w:basedOn w:val="36"/>
    <w:qFormat/>
    <w:uiPriority w:val="0"/>
    <w:rPr>
      <w:rFonts w:ascii="Times New Roman" w:hAnsi="Times New Roman"/>
      <w:b/>
      <w:bCs/>
      <w:color w:val="000000"/>
      <w:sz w:val="24"/>
    </w:rPr>
  </w:style>
  <w:style w:type="paragraph" w:customStyle="1" w:styleId="50">
    <w:name w:val="章节标题"/>
    <w:basedOn w:val="32"/>
    <w:link w:val="52"/>
    <w:qFormat/>
    <w:uiPriority w:val="0"/>
    <w:pPr>
      <w:numPr>
        <w:ilvl w:val="0"/>
        <w:numId w:val="3"/>
      </w:numPr>
      <w:tabs>
        <w:tab w:val="left" w:pos="0"/>
        <w:tab w:val="clear" w:pos="1701"/>
      </w:tabs>
      <w:spacing w:afterLines="50"/>
      <w:ind w:left="0" w:firstLine="0"/>
    </w:pPr>
    <w:rPr>
      <w:rFonts w:ascii="Times New Roman" w:hAnsi="Times New Roman"/>
      <w:snapToGrid w:val="0"/>
      <w:sz w:val="28"/>
      <w:szCs w:val="28"/>
    </w:rPr>
  </w:style>
  <w:style w:type="character" w:customStyle="1" w:styleId="51">
    <w:name w:val="标题 Char"/>
    <w:basedOn w:val="36"/>
    <w:link w:val="32"/>
    <w:qFormat/>
    <w:uiPriority w:val="0"/>
    <w:rPr>
      <w:rFonts w:ascii="Arial" w:hAnsi="Arial" w:eastAsia="仿宋_GB2312"/>
      <w:b/>
      <w:sz w:val="32"/>
    </w:rPr>
  </w:style>
  <w:style w:type="character" w:customStyle="1" w:styleId="52">
    <w:name w:val="章节标题 Char"/>
    <w:basedOn w:val="51"/>
    <w:link w:val="50"/>
    <w:qFormat/>
    <w:uiPriority w:val="0"/>
    <w:rPr>
      <w:rFonts w:ascii="Arial" w:hAnsi="Arial" w:eastAsia="仿宋_GB2312"/>
      <w:sz w:val="32"/>
    </w:rPr>
  </w:style>
  <w:style w:type="character" w:customStyle="1" w:styleId="53">
    <w:name w:val="批注文字 Char"/>
    <w:basedOn w:val="36"/>
    <w:link w:val="14"/>
    <w:semiHidden/>
    <w:qFormat/>
    <w:uiPriority w:val="0"/>
    <w:rPr>
      <w:rFonts w:eastAsia="仿宋_GB2312"/>
      <w:kern w:val="2"/>
      <w:sz w:val="21"/>
    </w:rPr>
  </w:style>
  <w:style w:type="character" w:customStyle="1" w:styleId="54">
    <w:name w:val="批注主题 Char"/>
    <w:basedOn w:val="53"/>
    <w:link w:val="33"/>
    <w:semiHidden/>
    <w:qFormat/>
    <w:uiPriority w:val="0"/>
    <w:rPr>
      <w:rFonts w:eastAsia="仿宋_GB2312"/>
      <w:b/>
      <w:bCs/>
      <w:kern w:val="2"/>
      <w:sz w:val="21"/>
    </w:rPr>
  </w:style>
  <w:style w:type="character" w:customStyle="1" w:styleId="55">
    <w:name w:val="font101"/>
    <w:basedOn w:val="36"/>
    <w:qFormat/>
    <w:uiPriority w:val="0"/>
    <w:rPr>
      <w:rFonts w:hint="eastAsia" w:ascii="微软雅黑" w:hAnsi="微软雅黑" w:eastAsia="微软雅黑" w:cs="微软雅黑"/>
      <w:b/>
      <w:color w:val="000000"/>
      <w:sz w:val="36"/>
      <w:szCs w:val="36"/>
      <w:u w:val="none"/>
    </w:rPr>
  </w:style>
  <w:style w:type="character" w:customStyle="1" w:styleId="56">
    <w:name w:val="font161"/>
    <w:basedOn w:val="36"/>
    <w:qFormat/>
    <w:uiPriority w:val="0"/>
    <w:rPr>
      <w:rFonts w:hint="eastAsia" w:ascii="方正姚体" w:hAnsi="方正姚体" w:eastAsia="方正姚体" w:cs="方正姚体"/>
      <w:color w:val="000000"/>
      <w:sz w:val="24"/>
      <w:szCs w:val="24"/>
      <w:u w:val="none"/>
    </w:rPr>
  </w:style>
  <w:style w:type="character" w:customStyle="1" w:styleId="57">
    <w:name w:val="font71"/>
    <w:basedOn w:val="36"/>
    <w:qFormat/>
    <w:uiPriority w:val="0"/>
    <w:rPr>
      <w:rFonts w:hint="eastAsia" w:ascii="微软雅黑" w:hAnsi="微软雅黑" w:eastAsia="微软雅黑" w:cs="微软雅黑"/>
      <w:b/>
      <w:color w:val="000000"/>
      <w:sz w:val="24"/>
      <w:szCs w:val="24"/>
      <w:u w:val="none"/>
    </w:rPr>
  </w:style>
  <w:style w:type="character" w:customStyle="1" w:styleId="58">
    <w:name w:val="font81"/>
    <w:basedOn w:val="36"/>
    <w:qFormat/>
    <w:uiPriority w:val="0"/>
    <w:rPr>
      <w:rFonts w:hint="eastAsia" w:ascii="微软雅黑" w:hAnsi="微软雅黑" w:eastAsia="微软雅黑" w:cs="微软雅黑"/>
      <w:color w:val="000000"/>
      <w:sz w:val="24"/>
      <w:szCs w:val="24"/>
      <w:u w:val="none"/>
    </w:rPr>
  </w:style>
  <w:style w:type="character" w:customStyle="1" w:styleId="59">
    <w:name w:val="font131"/>
    <w:basedOn w:val="36"/>
    <w:qFormat/>
    <w:uiPriority w:val="0"/>
    <w:rPr>
      <w:rFonts w:hint="eastAsia" w:ascii="微软雅黑" w:hAnsi="微软雅黑" w:eastAsia="微软雅黑" w:cs="微软雅黑"/>
      <w:b/>
      <w:color w:val="000000"/>
      <w:sz w:val="36"/>
      <w:szCs w:val="36"/>
      <w:u w:val="none"/>
    </w:rPr>
  </w:style>
  <w:style w:type="character" w:customStyle="1" w:styleId="60">
    <w:name w:val="font01"/>
    <w:basedOn w:val="36"/>
    <w:qFormat/>
    <w:uiPriority w:val="0"/>
    <w:rPr>
      <w:rFonts w:hint="eastAsia" w:ascii="方正姚体" w:hAnsi="方正姚体" w:eastAsia="方正姚体" w:cs="方正姚体"/>
      <w:color w:val="000000"/>
      <w:sz w:val="24"/>
      <w:szCs w:val="24"/>
      <w:u w:val="none"/>
    </w:rPr>
  </w:style>
  <w:style w:type="character" w:customStyle="1" w:styleId="61">
    <w:name w:val="font112"/>
    <w:basedOn w:val="36"/>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Desktop\&#21512;&#21516;&#20462;&#25913;\&#21512;&#21516;&#27169;&#26495;V2.1\&#26032;&#24314;&#25991;&#20214;&#22841;\1_BC&#20135;&#21697;&#38144;&#21806;&#21512;&#21516;&#20070;&#27169;&#26495;V2.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6194F3-21C8-427F-B9A1-7EEAB05A5A68}">
  <ds:schemaRefs/>
</ds:datastoreItem>
</file>

<file path=docProps/app.xml><?xml version="1.0" encoding="utf-8"?>
<Properties xmlns="http://schemas.openxmlformats.org/officeDocument/2006/extended-properties" xmlns:vt="http://schemas.openxmlformats.org/officeDocument/2006/docPropsVTypes">
  <Template>1_BC产品销售合同书模板V2.1.dot</Template>
  <Company>创联致信</Company>
  <Pages>1</Pages>
  <Words>740</Words>
  <Characters>4219</Characters>
  <Lines>35</Lines>
  <Paragraphs>9</Paragraphs>
  <TotalTime>1</TotalTime>
  <ScaleCrop>false</ScaleCrop>
  <LinksUpToDate>false</LinksUpToDate>
  <CharactersWithSpaces>4950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2013-12-27T06:58:00Z</dcterms:created>
  <dc:creator>张忠强</dc:creator>
  <cp:lastModifiedBy>杨天宇</cp:lastModifiedBy>
  <cp:lastPrinted>2013-01-08T02:23:00Z</cp:lastPrinted>
  <dcterms:modified xsi:type="dcterms:W3CDTF">2019-10-12T06:44:36Z</dcterms:modified>
  <dc:title>销售合同</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